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重庆永荣青鹏水泥有限公司</w:t>
      </w:r>
    </w:p>
    <w:p>
      <w:pPr>
        <w:jc w:val="center"/>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环境信息公示材料</w:t>
      </w:r>
    </w:p>
    <w:p>
      <w:pPr>
        <w:numPr>
          <w:ilvl w:val="0"/>
          <w:numId w:val="3"/>
        </w:num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基本信息</w:t>
      </w:r>
    </w:p>
    <w:p>
      <w:pPr>
        <w:numPr>
          <w:ilvl w:val="0"/>
          <w:numId w:val="0"/>
        </w:numPr>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 xml:space="preserve">   </w:t>
      </w:r>
      <w:r>
        <w:rPr>
          <w:rFonts w:hint="eastAsia" w:asciiTheme="minorEastAsia" w:hAnsiTheme="minorEastAsia" w:eastAsiaTheme="minorEastAsia" w:cstheme="minorEastAsia"/>
          <w:sz w:val="30"/>
          <w:szCs w:val="30"/>
        </w:rPr>
        <w:t>重庆永荣青鹏水泥有限公司，成立于1956年6月，</w:t>
      </w:r>
      <w:r>
        <w:rPr>
          <w:rFonts w:hint="eastAsia" w:asciiTheme="minorEastAsia" w:hAnsiTheme="minorEastAsia" w:eastAsiaTheme="minorEastAsia" w:cstheme="minorEastAsia"/>
          <w:sz w:val="30"/>
          <w:szCs w:val="30"/>
          <w:lang w:val="en-US" w:eastAsia="zh-CN"/>
        </w:rPr>
        <w:t>隶属于重庆能源投资集团旗下南桐矿业有限公司，</w:t>
      </w:r>
      <w:r>
        <w:rPr>
          <w:rFonts w:hint="eastAsia" w:asciiTheme="minorEastAsia" w:hAnsiTheme="minorEastAsia" w:eastAsiaTheme="minorEastAsia" w:cstheme="minorEastAsia"/>
          <w:sz w:val="30"/>
          <w:szCs w:val="30"/>
        </w:rPr>
        <w:t>位于</w:t>
      </w:r>
      <w:r>
        <w:rPr>
          <w:rFonts w:hint="eastAsia" w:asciiTheme="minorEastAsia" w:hAnsiTheme="minorEastAsia" w:eastAsiaTheme="minorEastAsia" w:cstheme="minorEastAsia"/>
          <w:sz w:val="30"/>
          <w:szCs w:val="30"/>
          <w:lang w:val="en-US" w:eastAsia="zh-CN"/>
        </w:rPr>
        <w:t>重庆市</w:t>
      </w:r>
      <w:r>
        <w:rPr>
          <w:rFonts w:hint="eastAsia" w:asciiTheme="minorEastAsia" w:hAnsiTheme="minorEastAsia" w:eastAsiaTheme="minorEastAsia" w:cstheme="minorEastAsia"/>
          <w:sz w:val="30"/>
          <w:szCs w:val="30"/>
        </w:rPr>
        <w:t>沙坪坝区青木关镇关口</w:t>
      </w:r>
      <w:r>
        <w:rPr>
          <w:rFonts w:hint="eastAsia" w:asciiTheme="minorEastAsia" w:hAnsiTheme="minorEastAsia" w:eastAsiaTheme="minorEastAsia" w:cstheme="minorEastAsia"/>
          <w:sz w:val="30"/>
          <w:szCs w:val="30"/>
          <w:lang w:val="en-US" w:eastAsia="zh-CN"/>
        </w:rPr>
        <w:t>村</w:t>
      </w:r>
      <w:r>
        <w:rPr>
          <w:rFonts w:hint="eastAsia" w:asciiTheme="minorEastAsia" w:hAnsiTheme="minorEastAsia" w:eastAsiaTheme="minorEastAsia" w:cstheme="minorEastAsia"/>
          <w:sz w:val="30"/>
          <w:szCs w:val="30"/>
        </w:rPr>
        <w:t>20号</w:t>
      </w:r>
      <w:r>
        <w:rPr>
          <w:rFonts w:hint="eastAsia" w:asciiTheme="minorEastAsia" w:hAnsiTheme="minorEastAsia" w:eastAsiaTheme="minorEastAsia" w:cstheme="minorEastAsia"/>
          <w:sz w:val="30"/>
          <w:szCs w:val="30"/>
          <w:lang w:eastAsia="zh-CN"/>
        </w:rPr>
        <w:t>，</w:t>
      </w:r>
      <w:r>
        <w:rPr>
          <w:rFonts w:hint="eastAsia" w:asciiTheme="minorEastAsia" w:hAnsiTheme="minorEastAsia" w:eastAsiaTheme="minorEastAsia" w:cstheme="minorEastAsia"/>
          <w:sz w:val="30"/>
          <w:szCs w:val="30"/>
          <w:lang w:val="en-US" w:eastAsia="zh-CN"/>
        </w:rPr>
        <w:t>组织机构代码（三证合一）91500106203401664G，公司法人代表张安俊，联系号码65600379，公司主要产品水泥、熟料，生产线设计产能熟料日产3000吨每天、水泥年产量120万吨，企业规模中型企业。</w:t>
      </w:r>
    </w:p>
    <w:p>
      <w:pPr>
        <w:numPr>
          <w:ilvl w:val="0"/>
          <w:numId w:val="3"/>
        </w:numPr>
        <w:ind w:left="0" w:leftChars="0" w:firstLine="0" w:firstLine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排污信息</w:t>
      </w:r>
    </w:p>
    <w:p>
      <w:pPr>
        <w:numPr>
          <w:ilvl w:val="0"/>
          <w:numId w:val="0"/>
        </w:numPr>
        <w:ind w:left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 xml:space="preserve">   生产线生产过程中主要产生的是大气污染物，主要排污因子有颗粒物、二氧化硫、氮氧化合物，排放方式连续排放，大气有组织排放排气口原有61个，其中因工艺改变熟料落料口处及配料石灰石破碎处已取消拆除，故现有排口59个，二氧化硫、氮氧化合物只有窑尾排放，其它排口均只有颗粒物排放。排口分布图见后附图。</w:t>
      </w:r>
    </w:p>
    <w:p>
      <w:pPr>
        <w:numPr>
          <w:ilvl w:val="0"/>
          <w:numId w:val="0"/>
        </w:numPr>
        <w:ind w:leftChars="0"/>
        <w:rPr>
          <w:rFonts w:hint="eastAsia" w:asciiTheme="minorEastAsia" w:hAnsiTheme="minorEastAsia" w:eastAsiaTheme="minorEastAsia" w:cstheme="minorEastAsia"/>
          <w:sz w:val="21"/>
          <w:szCs w:val="21"/>
          <w:lang w:val="en-US" w:eastAsia="zh-CN"/>
        </w:rPr>
      </w:pPr>
    </w:p>
    <w:tbl>
      <w:tblPr>
        <w:tblStyle w:val="21"/>
        <w:tblpPr w:leftFromText="180" w:rightFromText="180" w:vertAnchor="text" w:horzAnchor="page" w:tblpX="2640" w:tblpY="209"/>
        <w:tblOverlap w:val="never"/>
        <w:tblW w:w="5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181"/>
        <w:gridCol w:w="1181"/>
        <w:gridCol w:w="1181"/>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项目</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排放浓度（mg/m³）</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排放总量（吨）</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核定排放量（吨）</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排放限值（mg/m³）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SO2</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6-20</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119.86</w:t>
            </w:r>
          </w:p>
        </w:tc>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216.4</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NOX</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123</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380.21</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441</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颗粒物</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9.2</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67.24</w:t>
            </w:r>
          </w:p>
        </w:tc>
        <w:tc>
          <w:tcPr>
            <w:tcW w:w="1181" w:type="dxa"/>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cstheme="minorEastAsia"/>
                <w:sz w:val="30"/>
                <w:szCs w:val="30"/>
                <w:vertAlign w:val="baseline"/>
                <w:lang w:val="en-US" w:eastAsia="zh-CN"/>
              </w:rPr>
              <w:t>82.35</w:t>
            </w:r>
          </w:p>
        </w:tc>
        <w:tc>
          <w:tcPr>
            <w:tcW w:w="1180"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执行的排放标准</w:t>
            </w:r>
          </w:p>
        </w:tc>
        <w:tc>
          <w:tcPr>
            <w:tcW w:w="4723" w:type="dxa"/>
            <w:gridSpan w:val="4"/>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重庆市大气污染物综合排放标准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181" w:type="dxa"/>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超标情况</w:t>
            </w:r>
          </w:p>
        </w:tc>
        <w:tc>
          <w:tcPr>
            <w:tcW w:w="4723" w:type="dxa"/>
            <w:gridSpan w:val="4"/>
            <w:vAlign w:val="top"/>
          </w:tcPr>
          <w:p>
            <w:pPr>
              <w:numPr>
                <w:ilvl w:val="0"/>
                <w:numId w:val="0"/>
              </w:numPr>
              <w:jc w:val="center"/>
              <w:rPr>
                <w:rFonts w:hint="eastAsia"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无超标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904" w:type="dxa"/>
            <w:gridSpan w:val="5"/>
          </w:tcPr>
          <w:p>
            <w:pPr>
              <w:numPr>
                <w:ilvl w:val="0"/>
                <w:numId w:val="0"/>
              </w:numPr>
              <w:jc w:val="center"/>
              <w:rPr>
                <w:rFonts w:hint="default" w:asciiTheme="minorEastAsia" w:hAnsiTheme="minorEastAsia" w:eastAsiaTheme="minorEastAsia" w:cstheme="minorEastAsia"/>
                <w:sz w:val="30"/>
                <w:szCs w:val="30"/>
                <w:vertAlign w:val="baseline"/>
                <w:lang w:val="en-US" w:eastAsia="zh-CN"/>
              </w:rPr>
            </w:pPr>
            <w:r>
              <w:rPr>
                <w:rFonts w:hint="eastAsia" w:asciiTheme="minorEastAsia" w:hAnsiTheme="minorEastAsia" w:eastAsiaTheme="minorEastAsia" w:cstheme="minorEastAsia"/>
                <w:sz w:val="30"/>
                <w:szCs w:val="30"/>
                <w:vertAlign w:val="baseline"/>
                <w:lang w:val="en-US" w:eastAsia="zh-CN"/>
              </w:rPr>
              <w:t>注：数据均是按照</w:t>
            </w:r>
            <w:r>
              <w:rPr>
                <w:rFonts w:hint="eastAsia" w:asciiTheme="minorEastAsia" w:hAnsiTheme="minorEastAsia" w:cstheme="minorEastAsia"/>
                <w:sz w:val="30"/>
                <w:szCs w:val="30"/>
                <w:vertAlign w:val="baseline"/>
                <w:lang w:val="en-US" w:eastAsia="zh-CN"/>
              </w:rPr>
              <w:t>运行记录估算而得</w:t>
            </w:r>
          </w:p>
        </w:tc>
      </w:tr>
    </w:tbl>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numPr>
          <w:ilvl w:val="0"/>
          <w:numId w:val="0"/>
        </w:numPr>
        <w:ind w:leftChars="0"/>
        <w:rPr>
          <w:rFonts w:hint="eastAsia" w:asciiTheme="minorEastAsia" w:hAnsiTheme="minorEastAsia" w:eastAsiaTheme="minorEastAsia" w:cstheme="minorEastAsia"/>
          <w:sz w:val="21"/>
          <w:szCs w:val="21"/>
          <w:lang w:val="en-US" w:eastAsia="zh-CN"/>
        </w:rPr>
      </w:pPr>
    </w:p>
    <w:p>
      <w:pPr>
        <w:jc w:val="center"/>
        <w:rPr>
          <w:rFonts w:hint="eastAsia" w:asciiTheme="minorEastAsia" w:hAnsiTheme="minorEastAsia" w:eastAsiaTheme="minorEastAsia" w:cstheme="minorEastAsia"/>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center"/>
        <w:rPr>
          <w:rFonts w:hint="eastAsia" w:eastAsia="仿宋_GB2312"/>
          <w:b/>
          <w:color w:val="000000"/>
          <w:sz w:val="28"/>
          <w:szCs w:val="28"/>
          <w:lang w:val="en-US" w:eastAsia="zh-CN"/>
        </w:rPr>
      </w:pPr>
    </w:p>
    <w:p>
      <w:pPr>
        <w:jc w:val="left"/>
        <w:rPr>
          <w:rFonts w:hint="default" w:eastAsia="仿宋_GB2312"/>
          <w:b/>
          <w:color w:val="000000"/>
          <w:sz w:val="28"/>
          <w:szCs w:val="28"/>
          <w:lang w:val="en-US" w:eastAsia="zh-CN"/>
        </w:rPr>
      </w:pPr>
      <w:r>
        <w:rPr>
          <w:rFonts w:hint="eastAsia" w:eastAsia="仿宋_GB2312"/>
          <w:b/>
          <w:color w:val="000000"/>
          <w:sz w:val="28"/>
          <w:szCs w:val="28"/>
          <w:lang w:val="en-US" w:eastAsia="zh-CN"/>
        </w:rPr>
        <w:t>排口分布图</w:t>
      </w:r>
    </w:p>
    <w:p>
      <w:pPr>
        <w:jc w:val="center"/>
        <w:rPr>
          <w:rFonts w:hint="eastAsia" w:eastAsia="仿宋_GB2312"/>
          <w:b/>
          <w:color w:val="000000"/>
          <w:sz w:val="28"/>
          <w:szCs w:val="28"/>
          <w:lang w:val="en-US" w:eastAsia="zh-CN"/>
        </w:rPr>
      </w:pPr>
      <w:r>
        <w:object>
          <v:shape id="_x0000_i1025" o:spt="75" type="#_x0000_t75" style="height:193.3pt;width:482.65pt;" o:ole="t" filled="f" o:preferrelative="t" stroked="f" coordsize="21600,21600">
            <v:path/>
            <v:fill on="f" focussize="0,0"/>
            <v:stroke on="f"/>
            <v:imagedata r:id="rId31" o:title=""/>
            <o:lock v:ext="edit" aspectratio="t"/>
            <w10:wrap type="none"/>
            <w10:anchorlock/>
          </v:shape>
          <o:OLEObject Type="Embed" ProgID="Visio.Drawing.11" ShapeID="_x0000_i1025" DrawAspect="Content" ObjectID="_1468075725" r:id="rId30">
            <o:LockedField>false</o:LockedField>
          </o:OLEObject>
        </w:object>
      </w:r>
    </w:p>
    <w:p>
      <w:pPr>
        <w:jc w:val="center"/>
        <w:rPr>
          <w:rFonts w:hint="eastAsia" w:eastAsia="仿宋_GB2312"/>
          <w:b/>
          <w:color w:val="000000"/>
          <w:sz w:val="28"/>
          <w:szCs w:val="28"/>
          <w:lang w:val="en-US" w:eastAsia="zh-CN"/>
        </w:rPr>
      </w:pPr>
    </w:p>
    <w:p>
      <w:pPr>
        <w:jc w:val="both"/>
        <w:rPr>
          <w:rFonts w:hint="eastAsia" w:eastAsia="仿宋_GB2312"/>
          <w:b/>
          <w:color w:val="000000"/>
          <w:sz w:val="28"/>
          <w:szCs w:val="28"/>
          <w:lang w:val="en-US" w:eastAsia="zh-CN"/>
        </w:rPr>
      </w:pPr>
    </w:p>
    <w:p>
      <w:pPr>
        <w:jc w:val="left"/>
        <w:rPr>
          <w:rFonts w:hint="default" w:eastAsia="仿宋_GB2312"/>
          <w:b/>
          <w:color w:val="000000"/>
          <w:sz w:val="28"/>
          <w:szCs w:val="28"/>
          <w:lang w:val="en-US" w:eastAsia="zh-CN"/>
        </w:rPr>
      </w:pPr>
      <w:r>
        <w:rPr>
          <w:rFonts w:hint="eastAsia" w:eastAsia="仿宋_GB2312"/>
          <w:b/>
          <w:color w:val="000000"/>
          <w:sz w:val="28"/>
          <w:szCs w:val="28"/>
          <w:lang w:val="en-US" w:eastAsia="zh-CN"/>
        </w:rPr>
        <w:t>三、污染治理设施</w:t>
      </w:r>
    </w:p>
    <w:p>
      <w:pPr>
        <w:jc w:val="center"/>
        <w:rPr>
          <w:rFonts w:hint="eastAsia" w:ascii="仿宋_GB2312" w:eastAsia="仿宋_GB2312"/>
          <w:b/>
          <w:color w:val="000000"/>
          <w:sz w:val="28"/>
          <w:szCs w:val="28"/>
        </w:rPr>
      </w:pPr>
      <w:r>
        <w:rPr>
          <w:rFonts w:hint="eastAsia" w:eastAsia="仿宋_GB2312"/>
          <w:b/>
          <w:color w:val="000000"/>
          <w:sz w:val="28"/>
          <w:szCs w:val="28"/>
          <w:lang w:val="en-US" w:eastAsia="zh-CN"/>
        </w:rPr>
        <w:t>污染</w:t>
      </w:r>
      <w:r>
        <w:rPr>
          <w:rFonts w:hint="eastAsia" w:eastAsia="仿宋_GB2312"/>
          <w:b/>
          <w:color w:val="000000"/>
          <w:sz w:val="28"/>
          <w:szCs w:val="28"/>
        </w:rPr>
        <w:t>治理设施一览表</w:t>
      </w:r>
    </w:p>
    <w:tbl>
      <w:tblPr>
        <w:tblStyle w:val="20"/>
        <w:tblW w:w="9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1890"/>
        <w:gridCol w:w="1335"/>
        <w:gridCol w:w="1677"/>
        <w:gridCol w:w="1698"/>
        <w:gridCol w:w="1420"/>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98" w:type="dxa"/>
            <w:noWrap w:val="0"/>
            <w:vAlign w:val="center"/>
          </w:tcPr>
          <w:p>
            <w:pPr>
              <w:spacing w:line="460" w:lineRule="exact"/>
              <w:jc w:val="center"/>
              <w:rPr>
                <w:rFonts w:eastAsia="仿宋_GB2312"/>
                <w:color w:val="000000"/>
                <w:sz w:val="24"/>
              </w:rPr>
            </w:pPr>
            <w:r>
              <w:rPr>
                <w:rFonts w:eastAsia="仿宋_GB2312"/>
                <w:color w:val="000000"/>
                <w:sz w:val="24"/>
              </w:rPr>
              <w:t>编号</w:t>
            </w:r>
          </w:p>
        </w:tc>
        <w:tc>
          <w:tcPr>
            <w:tcW w:w="1890" w:type="dxa"/>
            <w:noWrap w:val="0"/>
            <w:vAlign w:val="center"/>
          </w:tcPr>
          <w:p>
            <w:pPr>
              <w:spacing w:line="460" w:lineRule="exact"/>
              <w:jc w:val="center"/>
              <w:rPr>
                <w:rFonts w:eastAsia="仿宋_GB2312"/>
                <w:color w:val="000000"/>
                <w:sz w:val="24"/>
              </w:rPr>
            </w:pPr>
            <w:r>
              <w:rPr>
                <w:rFonts w:eastAsia="仿宋_GB2312"/>
                <w:color w:val="000000"/>
                <w:sz w:val="24"/>
              </w:rPr>
              <w:t>位置</w:t>
            </w:r>
          </w:p>
        </w:tc>
        <w:tc>
          <w:tcPr>
            <w:tcW w:w="1335" w:type="dxa"/>
            <w:noWrap w:val="0"/>
            <w:vAlign w:val="center"/>
          </w:tcPr>
          <w:p>
            <w:pPr>
              <w:spacing w:line="460" w:lineRule="exact"/>
              <w:jc w:val="center"/>
              <w:rPr>
                <w:rFonts w:eastAsia="仿宋_GB2312"/>
                <w:color w:val="000000"/>
                <w:sz w:val="24"/>
              </w:rPr>
            </w:pPr>
            <w:r>
              <w:rPr>
                <w:rFonts w:eastAsia="仿宋_GB2312"/>
                <w:color w:val="000000"/>
                <w:sz w:val="24"/>
              </w:rPr>
              <w:t>主要</w:t>
            </w:r>
          </w:p>
          <w:p>
            <w:pPr>
              <w:spacing w:line="460" w:lineRule="exact"/>
              <w:jc w:val="center"/>
              <w:rPr>
                <w:rFonts w:eastAsia="仿宋_GB2312"/>
                <w:color w:val="000000"/>
                <w:sz w:val="24"/>
              </w:rPr>
            </w:pPr>
            <w:r>
              <w:rPr>
                <w:rFonts w:eastAsia="仿宋_GB2312"/>
                <w:color w:val="000000"/>
                <w:sz w:val="24"/>
              </w:rPr>
              <w:t>污染物</w:t>
            </w:r>
          </w:p>
        </w:tc>
        <w:tc>
          <w:tcPr>
            <w:tcW w:w="1677" w:type="dxa"/>
            <w:noWrap w:val="0"/>
            <w:vAlign w:val="center"/>
          </w:tcPr>
          <w:p>
            <w:pPr>
              <w:spacing w:line="460" w:lineRule="exact"/>
              <w:jc w:val="center"/>
              <w:rPr>
                <w:rFonts w:eastAsia="仿宋_GB2312"/>
                <w:color w:val="000000"/>
                <w:sz w:val="24"/>
              </w:rPr>
            </w:pPr>
            <w:r>
              <w:rPr>
                <w:rFonts w:eastAsia="仿宋_GB2312"/>
                <w:color w:val="000000"/>
                <w:sz w:val="24"/>
              </w:rPr>
              <w:t>治理措施</w:t>
            </w:r>
          </w:p>
        </w:tc>
        <w:tc>
          <w:tcPr>
            <w:tcW w:w="1698" w:type="dxa"/>
            <w:noWrap w:val="0"/>
            <w:vAlign w:val="center"/>
          </w:tcPr>
          <w:p>
            <w:pPr>
              <w:spacing w:line="460" w:lineRule="exact"/>
              <w:jc w:val="center"/>
              <w:rPr>
                <w:rFonts w:eastAsia="仿宋_GB2312"/>
                <w:color w:val="000000"/>
                <w:sz w:val="24"/>
              </w:rPr>
            </w:pPr>
            <w:r>
              <w:rPr>
                <w:rFonts w:eastAsia="仿宋_GB2312"/>
                <w:color w:val="000000"/>
                <w:sz w:val="24"/>
              </w:rPr>
              <w:t>型号</w:t>
            </w:r>
          </w:p>
        </w:tc>
        <w:tc>
          <w:tcPr>
            <w:tcW w:w="1420" w:type="dxa"/>
            <w:noWrap w:val="0"/>
            <w:vAlign w:val="center"/>
          </w:tcPr>
          <w:p>
            <w:pPr>
              <w:spacing w:line="460" w:lineRule="exact"/>
              <w:jc w:val="center"/>
              <w:rPr>
                <w:rFonts w:eastAsia="仿宋_GB2312"/>
                <w:color w:val="000000"/>
                <w:sz w:val="24"/>
              </w:rPr>
            </w:pPr>
            <w:r>
              <w:rPr>
                <w:rFonts w:eastAsia="仿宋_GB2312"/>
                <w:color w:val="000000"/>
                <w:sz w:val="24"/>
              </w:rPr>
              <w:t>风量(m</w:t>
            </w:r>
            <w:r>
              <w:rPr>
                <w:rFonts w:eastAsia="仿宋_GB2312"/>
                <w:color w:val="000000"/>
                <w:sz w:val="24"/>
                <w:vertAlign w:val="superscript"/>
              </w:rPr>
              <w:t>3</w:t>
            </w:r>
            <w:r>
              <w:rPr>
                <w:rFonts w:eastAsia="仿宋_GB2312"/>
                <w:color w:val="000000"/>
                <w:sz w:val="24"/>
              </w:rPr>
              <w:t>/h)</w:t>
            </w:r>
          </w:p>
        </w:tc>
        <w:tc>
          <w:tcPr>
            <w:tcW w:w="992" w:type="dxa"/>
            <w:noWrap w:val="0"/>
            <w:vAlign w:val="center"/>
          </w:tcPr>
          <w:p>
            <w:pPr>
              <w:spacing w:line="460" w:lineRule="exact"/>
              <w:jc w:val="center"/>
              <w:rPr>
                <w:rFonts w:eastAsia="仿宋_GB2312"/>
                <w:color w:val="000000"/>
                <w:sz w:val="24"/>
              </w:rPr>
            </w:pPr>
            <w:r>
              <w:rPr>
                <w:rFonts w:eastAsia="仿宋_GB2312"/>
                <w:color w:val="000000"/>
                <w:sz w:val="24"/>
              </w:rPr>
              <w:t>排气高度（m）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eastAsia="仿宋_GB2312"/>
                <w:color w:val="000000"/>
                <w:sz w:val="24"/>
              </w:rPr>
            </w:pPr>
            <w:r>
              <w:rPr>
                <w:rFonts w:eastAsia="仿宋_GB2312"/>
                <w:color w:val="000000"/>
                <w:sz w:val="24"/>
              </w:rPr>
              <w:t>1</w:t>
            </w:r>
            <w:r>
              <w:rPr>
                <w:rFonts w:hint="eastAsia" w:eastAsia="仿宋_GB2312"/>
                <w:color w:val="000000"/>
                <w:sz w:val="24"/>
              </w:rPr>
              <w:t>#</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辅助</w:t>
            </w:r>
            <w:r>
              <w:rPr>
                <w:rFonts w:ascii="楷体" w:hAnsi="楷体" w:eastAsia="楷体"/>
                <w:color w:val="000000"/>
                <w:kern w:val="0"/>
                <w:szCs w:val="21"/>
              </w:rPr>
              <w:t>喂料、破碎</w:t>
            </w:r>
            <w:r>
              <w:rPr>
                <w:rFonts w:ascii="楷体" w:hAnsi="楷体" w:eastAsia="楷体"/>
                <w:color w:val="000000"/>
                <w:spacing w:val="-13"/>
                <w:kern w:val="0"/>
                <w:szCs w:val="21"/>
              </w:rPr>
              <w:t xml:space="preserve"> </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hint="eastAsia"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13000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eastAsia="仿宋_GB2312"/>
                <w:color w:val="000000"/>
                <w:sz w:val="24"/>
              </w:rPr>
            </w:pPr>
            <w:r>
              <w:rPr>
                <w:rFonts w:eastAsia="仿宋_GB2312"/>
                <w:color w:val="000000"/>
                <w:sz w:val="24"/>
              </w:rPr>
              <w:t>2</w:t>
            </w:r>
            <w:r>
              <w:rPr>
                <w:rFonts w:hint="eastAsia" w:eastAsia="仿宋_GB2312"/>
                <w:color w:val="000000"/>
                <w:sz w:val="24"/>
              </w:rPr>
              <w:t>#</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主</w:t>
            </w:r>
            <w:r>
              <w:rPr>
                <w:rFonts w:ascii="楷体" w:hAnsi="楷体" w:eastAsia="楷体"/>
                <w:color w:val="000000"/>
                <w:kern w:val="0"/>
                <w:szCs w:val="21"/>
              </w:rPr>
              <w:t>喂料、破碎</w:t>
            </w:r>
            <w:r>
              <w:rPr>
                <w:rFonts w:ascii="楷体" w:hAnsi="楷体" w:eastAsia="楷体"/>
                <w:color w:val="000000"/>
                <w:spacing w:val="-13"/>
                <w:kern w:val="0"/>
                <w:szCs w:val="21"/>
              </w:rPr>
              <w:t xml:space="preserve"> </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PPW96-2×6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eastAsia="仿宋_GB2312"/>
                <w:color w:val="000000"/>
                <w:sz w:val="24"/>
              </w:rPr>
            </w:pPr>
            <w:r>
              <w:rPr>
                <w:rFonts w:hint="eastAsia" w:eastAsia="仿宋_GB2312"/>
                <w:color w:val="000000"/>
                <w:sz w:val="24"/>
              </w:rPr>
              <w:t>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石灰石均化场皮带</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DMC（A）-96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noWrap w:val="0"/>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eastAsia="仿宋_GB2312"/>
                <w:color w:val="000000"/>
                <w:sz w:val="24"/>
              </w:rPr>
            </w:pPr>
            <w:r>
              <w:rPr>
                <w:rFonts w:eastAsia="仿宋_GB2312"/>
                <w:color w:val="000000"/>
                <w:sz w:val="24"/>
              </w:rPr>
              <w:t>4</w:t>
            </w:r>
            <w:r>
              <w:rPr>
                <w:rFonts w:hint="eastAsia" w:eastAsia="仿宋_GB2312"/>
                <w:color w:val="000000"/>
                <w:sz w:val="24"/>
              </w:rPr>
              <w:t>#</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石灰石库顶</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10800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eastAsia="仿宋_GB2312"/>
                <w:color w:val="000000"/>
                <w:sz w:val="24"/>
              </w:rPr>
            </w:pPr>
            <w:r>
              <w:rPr>
                <w:rFonts w:hint="eastAsia" w:eastAsia="仿宋_GB2312"/>
                <w:color w:val="000000"/>
                <w:sz w:val="24"/>
              </w:rPr>
              <w:t>5#</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磷渣库顶</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noWrap w:val="0"/>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煤矸石库顶</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7#</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冶炼废渣均化场皮带</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PPC1-32</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冶炼废渣均化场皮带</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PPC1-32</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立磨下料口收尘</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HQM78-4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21600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立磨空气斜槽收尘</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窑尾空气斜槽收尘</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12#</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窑尾空气斜槽收尘</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PMD-6B</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6500-7000</w:t>
            </w:r>
          </w:p>
        </w:tc>
        <w:tc>
          <w:tcPr>
            <w:tcW w:w="992"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入窑提升机收尘</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DMC-72</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14#</w:t>
            </w:r>
          </w:p>
        </w:tc>
        <w:tc>
          <w:tcPr>
            <w:tcW w:w="1890" w:type="dxa"/>
            <w:noWrap w:val="0"/>
            <w:vAlign w:val="top"/>
          </w:tcPr>
          <w:p>
            <w:pPr>
              <w:autoSpaceDE w:val="0"/>
              <w:autoSpaceDN w:val="0"/>
              <w:adjustRightInd w:val="0"/>
              <w:ind w:right="777"/>
              <w:rPr>
                <w:rFonts w:hint="eastAsia" w:eastAsia="仿宋_GB2312"/>
                <w:color w:val="000000"/>
                <w:sz w:val="24"/>
              </w:rPr>
            </w:pPr>
            <w:r>
              <w:rPr>
                <w:rFonts w:hint="eastAsia" w:ascii="楷体_GB2312" w:hAnsi="楷体_GB2312" w:eastAsia="楷体_GB2312" w:cs="楷体_GB2312"/>
                <w:color w:val="000000"/>
                <w:szCs w:val="21"/>
              </w:rPr>
              <w:t>生料均化库顶</w:t>
            </w:r>
          </w:p>
        </w:tc>
        <w:tc>
          <w:tcPr>
            <w:tcW w:w="1335" w:type="dxa"/>
            <w:noWrap w:val="0"/>
            <w:vAlign w:val="center"/>
          </w:tcPr>
          <w:p>
            <w:pPr>
              <w:autoSpaceDE w:val="0"/>
              <w:autoSpaceDN w:val="0"/>
              <w:adjustRightInd w:val="0"/>
              <w:ind w:left="-6" w:leftChars="-3" w:right="-20" w:firstLine="14" w:firstLineChars="7"/>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18000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15#</w:t>
            </w:r>
          </w:p>
        </w:tc>
        <w:tc>
          <w:tcPr>
            <w:tcW w:w="1890" w:type="dxa"/>
            <w:noWrap w:val="0"/>
            <w:vAlign w:val="center"/>
          </w:tcPr>
          <w:p>
            <w:pPr>
              <w:autoSpaceDE w:val="0"/>
              <w:autoSpaceDN w:val="0"/>
              <w:adjustRightInd w:val="0"/>
              <w:ind w:right="777"/>
              <w:jc w:val="center"/>
              <w:rPr>
                <w:rFonts w:eastAsia="仿宋_GB2312"/>
                <w:color w:val="000000"/>
                <w:sz w:val="24"/>
              </w:rPr>
            </w:pPr>
            <w:r>
              <w:rPr>
                <w:rFonts w:hint="eastAsia" w:ascii="楷体" w:hAnsi="楷体" w:eastAsia="楷体"/>
                <w:color w:val="000000"/>
                <w:kern w:val="0"/>
                <w:szCs w:val="21"/>
              </w:rPr>
              <w:t>窑尾收尘</w:t>
            </w:r>
          </w:p>
        </w:tc>
        <w:tc>
          <w:tcPr>
            <w:tcW w:w="1335" w:type="dxa"/>
            <w:noWrap w:val="0"/>
            <w:vAlign w:val="center"/>
          </w:tcPr>
          <w:p>
            <w:pPr>
              <w:autoSpaceDE w:val="0"/>
              <w:autoSpaceDN w:val="0"/>
              <w:adjustRightInd w:val="0"/>
              <w:ind w:left="-7" w:right="-20"/>
              <w:jc w:val="center"/>
              <w:rPr>
                <w:rFonts w:eastAsia="仿宋_GB2312"/>
                <w:color w:val="000000"/>
                <w:sz w:val="24"/>
              </w:rPr>
            </w:pPr>
            <w:r>
              <w:rPr>
                <w:rFonts w:ascii="楷体" w:hAnsi="楷体" w:eastAsia="楷体"/>
                <w:color w:val="000000"/>
                <w:kern w:val="0"/>
                <w:szCs w:val="21"/>
              </w:rPr>
              <w:t>粉尘、SO</w:t>
            </w:r>
            <w:r>
              <w:rPr>
                <w:rFonts w:ascii="楷体" w:hAnsi="楷体" w:eastAsia="楷体"/>
                <w:color w:val="000000"/>
                <w:kern w:val="0"/>
                <w:szCs w:val="21"/>
                <w:vertAlign w:val="subscript"/>
              </w:rPr>
              <w:t>2</w:t>
            </w:r>
            <w:r>
              <w:rPr>
                <w:rFonts w:ascii="楷体" w:hAnsi="楷体" w:eastAsia="楷体"/>
                <w:color w:val="000000"/>
                <w:kern w:val="0"/>
                <w:szCs w:val="21"/>
              </w:rPr>
              <w:t>、NO</w:t>
            </w:r>
            <w:r>
              <w:rPr>
                <w:rFonts w:ascii="楷体" w:hAnsi="楷体" w:eastAsia="楷体"/>
                <w:color w:val="000000"/>
                <w:kern w:val="0"/>
                <w:szCs w:val="21"/>
                <w:vertAlign w:val="subscript"/>
              </w:rPr>
              <w:t>x</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LCMP994-2×6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635000</w:t>
            </w:r>
          </w:p>
        </w:tc>
        <w:tc>
          <w:tcPr>
            <w:tcW w:w="992" w:type="dxa"/>
            <w:noWrap w:val="0"/>
            <w:vAlign w:val="center"/>
          </w:tcPr>
          <w:p>
            <w:pPr>
              <w:autoSpaceDE w:val="0"/>
              <w:autoSpaceDN w:val="0"/>
              <w:adjustRightInd w:val="0"/>
              <w:ind w:right="379"/>
              <w:jc w:val="center"/>
              <w:rPr>
                <w:rFonts w:hint="eastAsia" w:eastAsia="仿宋_GB2312"/>
                <w:color w:val="000000"/>
                <w:sz w:val="24"/>
              </w:rPr>
            </w:pPr>
            <w:r>
              <w:rPr>
                <w:rFonts w:hint="eastAsia" w:eastAsia="仿宋_GB2312"/>
                <w:color w:val="000000"/>
                <w:sz w:val="24"/>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窑头收尘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left="111"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Lcmp770-2×6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465600</w:t>
            </w:r>
          </w:p>
        </w:tc>
        <w:tc>
          <w:tcPr>
            <w:tcW w:w="992" w:type="dxa"/>
            <w:noWrap w:val="0"/>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17#</w:t>
            </w:r>
          </w:p>
        </w:tc>
        <w:tc>
          <w:tcPr>
            <w:tcW w:w="1890" w:type="dxa"/>
            <w:noWrap w:val="0"/>
            <w:vAlign w:val="center"/>
          </w:tcPr>
          <w:p>
            <w:pPr>
              <w:autoSpaceDE w:val="0"/>
              <w:autoSpaceDN w:val="0"/>
              <w:adjustRightInd w:val="0"/>
              <w:ind w:right="417"/>
              <w:jc w:val="center"/>
              <w:rPr>
                <w:rFonts w:eastAsia="仿宋_GB2312"/>
                <w:color w:val="000000"/>
                <w:sz w:val="24"/>
              </w:rPr>
            </w:pPr>
            <w:r>
              <w:rPr>
                <w:rFonts w:hint="eastAsia" w:ascii="楷体" w:hAnsi="楷体" w:eastAsia="楷体"/>
                <w:color w:val="000000"/>
                <w:kern w:val="0"/>
                <w:szCs w:val="21"/>
              </w:rPr>
              <w:t>熟料库顶收尘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left="87"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22300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熟料落料口收尘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HMC-96(A)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80"/>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19#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煤粉称收尘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煤磨收尘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PPCM 96-2×8</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煤粉皮带收尘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22#</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煤粉皮带收尘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DMC(A)-96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煤粉运送机下料端收尘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DMC(A)-96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7200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24#</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入辊皮带机收尘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10230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25#</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配料皮带机收尘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1#出库皮带收尘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HQM64-5</w:t>
            </w:r>
          </w:p>
        </w:tc>
        <w:tc>
          <w:tcPr>
            <w:tcW w:w="1420"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16740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27#</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2#出库皮带收尘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HQM64-5</w:t>
            </w:r>
          </w:p>
        </w:tc>
        <w:tc>
          <w:tcPr>
            <w:tcW w:w="1420"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16740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水泥配料石灰石破碎收尘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PPC40-4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12852-22803</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29#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石膏配料库收尘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14880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矿渣配料库收尘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FGM32-6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12276</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石灰石库收尘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FGM64-4</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14880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32#</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水泥磨1号后排收尘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LHMC154-2×5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235000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水泥磨2号后排收尘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LHMC154-2×5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235000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34#</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水泥磨1号尾排收尘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PPC96-9</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35#</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水泥磨2号尾排收尘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PPC96-9</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37#</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DMC80B</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8500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粉煤灰入库1#提升机收尘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39#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粉煤灰入库2#提升机收尘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DMC-96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7000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40#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水泥库1#入库提升机收尘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center"/>
          </w:tcPr>
          <w:p>
            <w:pPr>
              <w:spacing w:line="460" w:lineRule="exact"/>
              <w:jc w:val="center"/>
              <w:rPr>
                <w:rFonts w:hint="eastAsia" w:eastAsia="仿宋_GB2312"/>
                <w:color w:val="000000"/>
                <w:sz w:val="24"/>
              </w:rPr>
            </w:pPr>
            <w:r>
              <w:rPr>
                <w:rFonts w:hint="eastAsia" w:eastAsia="仿宋_GB2312"/>
                <w:color w:val="000000"/>
                <w:sz w:val="24"/>
              </w:rPr>
              <w:t>41#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水泥库2#入库提升机收尘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DMC80A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42#</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44#</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45#</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5#水泥库顶收尘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47#</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6#水泥库顶收尘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49#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4#水泥库内收尘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52#</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5#水泥库内收尘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53#</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6#水泥库内收尘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szCs w:val="21"/>
              </w:rPr>
              <w:t>HMC-126 (A)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6708</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54#</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水泥库空气斜槽收尘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DMC112A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55#</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水泥库空气斜槽收尘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DMC112A</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9000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56#</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1#包装提升机收尘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57#</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2#包装提升机收尘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58#</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3#包装提升机收尘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HQM32-5</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10000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59#</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1#包装机收尘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60#</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2#包装机收尘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dxa"/>
            <w:noWrap w:val="0"/>
            <w:vAlign w:val="top"/>
          </w:tcPr>
          <w:p>
            <w:pPr>
              <w:spacing w:line="460" w:lineRule="exact"/>
              <w:jc w:val="center"/>
              <w:rPr>
                <w:rFonts w:hint="eastAsia" w:eastAsia="仿宋_GB2312"/>
                <w:color w:val="000000"/>
                <w:sz w:val="24"/>
              </w:rPr>
            </w:pPr>
            <w:r>
              <w:rPr>
                <w:rFonts w:hint="eastAsia" w:eastAsia="仿宋_GB2312"/>
                <w:color w:val="000000"/>
                <w:sz w:val="24"/>
              </w:rPr>
              <w:t>61#</w:t>
            </w:r>
          </w:p>
        </w:tc>
        <w:tc>
          <w:tcPr>
            <w:tcW w:w="189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3#包装机收尘</w:t>
            </w:r>
          </w:p>
        </w:tc>
        <w:tc>
          <w:tcPr>
            <w:tcW w:w="1335"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粉尘</w:t>
            </w:r>
          </w:p>
        </w:tc>
        <w:tc>
          <w:tcPr>
            <w:tcW w:w="1677" w:type="dxa"/>
            <w:noWrap w:val="0"/>
            <w:vAlign w:val="center"/>
          </w:tcPr>
          <w:p>
            <w:pPr>
              <w:spacing w:line="460" w:lineRule="exact"/>
              <w:jc w:val="center"/>
              <w:rPr>
                <w:rFonts w:eastAsia="仿宋_GB2312"/>
                <w:color w:val="000000"/>
                <w:sz w:val="24"/>
              </w:rPr>
            </w:pPr>
            <w:r>
              <w:rPr>
                <w:rFonts w:hint="eastAsia" w:ascii="楷体_GB2312" w:hAnsi="楷体_GB2312" w:eastAsia="楷体_GB2312" w:cs="楷体_GB2312"/>
                <w:color w:val="000000"/>
                <w:szCs w:val="21"/>
              </w:rPr>
              <w:t>收尘器收尘</w:t>
            </w:r>
          </w:p>
        </w:tc>
        <w:tc>
          <w:tcPr>
            <w:tcW w:w="1698" w:type="dxa"/>
            <w:noWrap w:val="0"/>
            <w:vAlign w:val="center"/>
          </w:tcPr>
          <w:p>
            <w:pPr>
              <w:autoSpaceDE w:val="0"/>
              <w:autoSpaceDN w:val="0"/>
              <w:adjustRightInd w:val="0"/>
              <w:ind w:right="-20"/>
              <w:jc w:val="center"/>
              <w:rPr>
                <w:rFonts w:hint="eastAsia" w:ascii="楷体_GB2312" w:hAnsi="楷体_GB2312" w:eastAsia="楷体_GB2312" w:cs="楷体_GB2312"/>
                <w:color w:val="000000"/>
                <w:szCs w:val="21"/>
              </w:rPr>
            </w:pPr>
            <w:r>
              <w:rPr>
                <w:rFonts w:hint="eastAsia" w:ascii="楷体_GB2312" w:hAnsi="楷体_GB2312" w:eastAsia="楷体_GB2312" w:cs="楷体_GB2312"/>
                <w:color w:val="000000"/>
                <w:kern w:val="0"/>
                <w:szCs w:val="21"/>
              </w:rPr>
              <w:t>HQM96-6</w:t>
            </w:r>
          </w:p>
        </w:tc>
        <w:tc>
          <w:tcPr>
            <w:tcW w:w="1420" w:type="dxa"/>
            <w:noWrap w:val="0"/>
            <w:vAlign w:val="center"/>
          </w:tcPr>
          <w:p>
            <w:pPr>
              <w:autoSpaceDE w:val="0"/>
              <w:autoSpaceDN w:val="0"/>
              <w:adjustRightInd w:val="0"/>
              <w:ind w:right="-20"/>
              <w:jc w:val="center"/>
              <w:rPr>
                <w:rFonts w:eastAsia="仿宋_GB2312"/>
                <w:color w:val="000000"/>
                <w:sz w:val="24"/>
              </w:rPr>
            </w:pPr>
            <w:r>
              <w:rPr>
                <w:rFonts w:hint="eastAsia" w:ascii="楷体" w:hAnsi="楷体" w:eastAsia="楷体"/>
                <w:color w:val="000000"/>
                <w:kern w:val="0"/>
                <w:szCs w:val="21"/>
              </w:rPr>
              <w:t>33000</w:t>
            </w:r>
          </w:p>
        </w:tc>
        <w:tc>
          <w:tcPr>
            <w:tcW w:w="992" w:type="dxa"/>
            <w:noWrap w:val="0"/>
            <w:vAlign w:val="center"/>
          </w:tcPr>
          <w:p>
            <w:pPr>
              <w:autoSpaceDE w:val="0"/>
              <w:autoSpaceDN w:val="0"/>
              <w:adjustRightInd w:val="0"/>
              <w:ind w:right="379"/>
              <w:jc w:val="center"/>
              <w:rPr>
                <w:rFonts w:eastAsia="仿宋_GB2312"/>
                <w:color w:val="000000"/>
                <w:sz w:val="24"/>
              </w:rPr>
            </w:pPr>
            <w:r>
              <w:rPr>
                <w:rFonts w:hint="eastAsia" w:ascii="楷体" w:hAnsi="楷体" w:eastAsia="楷体"/>
                <w:color w:val="000000"/>
                <w:kern w:val="0"/>
                <w:szCs w:val="21"/>
              </w:rPr>
              <w:t>15</w:t>
            </w:r>
          </w:p>
        </w:tc>
      </w:tr>
    </w:tbl>
    <w:p>
      <w:pPr>
        <w:numPr>
          <w:ilvl w:val="0"/>
          <w:numId w:val="0"/>
        </w:numPr>
        <w:ind w:firstLine="600" w:firstLineChars="20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另，其中18#、28#收尘器因工艺改变已停止运行，其它的均在用；我司还配有一套SNCR脱硝设施降低氮氧化合物，还配备洒水车、吸尘车各一辆，还有一些地段配有雾化机降低空气中的扬尘。</w:t>
      </w:r>
    </w:p>
    <w:p>
      <w:pPr>
        <w:numPr>
          <w:ilvl w:val="0"/>
          <w:numId w:val="0"/>
        </w:numPr>
        <w:ind w:leftChars="0"/>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四、环评批复及报告书</w:t>
      </w:r>
    </w:p>
    <w:p>
      <w:pPr>
        <w:numPr>
          <w:ilvl w:val="0"/>
          <w:numId w:val="0"/>
        </w:numPr>
        <w:ind w:leftChars="0"/>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1、环评批复</w:t>
      </w:r>
    </w:p>
    <w:p>
      <w:pPr>
        <w:numPr>
          <w:ilvl w:val="0"/>
          <w:numId w:val="0"/>
        </w:numPr>
        <w:ind w:leftChars="0"/>
        <w:rPr>
          <w:rFonts w:hint="eastAsia"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5272405" cy="6969760"/>
            <wp:effectExtent l="0" t="0" r="4445" b="2540"/>
            <wp:docPr id="2" name="图片 2" descr="环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评1"/>
                    <pic:cNvPicPr>
                      <a:picLocks noChangeAspect="1"/>
                    </pic:cNvPicPr>
                  </pic:nvPicPr>
                  <pic:blipFill>
                    <a:blip r:embed="rId32"/>
                    <a:stretch>
                      <a:fillRect/>
                    </a:stretch>
                  </pic:blipFill>
                  <pic:spPr>
                    <a:xfrm>
                      <a:off x="0" y="0"/>
                      <a:ext cx="5272405" cy="6969760"/>
                    </a:xfrm>
                    <a:prstGeom prst="rect">
                      <a:avLst/>
                    </a:prstGeom>
                  </pic:spPr>
                </pic:pic>
              </a:graphicData>
            </a:graphic>
          </wp:inline>
        </w:drawing>
      </w:r>
    </w:p>
    <w:p>
      <w:pPr>
        <w:numPr>
          <w:ilvl w:val="0"/>
          <w:numId w:val="0"/>
        </w:numPr>
        <w:ind w:leftChars="0"/>
        <w:rPr>
          <w:rFonts w:hint="default" w:asciiTheme="minorEastAsia" w:hAnsiTheme="minorEastAsia" w:cstheme="minorEastAsia"/>
          <w:sz w:val="21"/>
          <w:szCs w:val="21"/>
          <w:lang w:val="en-US" w:eastAsia="zh-CN"/>
        </w:rPr>
      </w:pPr>
      <w:r>
        <w:rPr>
          <w:rFonts w:hint="default" w:asciiTheme="minorEastAsia" w:hAnsiTheme="minorEastAsia" w:cstheme="minorEastAsia"/>
          <w:sz w:val="21"/>
          <w:szCs w:val="21"/>
          <w:lang w:val="en-US" w:eastAsia="zh-CN"/>
        </w:rPr>
        <w:drawing>
          <wp:inline distT="0" distB="0" distL="114300" distR="114300">
            <wp:extent cx="5270500" cy="6897370"/>
            <wp:effectExtent l="0" t="0" r="6350" b="17780"/>
            <wp:docPr id="1" name="图片 1" descr="环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2"/>
                    <pic:cNvPicPr>
                      <a:picLocks noChangeAspect="1"/>
                    </pic:cNvPicPr>
                  </pic:nvPicPr>
                  <pic:blipFill>
                    <a:blip r:embed="rId33"/>
                    <a:stretch>
                      <a:fillRect/>
                    </a:stretch>
                  </pic:blipFill>
                  <pic:spPr>
                    <a:xfrm>
                      <a:off x="0" y="0"/>
                      <a:ext cx="5270500" cy="6897370"/>
                    </a:xfrm>
                    <a:prstGeom prst="rect">
                      <a:avLst/>
                    </a:prstGeom>
                  </pic:spPr>
                </pic:pic>
              </a:graphicData>
            </a:graphic>
          </wp:inline>
        </w:drawing>
      </w:r>
      <w:r>
        <w:rPr>
          <w:rFonts w:hint="default" w:asciiTheme="minorEastAsia" w:hAnsiTheme="minorEastAsia" w:cstheme="minorEastAsia"/>
          <w:sz w:val="21"/>
          <w:szCs w:val="21"/>
          <w:lang w:val="en-US" w:eastAsia="zh-CN"/>
        </w:rPr>
        <w:drawing>
          <wp:inline distT="0" distB="0" distL="114300" distR="114300">
            <wp:extent cx="5273040" cy="6928485"/>
            <wp:effectExtent l="0" t="0" r="3810" b="5715"/>
            <wp:docPr id="3" name="图片 3" descr="环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评3"/>
                    <pic:cNvPicPr>
                      <a:picLocks noChangeAspect="1"/>
                    </pic:cNvPicPr>
                  </pic:nvPicPr>
                  <pic:blipFill>
                    <a:blip r:embed="rId34"/>
                    <a:stretch>
                      <a:fillRect/>
                    </a:stretch>
                  </pic:blipFill>
                  <pic:spPr>
                    <a:xfrm>
                      <a:off x="0" y="0"/>
                      <a:ext cx="5273040" cy="6928485"/>
                    </a:xfrm>
                    <a:prstGeom prst="rect">
                      <a:avLst/>
                    </a:prstGeom>
                  </pic:spPr>
                </pic:pic>
              </a:graphicData>
            </a:graphic>
          </wp:inline>
        </w:drawing>
      </w: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numPr>
          <w:ilvl w:val="0"/>
          <w:numId w:val="0"/>
        </w:numPr>
        <w:ind w:leftChars="0"/>
        <w:rPr>
          <w:rFonts w:hint="default" w:asciiTheme="minorEastAsia" w:hAnsiTheme="minorEastAsia" w:cstheme="minorEastAsia"/>
          <w:sz w:val="21"/>
          <w:szCs w:val="21"/>
          <w:lang w:val="en-US" w:eastAsia="zh-CN"/>
        </w:rPr>
      </w:pPr>
    </w:p>
    <w:p>
      <w:pPr>
        <w:pStyle w:val="16"/>
        <w:rPr>
          <w:rFonts w:hint="default" w:ascii="黑体" w:eastAsia="黑体"/>
          <w:sz w:val="28"/>
          <w:lang w:val="en-US" w:eastAsia="zh-CN"/>
        </w:rPr>
      </w:pPr>
      <w:r>
        <w:rPr>
          <w:rFonts w:hint="eastAsia" w:ascii="黑体" w:eastAsia="黑体"/>
          <w:sz w:val="28"/>
        </w:rPr>
        <w:t xml:space="preserve">     </w:t>
      </w:r>
      <w:r>
        <w:rPr>
          <w:rFonts w:hint="eastAsia" w:ascii="黑体" w:eastAsia="黑体"/>
          <w:sz w:val="28"/>
          <w:lang w:val="en-US" w:eastAsia="zh-CN"/>
        </w:rPr>
        <w:t>2、环境影响报告书</w:t>
      </w:r>
    </w:p>
    <w:p>
      <w:pPr>
        <w:pStyle w:val="16"/>
        <w:rPr>
          <w:rFonts w:hint="eastAsia" w:ascii="黑体" w:eastAsia="黑体"/>
          <w:sz w:val="30"/>
          <w:szCs w:val="30"/>
        </w:rPr>
      </w:pPr>
      <w:r>
        <w:rPr>
          <w:rFonts w:hint="eastAsia" w:ascii="黑体" w:eastAsia="黑体"/>
          <w:sz w:val="28"/>
        </w:rPr>
        <w:t xml:space="preserve">                         </w:t>
      </w:r>
      <w:r>
        <w:rPr>
          <w:rFonts w:hint="eastAsia" w:ascii="黑体" w:eastAsia="黑体"/>
          <w:sz w:val="30"/>
          <w:szCs w:val="30"/>
        </w:rPr>
        <w:t>目    录</w:t>
      </w:r>
    </w:p>
    <w:p>
      <w:pPr>
        <w:pStyle w:val="16"/>
        <w:rPr>
          <w:b w:val="0"/>
          <w:bCs w:val="0"/>
          <w:caps w:val="0"/>
          <w:sz w:val="21"/>
        </w:rPr>
      </w:pPr>
      <w:r>
        <w:rPr>
          <w:rFonts w:ascii="黑体" w:eastAsia="黑体"/>
          <w:sz w:val="28"/>
        </w:rPr>
        <w:fldChar w:fldCharType="begin"/>
      </w:r>
      <w:r>
        <w:rPr>
          <w:rFonts w:ascii="黑体" w:eastAsia="黑体"/>
          <w:sz w:val="28"/>
        </w:rPr>
        <w:instrText xml:space="preserve"> TOC \o "1-2" \h \z \u </w:instrText>
      </w:r>
      <w:r>
        <w:rPr>
          <w:rFonts w:ascii="黑体" w:eastAsia="黑体"/>
          <w:sz w:val="28"/>
        </w:rPr>
        <w:fldChar w:fldCharType="separate"/>
      </w:r>
      <w:r>
        <w:rPr>
          <w:rStyle w:val="25"/>
        </w:rPr>
        <w:fldChar w:fldCharType="begin"/>
      </w:r>
      <w:r>
        <w:rPr>
          <w:rStyle w:val="25"/>
        </w:rPr>
        <w:instrText xml:space="preserve"> </w:instrText>
      </w:r>
      <w:r>
        <w:instrText xml:space="preserve">HYPERLINK \l "_Toc276372209"</w:instrText>
      </w:r>
      <w:r>
        <w:rPr>
          <w:rStyle w:val="25"/>
        </w:rPr>
        <w:instrText xml:space="preserve"> </w:instrText>
      </w:r>
      <w:r>
        <w:rPr>
          <w:rStyle w:val="25"/>
        </w:rPr>
        <w:fldChar w:fldCharType="separate"/>
      </w:r>
      <w:r>
        <w:rPr>
          <w:rStyle w:val="25"/>
          <w:rFonts w:hint="eastAsia" w:ascii="黑体" w:eastAsia="黑体"/>
        </w:rPr>
        <w:t>前</w:t>
      </w:r>
      <w:r>
        <w:rPr>
          <w:rStyle w:val="25"/>
          <w:rFonts w:ascii="黑体" w:eastAsia="黑体"/>
        </w:rPr>
        <w:t xml:space="preserve">    </w:t>
      </w:r>
      <w:r>
        <w:rPr>
          <w:rStyle w:val="25"/>
          <w:rFonts w:hint="eastAsia" w:ascii="黑体" w:eastAsia="黑体"/>
        </w:rPr>
        <w:t>言</w:t>
      </w:r>
      <w:r>
        <w:tab/>
      </w:r>
      <w:r>
        <w:fldChar w:fldCharType="begin"/>
      </w:r>
      <w:r>
        <w:instrText xml:space="preserve"> PAGEREF _Toc276372209 \h </w:instrText>
      </w:r>
      <w:r>
        <w:fldChar w:fldCharType="separate"/>
      </w:r>
      <w:r>
        <w:t>4</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"_Toc276372210"</w:instrText>
      </w:r>
      <w:r>
        <w:rPr>
          <w:rStyle w:val="25"/>
        </w:rPr>
        <w:instrText xml:space="preserve"> </w:instrText>
      </w:r>
      <w:r>
        <w:rPr>
          <w:rStyle w:val="25"/>
        </w:rPr>
        <w:fldChar w:fldCharType="separate"/>
      </w:r>
      <w:r>
        <w:rPr>
          <w:rStyle w:val="25"/>
        </w:rPr>
        <w:t>1</w:t>
      </w:r>
      <w:r>
        <w:rPr>
          <w:rStyle w:val="25"/>
          <w:rFonts w:hint="eastAsia"/>
        </w:rPr>
        <w:t>总论</w:t>
      </w:r>
      <w:r>
        <w:tab/>
      </w:r>
      <w:r>
        <w:fldChar w:fldCharType="begin"/>
      </w:r>
      <w:r>
        <w:instrText xml:space="preserve"> PAGEREF _Toc276372210 \h </w:instrText>
      </w:r>
      <w:r>
        <w:fldChar w:fldCharType="separate"/>
      </w:r>
      <w:r>
        <w:t>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"_Toc276372211"</w:instrText>
      </w:r>
      <w:r>
        <w:rPr>
          <w:rStyle w:val="25"/>
        </w:rPr>
        <w:instrText xml:space="preserve"> </w:instrText>
      </w:r>
      <w:r>
        <w:rPr>
          <w:rStyle w:val="25"/>
        </w:rPr>
        <w:fldChar w:fldCharType="separate"/>
      </w:r>
      <w:r>
        <w:rPr>
          <w:rStyle w:val="25"/>
          <w:b/>
        </w:rPr>
        <w:t xml:space="preserve">1.1 </w:t>
      </w:r>
      <w:r>
        <w:rPr>
          <w:rStyle w:val="25"/>
          <w:rFonts w:hint="eastAsia"/>
          <w:b/>
        </w:rPr>
        <w:t>评价目的</w:t>
      </w:r>
      <w:r>
        <w:tab/>
      </w:r>
      <w:r>
        <w:fldChar w:fldCharType="begin"/>
      </w:r>
      <w:r>
        <w:instrText xml:space="preserve"> PAGEREF _Toc276372211 \h </w:instrText>
      </w:r>
      <w:r>
        <w:fldChar w:fldCharType="separate"/>
      </w:r>
      <w:r>
        <w:t>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"_Toc276372212"</w:instrText>
      </w:r>
      <w:r>
        <w:rPr>
          <w:rStyle w:val="25"/>
        </w:rPr>
        <w:instrText xml:space="preserve"> </w:instrText>
      </w:r>
      <w:r>
        <w:rPr>
          <w:rStyle w:val="25"/>
        </w:rPr>
        <w:fldChar w:fldCharType="separate"/>
      </w:r>
      <w:r>
        <w:rPr>
          <w:rStyle w:val="25"/>
          <w:b/>
        </w:rPr>
        <w:t xml:space="preserve">1.2 </w:t>
      </w:r>
      <w:r>
        <w:rPr>
          <w:rStyle w:val="25"/>
          <w:rFonts w:hint="eastAsia"/>
          <w:b/>
        </w:rPr>
        <w:t>编制依据</w:t>
      </w:r>
      <w:r>
        <w:tab/>
      </w:r>
      <w:r>
        <w:fldChar w:fldCharType="begin"/>
      </w:r>
      <w:r>
        <w:instrText xml:space="preserve"> PAGEREF _Toc276372212 \h </w:instrText>
      </w:r>
      <w:r>
        <w:fldChar w:fldCharType="separate"/>
      </w:r>
      <w:r>
        <w:t>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"_Toc276372213"</w:instrText>
      </w:r>
      <w:r>
        <w:rPr>
          <w:rStyle w:val="25"/>
        </w:rPr>
        <w:instrText xml:space="preserve"> </w:instrText>
      </w:r>
      <w:r>
        <w:rPr>
          <w:rStyle w:val="25"/>
        </w:rPr>
        <w:fldChar w:fldCharType="separate"/>
      </w:r>
      <w:r>
        <w:rPr>
          <w:rStyle w:val="25"/>
          <w:b/>
        </w:rPr>
        <w:t xml:space="preserve">1.3 </w:t>
      </w:r>
      <w:r>
        <w:rPr>
          <w:rStyle w:val="25"/>
          <w:rFonts w:hint="eastAsia"/>
          <w:b/>
        </w:rPr>
        <w:t>评价原则</w:t>
      </w:r>
      <w:r>
        <w:tab/>
      </w:r>
      <w:r>
        <w:fldChar w:fldCharType="begin"/>
      </w:r>
      <w:r>
        <w:instrText xml:space="preserve"> PAGEREF _Toc276372213 \h </w:instrText>
      </w:r>
      <w:r>
        <w:fldChar w:fldCharType="separate"/>
      </w:r>
      <w:r>
        <w:t>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"_Toc276372214"</w:instrText>
      </w:r>
      <w:r>
        <w:rPr>
          <w:rStyle w:val="25"/>
        </w:rPr>
        <w:instrText xml:space="preserve"> </w:instrText>
      </w:r>
      <w:r>
        <w:rPr>
          <w:rStyle w:val="25"/>
        </w:rPr>
        <w:fldChar w:fldCharType="separate"/>
      </w:r>
      <w:r>
        <w:rPr>
          <w:rStyle w:val="25"/>
          <w:b/>
        </w:rPr>
        <w:t>1.4</w:t>
      </w:r>
      <w:r>
        <w:rPr>
          <w:rStyle w:val="25"/>
          <w:rFonts w:hint="eastAsia"/>
          <w:b/>
        </w:rPr>
        <w:t>总体构思</w:t>
      </w:r>
      <w:r>
        <w:tab/>
      </w:r>
      <w:r>
        <w:fldChar w:fldCharType="begin"/>
      </w:r>
      <w:r>
        <w:instrText xml:space="preserve"> PAGEREF _Toc276372214 \h </w:instrText>
      </w:r>
      <w:r>
        <w:fldChar w:fldCharType="separate"/>
      </w:r>
      <w:r>
        <w:t>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"_Toc276372215"</w:instrText>
      </w:r>
      <w:r>
        <w:rPr>
          <w:rStyle w:val="25"/>
        </w:rPr>
        <w:instrText xml:space="preserve"> </w:instrText>
      </w:r>
      <w:r>
        <w:rPr>
          <w:rStyle w:val="25"/>
        </w:rPr>
        <w:fldChar w:fldCharType="separate"/>
      </w:r>
      <w:r>
        <w:rPr>
          <w:rStyle w:val="25"/>
          <w:b/>
        </w:rPr>
        <w:t xml:space="preserve">1.5 </w:t>
      </w:r>
      <w:r>
        <w:rPr>
          <w:rStyle w:val="25"/>
          <w:rFonts w:hint="eastAsia"/>
          <w:b/>
        </w:rPr>
        <w:t>评价标准</w:t>
      </w:r>
      <w:r>
        <w:tab/>
      </w:r>
      <w:r>
        <w:fldChar w:fldCharType="begin"/>
      </w:r>
      <w:r>
        <w:instrText xml:space="preserve"> PAGEREF _Toc276372215 \h </w:instrText>
      </w:r>
      <w:r>
        <w:fldChar w:fldCharType="separate"/>
      </w:r>
      <w:r>
        <w:t>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"_Toc276372216"</w:instrText>
      </w:r>
      <w:r>
        <w:rPr>
          <w:rStyle w:val="25"/>
        </w:rPr>
        <w:instrText xml:space="preserve"> </w:instrText>
      </w:r>
      <w:r>
        <w:rPr>
          <w:rStyle w:val="25"/>
        </w:rPr>
        <w:fldChar w:fldCharType="separate"/>
      </w:r>
      <w:r>
        <w:rPr>
          <w:rStyle w:val="25"/>
          <w:b/>
        </w:rPr>
        <w:t xml:space="preserve">1.6 </w:t>
      </w:r>
      <w:r>
        <w:rPr>
          <w:rStyle w:val="25"/>
          <w:rFonts w:hint="eastAsia"/>
          <w:b/>
        </w:rPr>
        <w:t>评价等级</w:t>
      </w:r>
      <w:r>
        <w:tab/>
      </w:r>
      <w:r>
        <w:fldChar w:fldCharType="begin"/>
      </w:r>
      <w:r>
        <w:instrText xml:space="preserve"> PAGEREF _Toc276372216 \h </w:instrText>
      </w:r>
      <w:r>
        <w:fldChar w:fldCharType="separate"/>
      </w:r>
      <w:r>
        <w:t>10</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"_Toc276372217"</w:instrText>
      </w:r>
      <w:r>
        <w:rPr>
          <w:rStyle w:val="25"/>
        </w:rPr>
        <w:instrText xml:space="preserve"> </w:instrText>
      </w:r>
      <w:r>
        <w:rPr>
          <w:rStyle w:val="25"/>
        </w:rPr>
        <w:fldChar w:fldCharType="separate"/>
      </w:r>
      <w:r>
        <w:rPr>
          <w:rStyle w:val="25"/>
          <w:b/>
        </w:rPr>
        <w:t xml:space="preserve">1.8  </w:t>
      </w:r>
      <w:r>
        <w:rPr>
          <w:rStyle w:val="25"/>
          <w:rFonts w:hint="eastAsia"/>
          <w:b/>
        </w:rPr>
        <w:t>环境影响因子识别和筛选</w:t>
      </w:r>
      <w:r>
        <w:tab/>
      </w:r>
      <w:r>
        <w:fldChar w:fldCharType="begin"/>
      </w:r>
      <w:r>
        <w:instrText xml:space="preserve"> PAGEREF _Toc276372217 \h </w:instrText>
      </w:r>
      <w:r>
        <w:fldChar w:fldCharType="separate"/>
      </w:r>
      <w:r>
        <w:t>11</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"_Toc276372218"</w:instrText>
      </w:r>
      <w:r>
        <w:rPr>
          <w:rStyle w:val="25"/>
        </w:rPr>
        <w:instrText xml:space="preserve"> </w:instrText>
      </w:r>
      <w:r>
        <w:rPr>
          <w:rStyle w:val="25"/>
        </w:rPr>
        <w:fldChar w:fldCharType="separate"/>
      </w:r>
      <w:r>
        <w:rPr>
          <w:rStyle w:val="25"/>
          <w:b/>
        </w:rPr>
        <w:t xml:space="preserve">1.9 </w:t>
      </w:r>
      <w:r>
        <w:rPr>
          <w:rStyle w:val="25"/>
          <w:rFonts w:hint="eastAsia"/>
          <w:b/>
        </w:rPr>
        <w:t>评价范围、评价时段及评价因子</w:t>
      </w:r>
      <w:r>
        <w:tab/>
      </w:r>
      <w:r>
        <w:fldChar w:fldCharType="begin"/>
      </w:r>
      <w:r>
        <w:instrText xml:space="preserve"> PAGEREF _Toc276372218 \h </w:instrText>
      </w:r>
      <w:r>
        <w:fldChar w:fldCharType="separate"/>
      </w:r>
      <w:r>
        <w:t>13</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"_Toc276372219"</w:instrText>
      </w:r>
      <w:r>
        <w:rPr>
          <w:rStyle w:val="25"/>
        </w:rPr>
        <w:instrText xml:space="preserve"> </w:instrText>
      </w:r>
      <w:r>
        <w:rPr>
          <w:rStyle w:val="25"/>
        </w:rPr>
        <w:fldChar w:fldCharType="separate"/>
      </w:r>
      <w:r>
        <w:rPr>
          <w:rStyle w:val="25"/>
          <w:b/>
        </w:rPr>
        <w:t>1.10</w:t>
      </w:r>
      <w:r>
        <w:rPr>
          <w:rStyle w:val="25"/>
          <w:rFonts w:hint="eastAsia"/>
          <w:b/>
        </w:rPr>
        <w:t>污染控制目标及环境敏感点</w:t>
      </w:r>
      <w:r>
        <w:tab/>
      </w:r>
      <w:r>
        <w:fldChar w:fldCharType="begin"/>
      </w:r>
      <w:r>
        <w:instrText xml:space="preserve"> PAGEREF _Toc276372219 \h </w:instrText>
      </w:r>
      <w:r>
        <w:fldChar w:fldCharType="separate"/>
      </w:r>
      <w:r>
        <w:t>14</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"_Toc276372220"</w:instrText>
      </w:r>
      <w:r>
        <w:rPr>
          <w:rStyle w:val="25"/>
        </w:rPr>
        <w:instrText xml:space="preserve"> </w:instrText>
      </w:r>
      <w:r>
        <w:rPr>
          <w:rStyle w:val="25"/>
        </w:rPr>
        <w:fldChar w:fldCharType="separate"/>
      </w:r>
      <w:r>
        <w:rPr>
          <w:rStyle w:val="25"/>
        </w:rPr>
        <w:t>2</w:t>
      </w:r>
      <w:r>
        <w:rPr>
          <w:rStyle w:val="25"/>
          <w:rFonts w:hint="eastAsia"/>
        </w:rPr>
        <w:t>重庆永荣青鹏煤业有限公司现状</w:t>
      </w:r>
      <w:r>
        <w:tab/>
      </w:r>
      <w:r>
        <w:fldChar w:fldCharType="begin"/>
      </w:r>
      <w:r>
        <w:instrText xml:space="preserve"> PAGEREF _Toc276372220 \h </w:instrText>
      </w:r>
      <w:r>
        <w:fldChar w:fldCharType="separate"/>
      </w:r>
      <w:r>
        <w:t>16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"_Toc276372221"</w:instrText>
      </w:r>
      <w:r>
        <w:rPr>
          <w:rStyle w:val="25"/>
        </w:rPr>
        <w:instrText xml:space="preserve"> </w:instrText>
      </w:r>
      <w:r>
        <w:rPr>
          <w:rStyle w:val="25"/>
        </w:rPr>
        <w:fldChar w:fldCharType="separate"/>
      </w:r>
      <w:r>
        <w:rPr>
          <w:rStyle w:val="25"/>
          <w:b/>
        </w:rPr>
        <w:t xml:space="preserve">2.1 </w:t>
      </w:r>
      <w:r>
        <w:rPr>
          <w:rStyle w:val="25"/>
          <w:rFonts w:hint="eastAsia"/>
          <w:b/>
        </w:rPr>
        <w:t>厂址地理位置与交通</w:t>
      </w:r>
      <w:r>
        <w:tab/>
      </w:r>
      <w:r>
        <w:fldChar w:fldCharType="begin"/>
      </w:r>
      <w:r>
        <w:instrText xml:space="preserve"> PAGEREF _Toc276372221 \h </w:instrText>
      </w:r>
      <w:r>
        <w:fldChar w:fldCharType="separate"/>
      </w:r>
      <w:r>
        <w:t>16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"_Toc276372222"</w:instrText>
      </w:r>
      <w:r>
        <w:rPr>
          <w:rStyle w:val="25"/>
        </w:rPr>
        <w:instrText xml:space="preserve"> </w:instrText>
      </w:r>
      <w:r>
        <w:rPr>
          <w:rStyle w:val="25"/>
        </w:rPr>
        <w:fldChar w:fldCharType="separate"/>
      </w:r>
      <w:r>
        <w:rPr>
          <w:rStyle w:val="25"/>
          <w:b/>
        </w:rPr>
        <w:t xml:space="preserve">2.2 </w:t>
      </w:r>
      <w:r>
        <w:rPr>
          <w:rStyle w:val="25"/>
          <w:rFonts w:hint="eastAsia"/>
          <w:b/>
        </w:rPr>
        <w:t>重庆永荣青鹏煤业有限公司水泥厂基本情况</w:t>
      </w:r>
      <w:r>
        <w:tab/>
      </w:r>
      <w:r>
        <w:fldChar w:fldCharType="begin"/>
      </w:r>
      <w:r>
        <w:instrText xml:space="preserve"> PAGEREF _Toc276372222 \h </w:instrText>
      </w:r>
      <w:r>
        <w:fldChar w:fldCharType="separate"/>
      </w:r>
      <w:r>
        <w:t>16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"_Toc276372223"</w:instrText>
      </w:r>
      <w:r>
        <w:rPr>
          <w:rStyle w:val="25"/>
        </w:rPr>
        <w:instrText xml:space="preserve"> </w:instrText>
      </w:r>
      <w:r>
        <w:rPr>
          <w:rStyle w:val="25"/>
        </w:rPr>
        <w:fldChar w:fldCharType="separate"/>
      </w:r>
      <w:r>
        <w:rPr>
          <w:rStyle w:val="25"/>
          <w:b/>
        </w:rPr>
        <w:t xml:space="preserve">2.3 </w:t>
      </w:r>
      <w:r>
        <w:rPr>
          <w:rStyle w:val="25"/>
          <w:rFonts w:hint="eastAsia"/>
          <w:b/>
        </w:rPr>
        <w:t>主要生产设备</w:t>
      </w:r>
      <w:r>
        <w:tab/>
      </w:r>
      <w:r>
        <w:fldChar w:fldCharType="begin"/>
      </w:r>
      <w:r>
        <w:instrText xml:space="preserve"> PAGEREF _Toc276372223 \h </w:instrText>
      </w:r>
      <w:r>
        <w:fldChar w:fldCharType="separate"/>
      </w:r>
      <w:r>
        <w:t>16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"_Toc276372224"</w:instrText>
      </w:r>
      <w:r>
        <w:rPr>
          <w:rStyle w:val="25"/>
        </w:rPr>
        <w:instrText xml:space="preserve"> </w:instrText>
      </w:r>
      <w:r>
        <w:rPr>
          <w:rStyle w:val="25"/>
        </w:rPr>
        <w:fldChar w:fldCharType="separate"/>
      </w:r>
      <w:r>
        <w:rPr>
          <w:rStyle w:val="25"/>
          <w:b/>
        </w:rPr>
        <w:t xml:space="preserve">2.4 </w:t>
      </w:r>
      <w:r>
        <w:rPr>
          <w:rStyle w:val="25"/>
          <w:rFonts w:hint="eastAsia"/>
          <w:b/>
        </w:rPr>
        <w:t>主要原料、燃料消耗及来源</w:t>
      </w:r>
      <w:r>
        <w:tab/>
      </w:r>
      <w:r>
        <w:fldChar w:fldCharType="begin"/>
      </w:r>
      <w:r>
        <w:instrText xml:space="preserve"> PAGEREF _Toc276372224 \h </w:instrText>
      </w:r>
      <w:r>
        <w:fldChar w:fldCharType="separate"/>
      </w:r>
      <w:r>
        <w:t>17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"_Toc276372225"</w:instrText>
      </w:r>
      <w:r>
        <w:rPr>
          <w:rStyle w:val="25"/>
        </w:rPr>
        <w:instrText xml:space="preserve"> </w:instrText>
      </w:r>
      <w:r>
        <w:rPr>
          <w:rStyle w:val="25"/>
        </w:rPr>
        <w:fldChar w:fldCharType="separate"/>
      </w:r>
      <w:r>
        <w:rPr>
          <w:rStyle w:val="25"/>
          <w:b/>
        </w:rPr>
        <w:t xml:space="preserve">2.5 </w:t>
      </w:r>
      <w:r>
        <w:rPr>
          <w:rStyle w:val="25"/>
          <w:rFonts w:hint="eastAsia"/>
          <w:b/>
        </w:rPr>
        <w:t>公用工程</w:t>
      </w:r>
      <w:r>
        <w:tab/>
      </w:r>
      <w:r>
        <w:fldChar w:fldCharType="begin"/>
      </w:r>
      <w:r>
        <w:instrText xml:space="preserve"> PAGEREF _Toc276372225 \h </w:instrText>
      </w:r>
      <w:r>
        <w:fldChar w:fldCharType="separate"/>
      </w:r>
      <w:r>
        <w:t>17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"_Toc276372226"</w:instrText>
      </w:r>
      <w:r>
        <w:rPr>
          <w:rStyle w:val="25"/>
        </w:rPr>
        <w:instrText xml:space="preserve"> </w:instrText>
      </w:r>
      <w:r>
        <w:rPr>
          <w:rStyle w:val="25"/>
        </w:rPr>
        <w:fldChar w:fldCharType="separate"/>
      </w:r>
      <w:r>
        <w:rPr>
          <w:rStyle w:val="25"/>
          <w:b/>
        </w:rPr>
        <w:t xml:space="preserve">2.6 </w:t>
      </w:r>
      <w:r>
        <w:rPr>
          <w:rStyle w:val="25"/>
          <w:rFonts w:hint="eastAsia"/>
          <w:b/>
        </w:rPr>
        <w:t>生产工艺</w:t>
      </w:r>
      <w:r>
        <w:tab/>
      </w:r>
      <w:r>
        <w:fldChar w:fldCharType="begin"/>
      </w:r>
      <w:r>
        <w:instrText xml:space="preserve"> PAGEREF _Toc276372226 \h </w:instrText>
      </w:r>
      <w:r>
        <w:fldChar w:fldCharType="separate"/>
      </w:r>
      <w:r>
        <w:t>17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"_Toc276372227"</w:instrText>
      </w:r>
      <w:r>
        <w:rPr>
          <w:rStyle w:val="25"/>
        </w:rPr>
        <w:instrText xml:space="preserve"> </w:instrText>
      </w:r>
      <w:r>
        <w:rPr>
          <w:rStyle w:val="25"/>
        </w:rPr>
        <w:fldChar w:fldCharType="separate"/>
      </w:r>
      <w:r>
        <w:rPr>
          <w:rStyle w:val="25"/>
          <w:b/>
        </w:rPr>
        <w:t xml:space="preserve">2.7 </w:t>
      </w:r>
      <w:r>
        <w:rPr>
          <w:rStyle w:val="25"/>
          <w:rFonts w:hint="eastAsia"/>
          <w:b/>
        </w:rPr>
        <w:t>污染物产生、治理及排放情况</w:t>
      </w:r>
      <w:r>
        <w:tab/>
      </w:r>
      <w:r>
        <w:fldChar w:fldCharType="begin"/>
      </w:r>
      <w:r>
        <w:instrText xml:space="preserve"> PAGEREF _Toc276372227 \h </w:instrText>
      </w:r>
      <w:r>
        <w:fldChar w:fldCharType="separate"/>
      </w:r>
      <w:r>
        <w:t>18</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"_Toc276372228"</w:instrText>
      </w:r>
      <w:r>
        <w:rPr>
          <w:rStyle w:val="25"/>
        </w:rPr>
        <w:instrText xml:space="preserve"> </w:instrText>
      </w:r>
      <w:r>
        <w:rPr>
          <w:rStyle w:val="25"/>
        </w:rPr>
        <w:fldChar w:fldCharType="separate"/>
      </w:r>
      <w:r>
        <w:rPr>
          <w:rStyle w:val="25"/>
        </w:rPr>
        <w:t xml:space="preserve">3 </w:t>
      </w:r>
      <w:r>
        <w:rPr>
          <w:rStyle w:val="25"/>
          <w:rFonts w:hint="eastAsia"/>
        </w:rPr>
        <w:t>技改项目概况及工程分析</w:t>
      </w:r>
      <w:r>
        <w:tab/>
      </w:r>
      <w:r>
        <w:fldChar w:fldCharType="begin"/>
      </w:r>
      <w:r>
        <w:instrText xml:space="preserve"> PAGEREF _Toc276372228 \h </w:instrText>
      </w:r>
      <w:r>
        <w:fldChar w:fldCharType="separate"/>
      </w:r>
      <w:r>
        <w:t>22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"_Toc276372229"</w:instrText>
      </w:r>
      <w:r>
        <w:rPr>
          <w:rStyle w:val="25"/>
        </w:rPr>
        <w:instrText xml:space="preserve"> </w:instrText>
      </w:r>
      <w:r>
        <w:rPr>
          <w:rStyle w:val="25"/>
        </w:rPr>
        <w:fldChar w:fldCharType="separate"/>
      </w:r>
      <w:r>
        <w:rPr>
          <w:rStyle w:val="25"/>
          <w:b/>
        </w:rPr>
        <w:t xml:space="preserve">3.1 </w:t>
      </w:r>
      <w:r>
        <w:rPr>
          <w:rStyle w:val="25"/>
          <w:rFonts w:hint="eastAsia"/>
          <w:b/>
        </w:rPr>
        <w:t>技改项目概况</w:t>
      </w:r>
      <w:r>
        <w:tab/>
      </w:r>
      <w:r>
        <w:fldChar w:fldCharType="begin"/>
      </w:r>
      <w:r>
        <w:instrText xml:space="preserve"> PAGEREF _Toc276372229 \h </w:instrText>
      </w:r>
      <w:r>
        <w:fldChar w:fldCharType="separate"/>
      </w:r>
      <w:r>
        <w:t>22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"_Toc276372230"</w:instrText>
      </w:r>
      <w:r>
        <w:rPr>
          <w:rStyle w:val="25"/>
        </w:rPr>
        <w:instrText xml:space="preserve"> </w:instrText>
      </w:r>
      <w:r>
        <w:rPr>
          <w:rStyle w:val="25"/>
        </w:rPr>
        <w:fldChar w:fldCharType="separate"/>
      </w:r>
      <w:r>
        <w:rPr>
          <w:rStyle w:val="25"/>
          <w:b/>
        </w:rPr>
        <w:t>3.2</w:t>
      </w:r>
      <w:r>
        <w:rPr>
          <w:rStyle w:val="25"/>
          <w:rFonts w:hint="eastAsia"/>
          <w:b/>
        </w:rPr>
        <w:t>工程分析</w:t>
      </w:r>
      <w:r>
        <w:tab/>
      </w:r>
      <w:r>
        <w:fldChar w:fldCharType="begin"/>
      </w:r>
      <w:r>
        <w:instrText xml:space="preserve"> PAGEREF _Toc276372230 \h </w:instrText>
      </w:r>
      <w:r>
        <w:fldChar w:fldCharType="separate"/>
      </w:r>
      <w:r>
        <w:t>33</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"_Toc276372231"</w:instrText>
      </w:r>
      <w:r>
        <w:rPr>
          <w:rStyle w:val="25"/>
        </w:rPr>
        <w:instrText xml:space="preserve"> </w:instrText>
      </w:r>
      <w:r>
        <w:rPr>
          <w:rStyle w:val="25"/>
        </w:rPr>
        <w:fldChar w:fldCharType="separate"/>
      </w:r>
      <w:r>
        <w:rPr>
          <w:rStyle w:val="25"/>
        </w:rPr>
        <w:t>4</w:t>
      </w:r>
      <w:r>
        <w:rPr>
          <w:rStyle w:val="25"/>
          <w:rFonts w:hint="eastAsia"/>
        </w:rPr>
        <w:t>清洁生产与循环经济分析</w:t>
      </w:r>
      <w:r>
        <w:tab/>
      </w:r>
      <w:r>
        <w:fldChar w:fldCharType="begin"/>
      </w:r>
      <w:r>
        <w:instrText xml:space="preserve"> PAGEREF _Toc276372231 \h </w:instrText>
      </w:r>
      <w:r>
        <w:fldChar w:fldCharType="separate"/>
      </w:r>
      <w:r>
        <w:t>51</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"_Toc276372232"</w:instrText>
      </w:r>
      <w:r>
        <w:rPr>
          <w:rStyle w:val="25"/>
        </w:rPr>
        <w:instrText xml:space="preserve"> </w:instrText>
      </w:r>
      <w:r>
        <w:rPr>
          <w:rStyle w:val="25"/>
        </w:rPr>
        <w:fldChar w:fldCharType="separate"/>
      </w:r>
      <w:r>
        <w:rPr>
          <w:rStyle w:val="25"/>
          <w:b/>
        </w:rPr>
        <w:t>4.1</w:t>
      </w:r>
      <w:r>
        <w:rPr>
          <w:rStyle w:val="25"/>
          <w:rFonts w:hint="eastAsia"/>
          <w:b/>
        </w:rPr>
        <w:t>清洁生产</w:t>
      </w:r>
      <w:r>
        <w:tab/>
      </w:r>
      <w:r>
        <w:fldChar w:fldCharType="begin"/>
      </w:r>
      <w:r>
        <w:instrText xml:space="preserve"> PAGEREF _Toc276372232 \h </w:instrText>
      </w:r>
      <w:r>
        <w:fldChar w:fldCharType="separate"/>
      </w:r>
      <w:r>
        <w:t>51</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"_Toc276372233"</w:instrText>
      </w:r>
      <w:r>
        <w:rPr>
          <w:rStyle w:val="25"/>
        </w:rPr>
        <w:instrText xml:space="preserve"> </w:instrText>
      </w:r>
      <w:r>
        <w:rPr>
          <w:rStyle w:val="25"/>
        </w:rPr>
        <w:fldChar w:fldCharType="separate"/>
      </w:r>
      <w:r>
        <w:rPr>
          <w:rStyle w:val="25"/>
          <w:b/>
        </w:rPr>
        <w:t>4.2</w:t>
      </w:r>
      <w:r>
        <w:rPr>
          <w:rStyle w:val="25"/>
          <w:rFonts w:hint="eastAsia"/>
          <w:b/>
        </w:rPr>
        <w:t>循环经济分析</w:t>
      </w:r>
      <w:r>
        <w:tab/>
      </w:r>
      <w:r>
        <w:fldChar w:fldCharType="begin"/>
      </w:r>
      <w:r>
        <w:instrText xml:space="preserve"> PAGEREF _Toc276372233 \h </w:instrText>
      </w:r>
      <w:r>
        <w:fldChar w:fldCharType="separate"/>
      </w:r>
      <w:r>
        <w:t>57</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"_Toc276372234"</w:instrText>
      </w:r>
      <w:r>
        <w:rPr>
          <w:rStyle w:val="25"/>
        </w:rPr>
        <w:instrText xml:space="preserve"> </w:instrText>
      </w:r>
      <w:r>
        <w:rPr>
          <w:rStyle w:val="25"/>
        </w:rPr>
        <w:fldChar w:fldCharType="separate"/>
      </w:r>
      <w:r>
        <w:rPr>
          <w:rStyle w:val="25"/>
        </w:rPr>
        <w:t xml:space="preserve">5 </w:t>
      </w:r>
      <w:r>
        <w:rPr>
          <w:rStyle w:val="25"/>
          <w:rFonts w:hint="eastAsia"/>
        </w:rPr>
        <w:t>区域环境现状</w:t>
      </w:r>
      <w:r>
        <w:tab/>
      </w:r>
      <w:r>
        <w:fldChar w:fldCharType="begin"/>
      </w:r>
      <w:r>
        <w:instrText xml:space="preserve"> PAGEREF _Toc276372234 \h </w:instrText>
      </w:r>
      <w:r>
        <w:fldChar w:fldCharType="separate"/>
      </w:r>
      <w:r>
        <w:t>59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"_Toc276372235"</w:instrText>
      </w:r>
      <w:r>
        <w:rPr>
          <w:rStyle w:val="25"/>
        </w:rPr>
        <w:instrText xml:space="preserve"> </w:instrText>
      </w:r>
      <w:r>
        <w:rPr>
          <w:rStyle w:val="25"/>
        </w:rPr>
        <w:fldChar w:fldCharType="separate"/>
      </w:r>
      <w:r>
        <w:rPr>
          <w:rStyle w:val="25"/>
          <w:b/>
        </w:rPr>
        <w:t>5.1</w:t>
      </w:r>
      <w:r>
        <w:rPr>
          <w:rStyle w:val="25"/>
          <w:rFonts w:hint="eastAsia"/>
          <w:b/>
        </w:rPr>
        <w:t>自然环境概况</w:t>
      </w:r>
      <w:r>
        <w:tab/>
      </w:r>
      <w:r>
        <w:fldChar w:fldCharType="begin"/>
      </w:r>
      <w:r>
        <w:instrText xml:space="preserve"> PAGEREF _Toc276372235 \h </w:instrText>
      </w:r>
      <w:r>
        <w:fldChar w:fldCharType="separate"/>
      </w:r>
      <w:r>
        <w:t>59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"_Toc276372236"</w:instrText>
      </w:r>
      <w:r>
        <w:rPr>
          <w:rStyle w:val="25"/>
        </w:rPr>
        <w:instrText xml:space="preserve"> </w:instrText>
      </w:r>
      <w:r>
        <w:rPr>
          <w:rStyle w:val="25"/>
        </w:rPr>
        <w:fldChar w:fldCharType="separate"/>
      </w:r>
      <w:r>
        <w:rPr>
          <w:rStyle w:val="25"/>
          <w:b/>
        </w:rPr>
        <w:t>5.2</w:t>
      </w:r>
      <w:r>
        <w:rPr>
          <w:rStyle w:val="25"/>
          <w:rFonts w:hint="eastAsia"/>
          <w:b/>
        </w:rPr>
        <w:t>社会环境现状</w:t>
      </w:r>
      <w:r>
        <w:tab/>
      </w:r>
      <w:r>
        <w:fldChar w:fldCharType="begin"/>
      </w:r>
      <w:r>
        <w:instrText xml:space="preserve"> PAGEREF _Toc276372236 \h </w:instrText>
      </w:r>
      <w:r>
        <w:fldChar w:fldCharType="separate"/>
      </w:r>
      <w:r>
        <w:t>62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"_Toc276372237"</w:instrText>
      </w:r>
      <w:r>
        <w:rPr>
          <w:rStyle w:val="25"/>
        </w:rPr>
        <w:instrText xml:space="preserve"> </w:instrText>
      </w:r>
      <w:r>
        <w:rPr>
          <w:rStyle w:val="25"/>
        </w:rPr>
        <w:fldChar w:fldCharType="separate"/>
      </w:r>
      <w:r>
        <w:rPr>
          <w:rStyle w:val="25"/>
          <w:b/>
          <w:bCs/>
        </w:rPr>
        <w:t xml:space="preserve">5.3 </w:t>
      </w:r>
      <w:r>
        <w:rPr>
          <w:rStyle w:val="25"/>
          <w:rFonts w:hint="eastAsia"/>
          <w:b/>
          <w:bCs/>
        </w:rPr>
        <w:t>区域规划</w:t>
      </w:r>
      <w:r>
        <w:tab/>
      </w:r>
      <w:r>
        <w:fldChar w:fldCharType="begin"/>
      </w:r>
      <w:r>
        <w:instrText xml:space="preserve"> PAGEREF _Toc276372237 \h </w:instrText>
      </w:r>
      <w:r>
        <w:fldChar w:fldCharType="separate"/>
      </w:r>
      <w:r>
        <w:t>63</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"_Toc276372238"</w:instrText>
      </w:r>
      <w:r>
        <w:rPr>
          <w:rStyle w:val="25"/>
        </w:rPr>
        <w:instrText xml:space="preserve"> </w:instrText>
      </w:r>
      <w:r>
        <w:rPr>
          <w:rStyle w:val="25"/>
        </w:rPr>
        <w:fldChar w:fldCharType="separate"/>
      </w:r>
      <w:r>
        <w:rPr>
          <w:rStyle w:val="25"/>
        </w:rPr>
        <w:t xml:space="preserve">6  </w:t>
      </w:r>
      <w:r>
        <w:rPr>
          <w:rStyle w:val="25"/>
          <w:rFonts w:hint="eastAsia"/>
        </w:rPr>
        <w:t>环境质量现状</w:t>
      </w:r>
      <w:r>
        <w:tab/>
      </w:r>
      <w:r>
        <w:fldChar w:fldCharType="begin"/>
      </w:r>
      <w:r>
        <w:instrText xml:space="preserve"> PAGEREF _Toc276372238 \h </w:instrText>
      </w:r>
      <w:r>
        <w:fldChar w:fldCharType="separate"/>
      </w:r>
      <w:r>
        <w:t>66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"_Toc276372239"</w:instrText>
      </w:r>
      <w:r>
        <w:rPr>
          <w:rStyle w:val="25"/>
        </w:rPr>
        <w:instrText xml:space="preserve"> </w:instrText>
      </w:r>
      <w:r>
        <w:rPr>
          <w:rStyle w:val="25"/>
        </w:rPr>
        <w:fldChar w:fldCharType="separate"/>
      </w:r>
      <w:r>
        <w:rPr>
          <w:rStyle w:val="25"/>
          <w:b/>
          <w:bCs/>
        </w:rPr>
        <w:t xml:space="preserve">6.1 </w:t>
      </w:r>
      <w:r>
        <w:rPr>
          <w:rStyle w:val="25"/>
          <w:rFonts w:hint="eastAsia"/>
          <w:b/>
          <w:bCs/>
        </w:rPr>
        <w:t>环境空气质量现状与评价</w:t>
      </w:r>
      <w:r>
        <w:tab/>
      </w:r>
      <w:r>
        <w:fldChar w:fldCharType="begin"/>
      </w:r>
      <w:r>
        <w:instrText xml:space="preserve"> PAGEREF _Toc276372239 \h </w:instrText>
      </w:r>
      <w:r>
        <w:fldChar w:fldCharType="separate"/>
      </w:r>
      <w:r>
        <w:t>66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"_Toc276372240"</w:instrText>
      </w:r>
      <w:r>
        <w:rPr>
          <w:rStyle w:val="25"/>
        </w:rPr>
        <w:instrText xml:space="preserve"> </w:instrText>
      </w:r>
      <w:r>
        <w:rPr>
          <w:rStyle w:val="25"/>
        </w:rPr>
        <w:fldChar w:fldCharType="separate"/>
      </w:r>
      <w:r>
        <w:rPr>
          <w:rStyle w:val="25"/>
          <w:b/>
          <w:bCs/>
        </w:rPr>
        <w:t xml:space="preserve">6.2 </w:t>
      </w:r>
      <w:r>
        <w:rPr>
          <w:rStyle w:val="25"/>
          <w:rFonts w:hint="eastAsia"/>
          <w:b/>
          <w:bCs/>
        </w:rPr>
        <w:t>地表水环境质量现状监测与评价</w:t>
      </w:r>
      <w:r>
        <w:tab/>
      </w:r>
      <w:r>
        <w:fldChar w:fldCharType="begin"/>
      </w:r>
      <w:r>
        <w:instrText xml:space="preserve"> PAGEREF _Toc276372240 \h </w:instrText>
      </w:r>
      <w:r>
        <w:fldChar w:fldCharType="separate"/>
      </w:r>
      <w:r>
        <w:t>69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"_Toc276372241"</w:instrText>
      </w:r>
      <w:r>
        <w:rPr>
          <w:rStyle w:val="25"/>
        </w:rPr>
        <w:instrText xml:space="preserve"> </w:instrText>
      </w:r>
      <w:r>
        <w:rPr>
          <w:rStyle w:val="25"/>
        </w:rPr>
        <w:fldChar w:fldCharType="separate"/>
      </w:r>
      <w:r>
        <w:rPr>
          <w:rStyle w:val="25"/>
          <w:b/>
          <w:bCs/>
        </w:rPr>
        <w:t xml:space="preserve">6.3 </w:t>
      </w:r>
      <w:r>
        <w:rPr>
          <w:rStyle w:val="25"/>
          <w:rFonts w:hint="eastAsia"/>
          <w:b/>
          <w:bCs/>
        </w:rPr>
        <w:t>声环境质量现状监测与评价</w:t>
      </w:r>
      <w:r>
        <w:tab/>
      </w:r>
      <w:r>
        <w:fldChar w:fldCharType="begin"/>
      </w:r>
      <w:r>
        <w:instrText xml:space="preserve"> PAGEREF _Toc276372241 \h </w:instrText>
      </w:r>
      <w:r>
        <w:fldChar w:fldCharType="separate"/>
      </w:r>
      <w:r>
        <w:t>71</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"_Toc276372242"</w:instrText>
      </w:r>
      <w:r>
        <w:rPr>
          <w:rStyle w:val="25"/>
        </w:rPr>
        <w:instrText xml:space="preserve"> </w:instrText>
      </w:r>
      <w:r>
        <w:rPr>
          <w:rStyle w:val="25"/>
        </w:rPr>
        <w:fldChar w:fldCharType="separate"/>
      </w:r>
      <w:r>
        <w:rPr>
          <w:rStyle w:val="25"/>
        </w:rPr>
        <w:t>7</w:t>
      </w:r>
      <w:r>
        <w:rPr>
          <w:rStyle w:val="25"/>
          <w:rFonts w:hint="eastAsia"/>
        </w:rPr>
        <w:t>施工期环境影响分析及水土保持初步方案</w:t>
      </w:r>
      <w:r>
        <w:tab/>
      </w:r>
      <w:r>
        <w:fldChar w:fldCharType="begin"/>
      </w:r>
      <w:r>
        <w:instrText xml:space="preserve"> PAGEREF _Toc276372242 \h </w:instrText>
      </w:r>
      <w:r>
        <w:fldChar w:fldCharType="separate"/>
      </w:r>
      <w:r>
        <w:t>72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"_Toc276372243"</w:instrText>
      </w:r>
      <w:r>
        <w:rPr>
          <w:rStyle w:val="25"/>
        </w:rPr>
        <w:instrText xml:space="preserve"> </w:instrText>
      </w:r>
      <w:r>
        <w:rPr>
          <w:rStyle w:val="25"/>
        </w:rPr>
        <w:fldChar w:fldCharType="separate"/>
      </w:r>
      <w:r>
        <w:rPr>
          <w:rStyle w:val="25"/>
          <w:b/>
          <w:bCs/>
        </w:rPr>
        <w:t>7.1</w:t>
      </w:r>
      <w:r>
        <w:rPr>
          <w:rStyle w:val="25"/>
          <w:rFonts w:hint="eastAsia"/>
          <w:b/>
        </w:rPr>
        <w:t>主要施工内容及施工方法</w:t>
      </w:r>
      <w:r>
        <w:tab/>
      </w:r>
      <w:r>
        <w:fldChar w:fldCharType="begin"/>
      </w:r>
      <w:r>
        <w:instrText xml:space="preserve"> PAGEREF _Toc276372243 \h </w:instrText>
      </w:r>
      <w:r>
        <w:fldChar w:fldCharType="separate"/>
      </w:r>
      <w:r>
        <w:t>72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"_Toc276372244"</w:instrText>
      </w:r>
      <w:r>
        <w:rPr>
          <w:rStyle w:val="25"/>
        </w:rPr>
        <w:instrText xml:space="preserve"> </w:instrText>
      </w:r>
      <w:r>
        <w:rPr>
          <w:rStyle w:val="25"/>
        </w:rPr>
        <w:fldChar w:fldCharType="separate"/>
      </w:r>
      <w:r>
        <w:rPr>
          <w:rStyle w:val="25"/>
          <w:b/>
          <w:bCs/>
        </w:rPr>
        <w:t xml:space="preserve">7.2  </w:t>
      </w:r>
      <w:r>
        <w:rPr>
          <w:rStyle w:val="25"/>
          <w:rFonts w:hint="eastAsia"/>
          <w:b/>
          <w:bCs/>
        </w:rPr>
        <w:t>主要污染源及污染防治对策</w:t>
      </w:r>
      <w:r>
        <w:tab/>
      </w:r>
      <w:r>
        <w:fldChar w:fldCharType="begin"/>
      </w:r>
      <w:r>
        <w:instrText xml:space="preserve"> PAGEREF _Toc276372244 \h </w:instrText>
      </w:r>
      <w:r>
        <w:fldChar w:fldCharType="separate"/>
      </w:r>
      <w:r>
        <w:t>72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"_Toc276372245"</w:instrText>
      </w:r>
      <w:r>
        <w:rPr>
          <w:rStyle w:val="25"/>
        </w:rPr>
        <w:instrText xml:space="preserve"> </w:instrText>
      </w:r>
      <w:r>
        <w:rPr>
          <w:rStyle w:val="25"/>
        </w:rPr>
        <w:fldChar w:fldCharType="separate"/>
      </w:r>
      <w:r>
        <w:rPr>
          <w:rStyle w:val="25"/>
          <w:b/>
          <w:bCs/>
        </w:rPr>
        <w:t xml:space="preserve">7.3  </w:t>
      </w:r>
      <w:r>
        <w:rPr>
          <w:rStyle w:val="25"/>
          <w:rFonts w:hint="eastAsia"/>
          <w:b/>
          <w:bCs/>
        </w:rPr>
        <w:t>施工期环境影响分析及减缓措施</w:t>
      </w:r>
      <w:r>
        <w:tab/>
      </w:r>
      <w:r>
        <w:fldChar w:fldCharType="begin"/>
      </w:r>
      <w:r>
        <w:instrText xml:space="preserve"> PAGEREF _Toc276372245 \h </w:instrText>
      </w:r>
      <w:r>
        <w:fldChar w:fldCharType="separate"/>
      </w:r>
      <w:r>
        <w:t>72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"_Toc276372246"</w:instrText>
      </w:r>
      <w:r>
        <w:rPr>
          <w:rStyle w:val="25"/>
        </w:rPr>
        <w:instrText xml:space="preserve"> </w:instrText>
      </w:r>
      <w:r>
        <w:rPr>
          <w:rStyle w:val="25"/>
        </w:rPr>
        <w:fldChar w:fldCharType="separate"/>
      </w:r>
      <w:r>
        <w:rPr>
          <w:rStyle w:val="25"/>
          <w:b/>
          <w:bCs/>
        </w:rPr>
        <w:t xml:space="preserve">7.4  </w:t>
      </w:r>
      <w:r>
        <w:rPr>
          <w:rStyle w:val="25"/>
          <w:rFonts w:hint="eastAsia"/>
          <w:b/>
          <w:bCs/>
        </w:rPr>
        <w:t>水土流失环境影响分析及水土保持初步方案</w:t>
      </w:r>
      <w:r>
        <w:tab/>
      </w:r>
      <w:r>
        <w:fldChar w:fldCharType="begin"/>
      </w:r>
      <w:r>
        <w:instrText xml:space="preserve"> PAGEREF _Toc276372246 \h </w:instrText>
      </w:r>
      <w:r>
        <w:fldChar w:fldCharType="separate"/>
      </w:r>
      <w:r>
        <w:t>76</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"_Toc276372247"</w:instrText>
      </w:r>
      <w:r>
        <w:rPr>
          <w:rStyle w:val="25"/>
        </w:rPr>
        <w:instrText xml:space="preserve"> </w:instrText>
      </w:r>
      <w:r>
        <w:rPr>
          <w:rStyle w:val="25"/>
        </w:rPr>
        <w:fldChar w:fldCharType="separate"/>
      </w:r>
      <w:r>
        <w:rPr>
          <w:rStyle w:val="25"/>
          <w:b/>
          <w:bCs/>
        </w:rPr>
        <w:t xml:space="preserve">7.5 </w:t>
      </w:r>
      <w:r>
        <w:rPr>
          <w:rStyle w:val="25"/>
          <w:rFonts w:hint="eastAsia"/>
          <w:b/>
          <w:bCs/>
        </w:rPr>
        <w:t>废弃放射源处置</w:t>
      </w:r>
      <w:r>
        <w:tab/>
      </w:r>
      <w:r>
        <w:fldChar w:fldCharType="begin"/>
      </w:r>
      <w:r>
        <w:instrText xml:space="preserve"> PAGEREF _Toc276372247 \h </w:instrText>
      </w:r>
      <w:r>
        <w:fldChar w:fldCharType="separate"/>
      </w:r>
      <w:r>
        <w:t>77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"_Toc276372249"</w:instrText>
      </w:r>
      <w:r>
        <w:rPr>
          <w:rStyle w:val="25"/>
        </w:rPr>
        <w:instrText xml:space="preserve"> </w:instrText>
      </w:r>
      <w:r>
        <w:rPr>
          <w:rStyle w:val="25"/>
        </w:rPr>
        <w:fldChar w:fldCharType="separate"/>
      </w:r>
      <w:r>
        <w:rPr>
          <w:rStyle w:val="25"/>
          <w:b/>
          <w:bCs/>
        </w:rPr>
        <w:t xml:space="preserve">7.6 </w:t>
      </w:r>
      <w:r>
        <w:rPr>
          <w:rStyle w:val="25"/>
          <w:rFonts w:hint="eastAsia"/>
          <w:b/>
          <w:bCs/>
        </w:rPr>
        <w:t>小结</w:t>
      </w:r>
      <w:r>
        <w:tab/>
      </w:r>
      <w:r>
        <w:fldChar w:fldCharType="begin"/>
      </w:r>
      <w:r>
        <w:instrText xml:space="preserve"> PAGEREF _Toc276372249 \h </w:instrText>
      </w:r>
      <w:r>
        <w:fldChar w:fldCharType="separate"/>
      </w:r>
      <w:r>
        <w:t>77</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"_Toc276372250"</w:instrText>
      </w:r>
      <w:r>
        <w:rPr>
          <w:rStyle w:val="25"/>
        </w:rPr>
        <w:instrText xml:space="preserve"> </w:instrText>
      </w:r>
      <w:r>
        <w:rPr>
          <w:rStyle w:val="25"/>
        </w:rPr>
        <w:fldChar w:fldCharType="separate"/>
      </w:r>
      <w:r>
        <w:rPr>
          <w:rStyle w:val="25"/>
        </w:rPr>
        <w:t xml:space="preserve">8 </w:t>
      </w:r>
      <w:r>
        <w:rPr>
          <w:rStyle w:val="25"/>
          <w:rFonts w:hint="eastAsia"/>
        </w:rPr>
        <w:t>环境影响预测与评价</w:t>
      </w:r>
      <w:r>
        <w:tab/>
      </w:r>
      <w:r>
        <w:fldChar w:fldCharType="begin"/>
      </w:r>
      <w:r>
        <w:instrText xml:space="preserve"> PAGEREF _Toc276372250 \h </w:instrText>
      </w:r>
      <w:r>
        <w:fldChar w:fldCharType="separate"/>
      </w:r>
      <w:r>
        <w:t>79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"_Toc276372251"</w:instrText>
      </w:r>
      <w:r>
        <w:rPr>
          <w:rStyle w:val="25"/>
        </w:rPr>
        <w:instrText xml:space="preserve"> </w:instrText>
      </w:r>
      <w:r>
        <w:rPr>
          <w:rStyle w:val="25"/>
        </w:rPr>
        <w:fldChar w:fldCharType="separate"/>
      </w:r>
      <w:r>
        <w:rPr>
          <w:rStyle w:val="25"/>
          <w:b/>
          <w:bCs/>
        </w:rPr>
        <w:t>8.1</w:t>
      </w:r>
      <w:r>
        <w:rPr>
          <w:rStyle w:val="25"/>
          <w:rFonts w:hint="eastAsia"/>
          <w:b/>
          <w:bCs/>
        </w:rPr>
        <w:t>环境空气影响预测与评价</w:t>
      </w:r>
      <w:r>
        <w:tab/>
      </w:r>
      <w:r>
        <w:fldChar w:fldCharType="begin"/>
      </w:r>
      <w:r>
        <w:instrText xml:space="preserve"> PAGEREF _Toc276372251 \h </w:instrText>
      </w:r>
      <w:r>
        <w:fldChar w:fldCharType="separate"/>
      </w:r>
      <w:r>
        <w:t>79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"_Toc276372252"</w:instrText>
      </w:r>
      <w:r>
        <w:rPr>
          <w:rStyle w:val="25"/>
        </w:rPr>
        <w:instrText xml:space="preserve"> </w:instrText>
      </w:r>
      <w:r>
        <w:rPr>
          <w:rStyle w:val="25"/>
        </w:rPr>
        <w:fldChar w:fldCharType="separate"/>
      </w:r>
      <w:r>
        <w:rPr>
          <w:rStyle w:val="25"/>
          <w:b/>
          <w:bCs/>
        </w:rPr>
        <w:t xml:space="preserve">8.2 </w:t>
      </w:r>
      <w:r>
        <w:rPr>
          <w:rStyle w:val="25"/>
          <w:rFonts w:hint="eastAsia"/>
          <w:b/>
          <w:bCs/>
        </w:rPr>
        <w:t>地表水影响分析</w:t>
      </w:r>
      <w:r>
        <w:tab/>
      </w:r>
      <w:r>
        <w:fldChar w:fldCharType="begin"/>
      </w:r>
      <w:r>
        <w:instrText xml:space="preserve"> PAGEREF _Toc276372252 \h </w:instrText>
      </w:r>
      <w:r>
        <w:fldChar w:fldCharType="separate"/>
      </w:r>
      <w:r>
        <w:t>97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"_Toc276372253"</w:instrText>
      </w:r>
      <w:r>
        <w:rPr>
          <w:rStyle w:val="25"/>
        </w:rPr>
        <w:instrText xml:space="preserve"> </w:instrText>
      </w:r>
      <w:r>
        <w:rPr>
          <w:rStyle w:val="25"/>
        </w:rPr>
        <w:fldChar w:fldCharType="separate"/>
      </w:r>
      <w:r>
        <w:rPr>
          <w:rStyle w:val="25"/>
          <w:b/>
          <w:bCs/>
        </w:rPr>
        <w:t>8.3</w:t>
      </w:r>
      <w:r>
        <w:rPr>
          <w:rStyle w:val="25"/>
          <w:rFonts w:hint="eastAsia"/>
          <w:b/>
          <w:bCs/>
        </w:rPr>
        <w:t>声环境影响预测与评价</w:t>
      </w:r>
      <w:r>
        <w:tab/>
      </w:r>
      <w:r>
        <w:fldChar w:fldCharType="begin"/>
      </w:r>
      <w:r>
        <w:instrText xml:space="preserve"> PAGEREF _Toc276372253 \h </w:instrText>
      </w:r>
      <w:r>
        <w:fldChar w:fldCharType="separate"/>
      </w:r>
      <w:r>
        <w:t>98</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"_Toc276372254"</w:instrText>
      </w:r>
      <w:r>
        <w:rPr>
          <w:rStyle w:val="25"/>
        </w:rPr>
        <w:instrText xml:space="preserve"> </w:instrText>
      </w:r>
      <w:r>
        <w:rPr>
          <w:rStyle w:val="25"/>
        </w:rPr>
        <w:fldChar w:fldCharType="separate"/>
      </w:r>
      <w:r>
        <w:rPr>
          <w:rStyle w:val="25"/>
          <w:b/>
          <w:bCs/>
        </w:rPr>
        <w:t>8.4</w:t>
      </w:r>
      <w:r>
        <w:rPr>
          <w:rStyle w:val="25"/>
          <w:rFonts w:hint="eastAsia"/>
          <w:b/>
          <w:bCs/>
        </w:rPr>
        <w:t>固体废物影响分析</w:t>
      </w:r>
      <w:r>
        <w:tab/>
      </w:r>
      <w:r>
        <w:fldChar w:fldCharType="begin"/>
      </w:r>
      <w:r>
        <w:instrText xml:space="preserve"> PAGEREF _Toc276372254 \h </w:instrText>
      </w:r>
      <w:r>
        <w:fldChar w:fldCharType="separate"/>
      </w:r>
      <w:r>
        <w:t>100</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"_Toc276372255"</w:instrText>
      </w:r>
      <w:r>
        <w:rPr>
          <w:rStyle w:val="25"/>
        </w:rPr>
        <w:instrText xml:space="preserve"> </w:instrText>
      </w:r>
      <w:r>
        <w:rPr>
          <w:rStyle w:val="25"/>
        </w:rPr>
        <w:fldChar w:fldCharType="separate"/>
      </w:r>
      <w:r>
        <w:rPr>
          <w:rStyle w:val="25"/>
          <w:b/>
          <w:bCs/>
        </w:rPr>
        <w:t>8.5</w:t>
      </w:r>
      <w:r>
        <w:rPr>
          <w:rStyle w:val="25"/>
          <w:rFonts w:hint="eastAsia"/>
          <w:b/>
          <w:bCs/>
        </w:rPr>
        <w:t>生态环境影响分析</w:t>
      </w:r>
      <w:r>
        <w:tab/>
      </w:r>
      <w:r>
        <w:fldChar w:fldCharType="begin"/>
      </w:r>
      <w:r>
        <w:instrText xml:space="preserve"> PAGEREF _Toc276372255 \h </w:instrText>
      </w:r>
      <w:r>
        <w:fldChar w:fldCharType="separate"/>
      </w:r>
      <w:r>
        <w:t>101</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"_Toc276372256"</w:instrText>
      </w:r>
      <w:r>
        <w:rPr>
          <w:rStyle w:val="25"/>
        </w:rPr>
        <w:instrText xml:space="preserve"> </w:instrText>
      </w:r>
      <w:r>
        <w:rPr>
          <w:rStyle w:val="25"/>
        </w:rPr>
        <w:fldChar w:fldCharType="separate"/>
      </w:r>
      <w:r>
        <w:rPr>
          <w:rStyle w:val="25"/>
          <w:b/>
          <w:bCs/>
        </w:rPr>
        <w:t xml:space="preserve">8.6 </w:t>
      </w:r>
      <w:r>
        <w:rPr>
          <w:rStyle w:val="25"/>
          <w:rFonts w:hint="eastAsia"/>
          <w:b/>
          <w:bCs/>
        </w:rPr>
        <w:t>运输对环境的影响分析</w:t>
      </w:r>
      <w:r>
        <w:tab/>
      </w:r>
      <w:r>
        <w:fldChar w:fldCharType="begin"/>
      </w:r>
      <w:r>
        <w:instrText xml:space="preserve"> PAGEREF _Toc276372256 \h </w:instrText>
      </w:r>
      <w:r>
        <w:fldChar w:fldCharType="separate"/>
      </w:r>
      <w:r>
        <w:t>102</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"_Toc276372257"</w:instrText>
      </w:r>
      <w:r>
        <w:rPr>
          <w:rStyle w:val="25"/>
        </w:rPr>
        <w:instrText xml:space="preserve"> </w:instrText>
      </w:r>
      <w:r>
        <w:rPr>
          <w:rStyle w:val="25"/>
        </w:rPr>
        <w:fldChar w:fldCharType="separate"/>
      </w:r>
      <w:r>
        <w:rPr>
          <w:rStyle w:val="25"/>
        </w:rPr>
        <w:t xml:space="preserve">9 </w:t>
      </w:r>
      <w:r>
        <w:rPr>
          <w:rStyle w:val="25"/>
          <w:rFonts w:hint="eastAsia"/>
        </w:rPr>
        <w:t>公众参与</w:t>
      </w:r>
      <w:r>
        <w:tab/>
      </w:r>
      <w:r>
        <w:fldChar w:fldCharType="begin"/>
      </w:r>
      <w:r>
        <w:instrText xml:space="preserve"> PAGEREF _Toc276372257 \h </w:instrText>
      </w:r>
      <w:r>
        <w:fldChar w:fldCharType="separate"/>
      </w:r>
      <w:r>
        <w:t>104</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"_Toc276372258"</w:instrText>
      </w:r>
      <w:r>
        <w:rPr>
          <w:rStyle w:val="25"/>
        </w:rPr>
        <w:instrText xml:space="preserve"> </w:instrText>
      </w:r>
      <w:r>
        <w:rPr>
          <w:rStyle w:val="25"/>
        </w:rPr>
        <w:fldChar w:fldCharType="separate"/>
      </w:r>
      <w:r>
        <w:rPr>
          <w:rStyle w:val="25"/>
          <w:b/>
          <w:bCs/>
        </w:rPr>
        <w:t xml:space="preserve">9.1 </w:t>
      </w:r>
      <w:r>
        <w:rPr>
          <w:rStyle w:val="25"/>
          <w:rFonts w:hint="eastAsia"/>
          <w:b/>
          <w:bCs/>
        </w:rPr>
        <w:t>公众参与的目的和方式</w:t>
      </w:r>
      <w:r>
        <w:tab/>
      </w:r>
      <w:r>
        <w:fldChar w:fldCharType="begin"/>
      </w:r>
      <w:r>
        <w:instrText xml:space="preserve"> PAGEREF _Toc276372258 \h </w:instrText>
      </w:r>
      <w:r>
        <w:fldChar w:fldCharType="separate"/>
      </w:r>
      <w:r>
        <w:t>104</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"_Toc276372259"</w:instrText>
      </w:r>
      <w:r>
        <w:rPr>
          <w:rStyle w:val="25"/>
        </w:rPr>
        <w:instrText xml:space="preserve"> </w:instrText>
      </w:r>
      <w:r>
        <w:rPr>
          <w:rStyle w:val="25"/>
        </w:rPr>
        <w:fldChar w:fldCharType="separate"/>
      </w:r>
      <w:r>
        <w:rPr>
          <w:rStyle w:val="25"/>
          <w:b/>
          <w:bCs/>
        </w:rPr>
        <w:t xml:space="preserve">9.2 </w:t>
      </w:r>
      <w:r>
        <w:rPr>
          <w:rStyle w:val="25"/>
          <w:rFonts w:hint="eastAsia"/>
          <w:b/>
          <w:bCs/>
        </w:rPr>
        <w:t>公众参与方式及范围</w:t>
      </w:r>
      <w:r>
        <w:tab/>
      </w:r>
      <w:r>
        <w:fldChar w:fldCharType="begin"/>
      </w:r>
      <w:r>
        <w:instrText xml:space="preserve"> PAGEREF _Toc276372259 \h </w:instrText>
      </w:r>
      <w:r>
        <w:fldChar w:fldCharType="separate"/>
      </w:r>
      <w:r>
        <w:t>104</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"_Toc276372260"</w:instrText>
      </w:r>
      <w:r>
        <w:rPr>
          <w:rStyle w:val="25"/>
        </w:rPr>
        <w:instrText xml:space="preserve"> </w:instrText>
      </w:r>
      <w:r>
        <w:rPr>
          <w:rStyle w:val="25"/>
        </w:rPr>
        <w:fldChar w:fldCharType="separate"/>
      </w:r>
      <w:r>
        <w:rPr>
          <w:rStyle w:val="25"/>
          <w:b/>
          <w:bCs/>
        </w:rPr>
        <w:t>9.3</w:t>
      </w:r>
      <w:r>
        <w:rPr>
          <w:rStyle w:val="25"/>
          <w:rFonts w:hint="eastAsia"/>
          <w:b/>
          <w:bCs/>
        </w:rPr>
        <w:t>公众参与结果</w:t>
      </w:r>
      <w:r>
        <w:tab/>
      </w:r>
      <w:r>
        <w:fldChar w:fldCharType="begin"/>
      </w:r>
      <w:r>
        <w:instrText xml:space="preserve"> PAGEREF _Toc276372260 \h </w:instrText>
      </w:r>
      <w:r>
        <w:fldChar w:fldCharType="separate"/>
      </w:r>
      <w:r>
        <w:t>104</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"_Toc276372261"</w:instrText>
      </w:r>
      <w:r>
        <w:rPr>
          <w:rStyle w:val="25"/>
        </w:rPr>
        <w:instrText xml:space="preserve"> </w:instrText>
      </w:r>
      <w:r>
        <w:rPr>
          <w:rStyle w:val="25"/>
        </w:rPr>
        <w:fldChar w:fldCharType="separate"/>
      </w:r>
      <w:r>
        <w:rPr>
          <w:rStyle w:val="25"/>
          <w:b/>
          <w:bCs/>
        </w:rPr>
        <w:t xml:space="preserve">9.4 </w:t>
      </w:r>
      <w:r>
        <w:rPr>
          <w:rStyle w:val="25"/>
          <w:rFonts w:hint="eastAsia"/>
          <w:b/>
          <w:bCs/>
        </w:rPr>
        <w:t>公众意见采纳情况</w:t>
      </w:r>
      <w:r>
        <w:tab/>
      </w:r>
      <w:r>
        <w:fldChar w:fldCharType="begin"/>
      </w:r>
      <w:r>
        <w:instrText xml:space="preserve"> PAGEREF _Toc276372261 \h </w:instrText>
      </w:r>
      <w:r>
        <w:fldChar w:fldCharType="separate"/>
      </w:r>
      <w:r>
        <w:t>107</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"_Toc276372262"</w:instrText>
      </w:r>
      <w:r>
        <w:rPr>
          <w:rStyle w:val="25"/>
        </w:rPr>
        <w:instrText xml:space="preserve"> </w:instrText>
      </w:r>
      <w:r>
        <w:rPr>
          <w:rStyle w:val="25"/>
        </w:rPr>
        <w:fldChar w:fldCharType="separate"/>
      </w:r>
      <w:r>
        <w:rPr>
          <w:rStyle w:val="25"/>
        </w:rPr>
        <w:t xml:space="preserve">10 </w:t>
      </w:r>
      <w:r>
        <w:rPr>
          <w:rStyle w:val="25"/>
          <w:rFonts w:hint="eastAsia"/>
        </w:rPr>
        <w:t>环保措施及其技术经济论证</w:t>
      </w:r>
      <w:r>
        <w:tab/>
      </w:r>
      <w:r>
        <w:fldChar w:fldCharType="begin"/>
      </w:r>
      <w:r>
        <w:instrText xml:space="preserve"> PAGEREF _Toc276372262 \h </w:instrText>
      </w:r>
      <w:r>
        <w:fldChar w:fldCharType="separate"/>
      </w:r>
      <w:r>
        <w:t>108</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"_Toc276372263"</w:instrText>
      </w:r>
      <w:r>
        <w:rPr>
          <w:rStyle w:val="25"/>
        </w:rPr>
        <w:instrText xml:space="preserve"> </w:instrText>
      </w:r>
      <w:r>
        <w:rPr>
          <w:rStyle w:val="25"/>
        </w:rPr>
        <w:fldChar w:fldCharType="separate"/>
      </w:r>
      <w:r>
        <w:rPr>
          <w:rStyle w:val="25"/>
          <w:b/>
        </w:rPr>
        <w:t>10.1</w:t>
      </w:r>
      <w:r>
        <w:rPr>
          <w:rStyle w:val="25"/>
          <w:rFonts w:hint="eastAsia"/>
          <w:b/>
        </w:rPr>
        <w:t>废气治理</w:t>
      </w:r>
      <w:r>
        <w:tab/>
      </w:r>
      <w:r>
        <w:fldChar w:fldCharType="begin"/>
      </w:r>
      <w:r>
        <w:instrText xml:space="preserve"> PAGEREF _Toc276372263 \h </w:instrText>
      </w:r>
      <w:r>
        <w:fldChar w:fldCharType="separate"/>
      </w:r>
      <w:r>
        <w:t>108</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"_Toc276372264"</w:instrText>
      </w:r>
      <w:r>
        <w:rPr>
          <w:rStyle w:val="25"/>
        </w:rPr>
        <w:instrText xml:space="preserve"> </w:instrText>
      </w:r>
      <w:r>
        <w:rPr>
          <w:rStyle w:val="25"/>
        </w:rPr>
        <w:fldChar w:fldCharType="separate"/>
      </w:r>
      <w:r>
        <w:rPr>
          <w:rStyle w:val="25"/>
          <w:b/>
        </w:rPr>
        <w:t>10.2</w:t>
      </w:r>
      <w:r>
        <w:rPr>
          <w:rStyle w:val="25"/>
          <w:rFonts w:hint="eastAsia"/>
          <w:b/>
        </w:rPr>
        <w:t>废水治理</w:t>
      </w:r>
      <w:r>
        <w:tab/>
      </w:r>
      <w:r>
        <w:fldChar w:fldCharType="begin"/>
      </w:r>
      <w:r>
        <w:instrText xml:space="preserve"> PAGEREF _Toc276372264 \h </w:instrText>
      </w:r>
      <w:r>
        <w:fldChar w:fldCharType="separate"/>
      </w:r>
      <w:r>
        <w:t>110</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"_Toc276372265"</w:instrText>
      </w:r>
      <w:r>
        <w:rPr>
          <w:rStyle w:val="25"/>
        </w:rPr>
        <w:instrText xml:space="preserve"> </w:instrText>
      </w:r>
      <w:r>
        <w:rPr>
          <w:rStyle w:val="25"/>
        </w:rPr>
        <w:fldChar w:fldCharType="separate"/>
      </w:r>
      <w:r>
        <w:rPr>
          <w:rStyle w:val="25"/>
          <w:b/>
        </w:rPr>
        <w:t xml:space="preserve">10.3 </w:t>
      </w:r>
      <w:r>
        <w:rPr>
          <w:rStyle w:val="25"/>
          <w:rFonts w:hint="eastAsia"/>
          <w:b/>
        </w:rPr>
        <w:t>环境噪声污染防治措施</w:t>
      </w:r>
      <w:r>
        <w:tab/>
      </w:r>
      <w:r>
        <w:fldChar w:fldCharType="begin"/>
      </w:r>
      <w:r>
        <w:instrText xml:space="preserve"> PAGEREF _Toc276372265 \h </w:instrText>
      </w:r>
      <w:r>
        <w:fldChar w:fldCharType="separate"/>
      </w:r>
      <w:r>
        <w:t>111</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"_Toc276372266"</w:instrText>
      </w:r>
      <w:r>
        <w:rPr>
          <w:rStyle w:val="25"/>
        </w:rPr>
        <w:instrText xml:space="preserve"> </w:instrText>
      </w:r>
      <w:r>
        <w:rPr>
          <w:rStyle w:val="25"/>
        </w:rPr>
        <w:fldChar w:fldCharType="separate"/>
      </w:r>
      <w:r>
        <w:rPr>
          <w:rStyle w:val="25"/>
          <w:b/>
        </w:rPr>
        <w:t xml:space="preserve">10.4 </w:t>
      </w:r>
      <w:r>
        <w:rPr>
          <w:rStyle w:val="25"/>
          <w:rFonts w:hint="eastAsia"/>
          <w:b/>
        </w:rPr>
        <w:t>固体废物处置</w:t>
      </w:r>
      <w:r>
        <w:tab/>
      </w:r>
      <w:r>
        <w:fldChar w:fldCharType="begin"/>
      </w:r>
      <w:r>
        <w:instrText xml:space="preserve"> PAGEREF _Toc276372266 \h </w:instrText>
      </w:r>
      <w:r>
        <w:fldChar w:fldCharType="separate"/>
      </w:r>
      <w:r>
        <w:t>112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"_Toc276372267"</w:instrText>
      </w:r>
      <w:r>
        <w:rPr>
          <w:rStyle w:val="25"/>
        </w:rPr>
        <w:instrText xml:space="preserve"> </w:instrText>
      </w:r>
      <w:r>
        <w:rPr>
          <w:rStyle w:val="25"/>
        </w:rPr>
        <w:fldChar w:fldCharType="separate"/>
      </w:r>
      <w:r>
        <w:rPr>
          <w:rStyle w:val="25"/>
          <w:b/>
        </w:rPr>
        <w:t>10.5</w:t>
      </w:r>
      <w:r>
        <w:rPr>
          <w:rStyle w:val="25"/>
          <w:rFonts w:hint="eastAsia"/>
          <w:b/>
        </w:rPr>
        <w:t>环境监测</w:t>
      </w:r>
      <w:r>
        <w:tab/>
      </w:r>
      <w:r>
        <w:fldChar w:fldCharType="begin"/>
      </w:r>
      <w:r>
        <w:instrText xml:space="preserve"> PAGEREF _Toc276372267 \h </w:instrText>
      </w:r>
      <w:r>
        <w:fldChar w:fldCharType="separate"/>
      </w:r>
      <w:r>
        <w:t>112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"_Toc276372268"</w:instrText>
      </w:r>
      <w:r>
        <w:rPr>
          <w:rStyle w:val="25"/>
        </w:rPr>
        <w:instrText xml:space="preserve"> </w:instrText>
      </w:r>
      <w:r>
        <w:rPr>
          <w:rStyle w:val="25"/>
        </w:rPr>
        <w:fldChar w:fldCharType="separate"/>
      </w:r>
      <w:r>
        <w:rPr>
          <w:rStyle w:val="25"/>
          <w:b/>
        </w:rPr>
        <w:t>10.6</w:t>
      </w:r>
      <w:r>
        <w:rPr>
          <w:rStyle w:val="25"/>
          <w:rFonts w:hint="eastAsia"/>
          <w:b/>
        </w:rPr>
        <w:t>厂区绿化</w:t>
      </w:r>
      <w:r>
        <w:tab/>
      </w:r>
      <w:r>
        <w:fldChar w:fldCharType="begin"/>
      </w:r>
      <w:r>
        <w:instrText xml:space="preserve"> PAGEREF _Toc276372268 \h </w:instrText>
      </w:r>
      <w:r>
        <w:fldChar w:fldCharType="separate"/>
      </w:r>
      <w:r>
        <w:t>113</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"_Toc276372269"</w:instrText>
      </w:r>
      <w:r>
        <w:rPr>
          <w:rStyle w:val="25"/>
        </w:rPr>
        <w:instrText xml:space="preserve"> </w:instrText>
      </w:r>
      <w:r>
        <w:rPr>
          <w:rStyle w:val="25"/>
        </w:rPr>
        <w:fldChar w:fldCharType="separate"/>
      </w:r>
      <w:r>
        <w:rPr>
          <w:rStyle w:val="25"/>
          <w:b/>
        </w:rPr>
        <w:t>10.7</w:t>
      </w:r>
      <w:r>
        <w:rPr>
          <w:rStyle w:val="25"/>
          <w:rFonts w:hint="eastAsia"/>
          <w:b/>
        </w:rPr>
        <w:t>环保投资</w:t>
      </w:r>
      <w:r>
        <w:tab/>
      </w:r>
      <w:r>
        <w:fldChar w:fldCharType="begin"/>
      </w:r>
      <w:r>
        <w:instrText xml:space="preserve"> PAGEREF _Toc276372269 \h </w:instrText>
      </w:r>
      <w:r>
        <w:fldChar w:fldCharType="separate"/>
      </w:r>
      <w:r>
        <w:t>113</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"_Toc276372270"</w:instrText>
      </w:r>
      <w:r>
        <w:rPr>
          <w:rStyle w:val="25"/>
        </w:rPr>
        <w:instrText xml:space="preserve"> </w:instrText>
      </w:r>
      <w:r>
        <w:rPr>
          <w:rStyle w:val="25"/>
        </w:rPr>
        <w:fldChar w:fldCharType="separate"/>
      </w:r>
      <w:r>
        <w:rPr>
          <w:rStyle w:val="25"/>
        </w:rPr>
        <w:t xml:space="preserve">11 </w:t>
      </w:r>
      <w:r>
        <w:rPr>
          <w:rStyle w:val="25"/>
          <w:rFonts w:hint="eastAsia"/>
        </w:rPr>
        <w:t>环境影响经济损益分析</w:t>
      </w:r>
      <w:r>
        <w:tab/>
      </w:r>
      <w:r>
        <w:fldChar w:fldCharType="begin"/>
      </w:r>
      <w:r>
        <w:instrText xml:space="preserve"> PAGEREF _Toc276372270 \h </w:instrText>
      </w:r>
      <w:r>
        <w:fldChar w:fldCharType="separate"/>
      </w:r>
      <w:r>
        <w:t>115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"_Toc276372271"</w:instrText>
      </w:r>
      <w:r>
        <w:rPr>
          <w:rStyle w:val="25"/>
        </w:rPr>
        <w:instrText xml:space="preserve"> </w:instrText>
      </w:r>
      <w:r>
        <w:rPr>
          <w:rStyle w:val="25"/>
        </w:rPr>
        <w:fldChar w:fldCharType="separate"/>
      </w:r>
      <w:r>
        <w:rPr>
          <w:rStyle w:val="25"/>
          <w:b/>
        </w:rPr>
        <w:t>11.1</w:t>
      </w:r>
      <w:r>
        <w:rPr>
          <w:rStyle w:val="25"/>
          <w:rFonts w:hint="eastAsia"/>
          <w:b/>
        </w:rPr>
        <w:t>环境经济损益分析</w:t>
      </w:r>
      <w:r>
        <w:tab/>
      </w:r>
      <w:r>
        <w:fldChar w:fldCharType="begin"/>
      </w:r>
      <w:r>
        <w:instrText xml:space="preserve"> PAGEREF _Toc276372271 \h </w:instrText>
      </w:r>
      <w:r>
        <w:fldChar w:fldCharType="separate"/>
      </w:r>
      <w:r>
        <w:t>115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"_Toc276372272"</w:instrText>
      </w:r>
      <w:r>
        <w:rPr>
          <w:rStyle w:val="25"/>
        </w:rPr>
        <w:instrText xml:space="preserve"> </w:instrText>
      </w:r>
      <w:r>
        <w:rPr>
          <w:rStyle w:val="25"/>
        </w:rPr>
        <w:fldChar w:fldCharType="separate"/>
      </w:r>
      <w:r>
        <w:rPr>
          <w:rStyle w:val="25"/>
          <w:b/>
        </w:rPr>
        <w:t xml:space="preserve">11.2 </w:t>
      </w:r>
      <w:r>
        <w:rPr>
          <w:rStyle w:val="25"/>
          <w:rFonts w:hint="eastAsia"/>
          <w:b/>
        </w:rPr>
        <w:t>社会效益分析</w:t>
      </w:r>
      <w:r>
        <w:tab/>
      </w:r>
      <w:r>
        <w:fldChar w:fldCharType="begin"/>
      </w:r>
      <w:r>
        <w:instrText xml:space="preserve"> PAGEREF _Toc276372272 \h </w:instrText>
      </w:r>
      <w:r>
        <w:fldChar w:fldCharType="separate"/>
      </w:r>
      <w:r>
        <w:t>116</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"_Toc276372273"</w:instrText>
      </w:r>
      <w:r>
        <w:rPr>
          <w:rStyle w:val="25"/>
        </w:rPr>
        <w:instrText xml:space="preserve"> </w:instrText>
      </w:r>
      <w:r>
        <w:rPr>
          <w:rStyle w:val="25"/>
        </w:rPr>
        <w:fldChar w:fldCharType="separate"/>
      </w:r>
      <w:r>
        <w:rPr>
          <w:rStyle w:val="25"/>
        </w:rPr>
        <w:t>12</w:t>
      </w:r>
      <w:r>
        <w:rPr>
          <w:rStyle w:val="25"/>
          <w:rFonts w:hint="eastAsia"/>
        </w:rPr>
        <w:t>污染物排放总量控制分析</w:t>
      </w:r>
      <w:r>
        <w:tab/>
      </w:r>
      <w:r>
        <w:fldChar w:fldCharType="begin"/>
      </w:r>
      <w:r>
        <w:instrText xml:space="preserve"> PAGEREF _Toc276372273 \h </w:instrText>
      </w:r>
      <w:r>
        <w:fldChar w:fldCharType="separate"/>
      </w:r>
      <w:r>
        <w:t>119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"_Toc276372274"</w:instrText>
      </w:r>
      <w:r>
        <w:rPr>
          <w:rStyle w:val="25"/>
        </w:rPr>
        <w:instrText xml:space="preserve"> </w:instrText>
      </w:r>
      <w:r>
        <w:rPr>
          <w:rStyle w:val="25"/>
        </w:rPr>
        <w:fldChar w:fldCharType="separate"/>
      </w:r>
      <w:r>
        <w:rPr>
          <w:rStyle w:val="25"/>
          <w:b/>
        </w:rPr>
        <w:t xml:space="preserve">12.1 </w:t>
      </w:r>
      <w:r>
        <w:rPr>
          <w:rStyle w:val="25"/>
          <w:rFonts w:hint="eastAsia"/>
          <w:b/>
        </w:rPr>
        <w:t>污染物排放总量控制依据</w:t>
      </w:r>
      <w:r>
        <w:tab/>
      </w:r>
      <w:r>
        <w:fldChar w:fldCharType="begin"/>
      </w:r>
      <w:r>
        <w:instrText xml:space="preserve"> PAGEREF _Toc276372274 \h </w:instrText>
      </w:r>
      <w:r>
        <w:fldChar w:fldCharType="separate"/>
      </w:r>
      <w:r>
        <w:t>119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"_Toc276372275"</w:instrText>
      </w:r>
      <w:r>
        <w:rPr>
          <w:rStyle w:val="25"/>
        </w:rPr>
        <w:instrText xml:space="preserve"> </w:instrText>
      </w:r>
      <w:r>
        <w:rPr>
          <w:rStyle w:val="25"/>
        </w:rPr>
        <w:fldChar w:fldCharType="separate"/>
      </w:r>
      <w:r>
        <w:rPr>
          <w:rStyle w:val="25"/>
          <w:b/>
        </w:rPr>
        <w:t xml:space="preserve">12.2 </w:t>
      </w:r>
      <w:r>
        <w:rPr>
          <w:rStyle w:val="25"/>
          <w:rFonts w:hint="eastAsia"/>
          <w:b/>
        </w:rPr>
        <w:t>总量控制因子</w:t>
      </w:r>
      <w:r>
        <w:tab/>
      </w:r>
      <w:r>
        <w:fldChar w:fldCharType="begin"/>
      </w:r>
      <w:r>
        <w:instrText xml:space="preserve"> PAGEREF _Toc276372275 \h </w:instrText>
      </w:r>
      <w:r>
        <w:fldChar w:fldCharType="separate"/>
      </w:r>
      <w:r>
        <w:t>119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"_Toc276372276"</w:instrText>
      </w:r>
      <w:r>
        <w:rPr>
          <w:rStyle w:val="25"/>
        </w:rPr>
        <w:instrText xml:space="preserve"> </w:instrText>
      </w:r>
      <w:r>
        <w:rPr>
          <w:rStyle w:val="25"/>
        </w:rPr>
        <w:fldChar w:fldCharType="separate"/>
      </w:r>
      <w:r>
        <w:rPr>
          <w:rStyle w:val="25"/>
          <w:b/>
        </w:rPr>
        <w:t>12.3</w:t>
      </w:r>
      <w:r>
        <w:rPr>
          <w:rStyle w:val="25"/>
          <w:rFonts w:hint="eastAsia"/>
          <w:b/>
        </w:rPr>
        <w:t>总量指标的解决途径</w:t>
      </w:r>
      <w:r>
        <w:tab/>
      </w:r>
      <w:r>
        <w:fldChar w:fldCharType="begin"/>
      </w:r>
      <w:r>
        <w:instrText xml:space="preserve"> PAGEREF _Toc276372276 \h </w:instrText>
      </w:r>
      <w:r>
        <w:fldChar w:fldCharType="separate"/>
      </w:r>
      <w:r>
        <w:t>119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"_Toc276372277"</w:instrText>
      </w:r>
      <w:r>
        <w:rPr>
          <w:rStyle w:val="25"/>
        </w:rPr>
        <w:instrText xml:space="preserve"> </w:instrText>
      </w:r>
      <w:r>
        <w:rPr>
          <w:rStyle w:val="25"/>
        </w:rPr>
        <w:fldChar w:fldCharType="separate"/>
      </w:r>
      <w:r>
        <w:rPr>
          <w:rStyle w:val="25"/>
          <w:b/>
        </w:rPr>
        <w:t xml:space="preserve">12.4 </w:t>
      </w:r>
      <w:r>
        <w:rPr>
          <w:rStyle w:val="25"/>
          <w:rFonts w:hint="eastAsia"/>
          <w:b/>
        </w:rPr>
        <w:t>污染物排放总量控制建议指标</w:t>
      </w:r>
      <w:r>
        <w:tab/>
      </w:r>
      <w:r>
        <w:fldChar w:fldCharType="begin"/>
      </w:r>
      <w:r>
        <w:instrText xml:space="preserve"> PAGEREF _Toc276372277 \h </w:instrText>
      </w:r>
      <w:r>
        <w:fldChar w:fldCharType="separate"/>
      </w:r>
      <w:r>
        <w:t>119</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"_Toc276372278"</w:instrText>
      </w:r>
      <w:r>
        <w:rPr>
          <w:rStyle w:val="25"/>
        </w:rPr>
        <w:instrText xml:space="preserve"> </w:instrText>
      </w:r>
      <w:r>
        <w:rPr>
          <w:rStyle w:val="25"/>
        </w:rPr>
        <w:fldChar w:fldCharType="separate"/>
      </w:r>
      <w:r>
        <w:rPr>
          <w:rStyle w:val="25"/>
        </w:rPr>
        <w:t xml:space="preserve">13 </w:t>
      </w:r>
      <w:r>
        <w:rPr>
          <w:rStyle w:val="25"/>
          <w:rFonts w:hint="eastAsia"/>
        </w:rPr>
        <w:t>产业政策与规划符合性分析</w:t>
      </w:r>
      <w:r>
        <w:tab/>
      </w:r>
      <w:r>
        <w:fldChar w:fldCharType="begin"/>
      </w:r>
      <w:r>
        <w:instrText xml:space="preserve"> PAGEREF _Toc276372278 \h </w:instrText>
      </w:r>
      <w:r>
        <w:fldChar w:fldCharType="separate"/>
      </w:r>
      <w:r>
        <w:t>120</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"_Toc276372279"</w:instrText>
      </w:r>
      <w:r>
        <w:rPr>
          <w:rStyle w:val="25"/>
        </w:rPr>
        <w:instrText xml:space="preserve"> </w:instrText>
      </w:r>
      <w:r>
        <w:rPr>
          <w:rStyle w:val="25"/>
        </w:rPr>
        <w:fldChar w:fldCharType="separate"/>
      </w:r>
      <w:r>
        <w:rPr>
          <w:rStyle w:val="25"/>
          <w:b/>
        </w:rPr>
        <w:t xml:space="preserve">13.1 </w:t>
      </w:r>
      <w:r>
        <w:rPr>
          <w:rStyle w:val="25"/>
          <w:rFonts w:hint="eastAsia"/>
          <w:b/>
        </w:rPr>
        <w:t>产业政策符合性分析</w:t>
      </w:r>
      <w:r>
        <w:tab/>
      </w:r>
      <w:r>
        <w:fldChar w:fldCharType="begin"/>
      </w:r>
      <w:r>
        <w:instrText xml:space="preserve"> PAGEREF _Toc276372279 \h </w:instrText>
      </w:r>
      <w:r>
        <w:fldChar w:fldCharType="separate"/>
      </w:r>
      <w:r>
        <w:t>120</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"_Toc276372280"</w:instrText>
      </w:r>
      <w:r>
        <w:rPr>
          <w:rStyle w:val="25"/>
        </w:rPr>
        <w:instrText xml:space="preserve"> </w:instrText>
      </w:r>
      <w:r>
        <w:rPr>
          <w:rStyle w:val="25"/>
        </w:rPr>
        <w:fldChar w:fldCharType="separate"/>
      </w:r>
      <w:r>
        <w:rPr>
          <w:rStyle w:val="25"/>
          <w:b/>
          <w:bCs/>
        </w:rPr>
        <w:t xml:space="preserve">13.2  </w:t>
      </w:r>
      <w:r>
        <w:rPr>
          <w:rStyle w:val="25"/>
          <w:rFonts w:hint="eastAsia"/>
          <w:b/>
          <w:bCs/>
        </w:rPr>
        <w:t>规划符合性分析</w:t>
      </w:r>
      <w:r>
        <w:tab/>
      </w:r>
      <w:r>
        <w:fldChar w:fldCharType="begin"/>
      </w:r>
      <w:r>
        <w:instrText xml:space="preserve"> PAGEREF _Toc276372280 \h </w:instrText>
      </w:r>
      <w:r>
        <w:fldChar w:fldCharType="separate"/>
      </w:r>
      <w:r>
        <w:t>122</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"_Toc276372281"</w:instrText>
      </w:r>
      <w:r>
        <w:rPr>
          <w:rStyle w:val="25"/>
        </w:rPr>
        <w:instrText xml:space="preserve"> </w:instrText>
      </w:r>
      <w:r>
        <w:rPr>
          <w:rStyle w:val="25"/>
        </w:rPr>
        <w:fldChar w:fldCharType="separate"/>
      </w:r>
      <w:r>
        <w:rPr>
          <w:rStyle w:val="25"/>
          <w:b/>
        </w:rPr>
        <w:t xml:space="preserve">13.3 </w:t>
      </w:r>
      <w:r>
        <w:rPr>
          <w:rStyle w:val="25"/>
          <w:rFonts w:hint="eastAsia" w:ascii="宋体" w:hAnsi="宋体"/>
          <w:b/>
          <w:bCs/>
        </w:rPr>
        <w:t>重庆市工业项目环境准入规定符合性分析</w:t>
      </w:r>
      <w:r>
        <w:tab/>
      </w:r>
      <w:r>
        <w:fldChar w:fldCharType="begin"/>
      </w:r>
      <w:r>
        <w:instrText xml:space="preserve"> PAGEREF _Toc276372281 \h </w:instrText>
      </w:r>
      <w:r>
        <w:fldChar w:fldCharType="separate"/>
      </w:r>
      <w:r>
        <w:t>123</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"_Toc276372282"</w:instrText>
      </w:r>
      <w:r>
        <w:rPr>
          <w:rStyle w:val="25"/>
        </w:rPr>
        <w:instrText xml:space="preserve"> </w:instrText>
      </w:r>
      <w:r>
        <w:rPr>
          <w:rStyle w:val="25"/>
        </w:rPr>
        <w:fldChar w:fldCharType="separate"/>
      </w:r>
      <w:r>
        <w:rPr>
          <w:rStyle w:val="25"/>
        </w:rPr>
        <w:t xml:space="preserve">14  </w:t>
      </w:r>
      <w:r>
        <w:rPr>
          <w:rStyle w:val="25"/>
          <w:rFonts w:hint="eastAsia"/>
        </w:rPr>
        <w:t>厂址选择合理性分析</w:t>
      </w:r>
      <w:r>
        <w:tab/>
      </w:r>
      <w:r>
        <w:fldChar w:fldCharType="begin"/>
      </w:r>
      <w:r>
        <w:instrText xml:space="preserve"> PAGEREF _Toc276372282 \h </w:instrText>
      </w:r>
      <w:r>
        <w:fldChar w:fldCharType="separate"/>
      </w:r>
      <w:r>
        <w:t>125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"_Toc276372283"</w:instrText>
      </w:r>
      <w:r>
        <w:rPr>
          <w:rStyle w:val="25"/>
        </w:rPr>
        <w:instrText xml:space="preserve"> </w:instrText>
      </w:r>
      <w:r>
        <w:rPr>
          <w:rStyle w:val="25"/>
        </w:rPr>
        <w:fldChar w:fldCharType="separate"/>
      </w:r>
      <w:r>
        <w:rPr>
          <w:rStyle w:val="25"/>
          <w:b/>
        </w:rPr>
        <w:t>14.1</w:t>
      </w:r>
      <w:r>
        <w:rPr>
          <w:rStyle w:val="25"/>
          <w:rFonts w:hint="eastAsia"/>
          <w:b/>
        </w:rPr>
        <w:t>与地方规划符合性</w:t>
      </w:r>
      <w:r>
        <w:tab/>
      </w:r>
      <w:r>
        <w:fldChar w:fldCharType="begin"/>
      </w:r>
      <w:r>
        <w:instrText xml:space="preserve"> PAGEREF _Toc276372283 \h </w:instrText>
      </w:r>
      <w:r>
        <w:fldChar w:fldCharType="separate"/>
      </w:r>
      <w:r>
        <w:t>125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"_Toc276372284"</w:instrText>
      </w:r>
      <w:r>
        <w:rPr>
          <w:rStyle w:val="25"/>
        </w:rPr>
        <w:instrText xml:space="preserve"> </w:instrText>
      </w:r>
      <w:r>
        <w:rPr>
          <w:rStyle w:val="25"/>
        </w:rPr>
        <w:fldChar w:fldCharType="separate"/>
      </w:r>
      <w:r>
        <w:rPr>
          <w:rStyle w:val="25"/>
          <w:b/>
        </w:rPr>
        <w:t xml:space="preserve">14.2 </w:t>
      </w:r>
      <w:r>
        <w:rPr>
          <w:rStyle w:val="25"/>
          <w:rFonts w:hint="eastAsia"/>
          <w:b/>
        </w:rPr>
        <w:t>厂址自然环境条件</w:t>
      </w:r>
      <w:r>
        <w:tab/>
      </w:r>
      <w:r>
        <w:fldChar w:fldCharType="begin"/>
      </w:r>
      <w:r>
        <w:instrText xml:space="preserve"> PAGEREF _Toc276372284 \h </w:instrText>
      </w:r>
      <w:r>
        <w:fldChar w:fldCharType="separate"/>
      </w:r>
      <w:r>
        <w:t>125</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"_Toc276372285"</w:instrText>
      </w:r>
      <w:r>
        <w:rPr>
          <w:rStyle w:val="25"/>
        </w:rPr>
        <w:instrText xml:space="preserve"> </w:instrText>
      </w:r>
      <w:r>
        <w:rPr>
          <w:rStyle w:val="25"/>
        </w:rPr>
        <w:fldChar w:fldCharType="separate"/>
      </w:r>
      <w:r>
        <w:rPr>
          <w:rStyle w:val="25"/>
          <w:b/>
        </w:rPr>
        <w:t>14.3</w:t>
      </w:r>
      <w:r>
        <w:rPr>
          <w:rStyle w:val="25"/>
          <w:rFonts w:hint="eastAsia"/>
          <w:b/>
        </w:rPr>
        <w:t>环境要素承载力分析</w:t>
      </w:r>
      <w:r>
        <w:tab/>
      </w:r>
      <w:r>
        <w:fldChar w:fldCharType="begin"/>
      </w:r>
      <w:r>
        <w:instrText xml:space="preserve"> PAGEREF _Toc276372285 \h </w:instrText>
      </w:r>
      <w:r>
        <w:fldChar w:fldCharType="separate"/>
      </w:r>
      <w:r>
        <w:t>126</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"_Toc276372286"</w:instrText>
      </w:r>
      <w:r>
        <w:rPr>
          <w:rStyle w:val="25"/>
        </w:rPr>
        <w:instrText xml:space="preserve"> </w:instrText>
      </w:r>
      <w:r>
        <w:rPr>
          <w:rStyle w:val="25"/>
        </w:rPr>
        <w:fldChar w:fldCharType="separate"/>
      </w:r>
      <w:r>
        <w:rPr>
          <w:rStyle w:val="25"/>
        </w:rPr>
        <w:t xml:space="preserve">15 </w:t>
      </w:r>
      <w:r>
        <w:rPr>
          <w:rStyle w:val="25"/>
          <w:rFonts w:hint="eastAsia"/>
        </w:rPr>
        <w:t>环境管理与监测计划</w:t>
      </w:r>
      <w:r>
        <w:tab/>
      </w:r>
      <w:r>
        <w:fldChar w:fldCharType="begin"/>
      </w:r>
      <w:r>
        <w:instrText xml:space="preserve"> PAGEREF _Toc276372286 \h </w:instrText>
      </w:r>
      <w:r>
        <w:fldChar w:fldCharType="separate"/>
      </w:r>
      <w:r>
        <w:t>127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"_Toc276372287"</w:instrText>
      </w:r>
      <w:r>
        <w:rPr>
          <w:rStyle w:val="25"/>
        </w:rPr>
        <w:instrText xml:space="preserve"> </w:instrText>
      </w:r>
      <w:r>
        <w:rPr>
          <w:rStyle w:val="25"/>
        </w:rPr>
        <w:fldChar w:fldCharType="separate"/>
      </w:r>
      <w:r>
        <w:rPr>
          <w:rStyle w:val="25"/>
          <w:b/>
        </w:rPr>
        <w:t>15.1 ISO14000</w:t>
      </w:r>
      <w:r>
        <w:rPr>
          <w:rStyle w:val="25"/>
          <w:rFonts w:hint="eastAsia"/>
          <w:b/>
        </w:rPr>
        <w:t>简介</w:t>
      </w:r>
      <w:r>
        <w:tab/>
      </w:r>
      <w:r>
        <w:fldChar w:fldCharType="begin"/>
      </w:r>
      <w:r>
        <w:instrText xml:space="preserve"> PAGEREF _Toc276372287 \h </w:instrText>
      </w:r>
      <w:r>
        <w:fldChar w:fldCharType="separate"/>
      </w:r>
      <w:r>
        <w:t>127</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"_Toc276372288"</w:instrText>
      </w:r>
      <w:r>
        <w:rPr>
          <w:rStyle w:val="25"/>
        </w:rPr>
        <w:instrText xml:space="preserve"> </w:instrText>
      </w:r>
      <w:r>
        <w:rPr>
          <w:rStyle w:val="25"/>
        </w:rPr>
        <w:fldChar w:fldCharType="separate"/>
      </w:r>
      <w:r>
        <w:rPr>
          <w:rStyle w:val="25"/>
          <w:b/>
        </w:rPr>
        <w:t xml:space="preserve">15.2  </w:t>
      </w:r>
      <w:r>
        <w:rPr>
          <w:rStyle w:val="25"/>
          <w:rFonts w:hint="eastAsia"/>
          <w:b/>
        </w:rPr>
        <w:t>环境监测</w:t>
      </w:r>
      <w:r>
        <w:tab/>
      </w:r>
      <w:r>
        <w:fldChar w:fldCharType="begin"/>
      </w:r>
      <w:r>
        <w:instrText xml:space="preserve"> PAGEREF _Toc276372288 \h </w:instrText>
      </w:r>
      <w:r>
        <w:fldChar w:fldCharType="separate"/>
      </w:r>
      <w:r>
        <w:t>128</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"_Toc276372289"</w:instrText>
      </w:r>
      <w:r>
        <w:rPr>
          <w:rStyle w:val="25"/>
        </w:rPr>
        <w:instrText xml:space="preserve"> </w:instrText>
      </w:r>
      <w:r>
        <w:rPr>
          <w:rStyle w:val="25"/>
        </w:rPr>
        <w:fldChar w:fldCharType="separate"/>
      </w:r>
      <w:r>
        <w:rPr>
          <w:rStyle w:val="25"/>
          <w:b/>
        </w:rPr>
        <w:t xml:space="preserve">15.3  </w:t>
      </w:r>
      <w:r>
        <w:rPr>
          <w:rStyle w:val="25"/>
          <w:rFonts w:hint="eastAsia"/>
          <w:b/>
        </w:rPr>
        <w:t>环保管理、监测人员的培训计划</w:t>
      </w:r>
      <w:r>
        <w:tab/>
      </w:r>
      <w:r>
        <w:fldChar w:fldCharType="begin"/>
      </w:r>
      <w:r>
        <w:instrText xml:space="preserve"> PAGEREF _Toc276372289 \h </w:instrText>
      </w:r>
      <w:r>
        <w:fldChar w:fldCharType="separate"/>
      </w:r>
      <w:r>
        <w:t>129</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"_Toc276372290"</w:instrText>
      </w:r>
      <w:r>
        <w:rPr>
          <w:rStyle w:val="25"/>
        </w:rPr>
        <w:instrText xml:space="preserve"> </w:instrText>
      </w:r>
      <w:r>
        <w:rPr>
          <w:rStyle w:val="25"/>
        </w:rPr>
        <w:fldChar w:fldCharType="separate"/>
      </w:r>
      <w:r>
        <w:rPr>
          <w:rStyle w:val="25"/>
          <w:b/>
        </w:rPr>
        <w:t xml:space="preserve">15.4  </w:t>
      </w:r>
      <w:r>
        <w:rPr>
          <w:rStyle w:val="25"/>
          <w:rFonts w:hint="eastAsia"/>
          <w:b/>
        </w:rPr>
        <w:t>环境保护竣工验收</w:t>
      </w:r>
      <w:r>
        <w:tab/>
      </w:r>
      <w:r>
        <w:fldChar w:fldCharType="begin"/>
      </w:r>
      <w:r>
        <w:instrText xml:space="preserve"> PAGEREF _Toc276372290 \h </w:instrText>
      </w:r>
      <w:r>
        <w:fldChar w:fldCharType="separate"/>
      </w:r>
      <w:r>
        <w:t>129</w:t>
      </w:r>
      <w:r>
        <w:fldChar w:fldCharType="end"/>
      </w:r>
      <w:r>
        <w:rPr>
          <w:rStyle w:val="25"/>
        </w:rPr>
        <w:fldChar w:fldCharType="end"/>
      </w:r>
    </w:p>
    <w:p>
      <w:pPr>
        <w:pStyle w:val="16"/>
        <w:rPr>
          <w:b w:val="0"/>
          <w:bCs w:val="0"/>
          <w:caps w:val="0"/>
          <w:sz w:val="21"/>
        </w:rPr>
      </w:pPr>
      <w:r>
        <w:rPr>
          <w:rStyle w:val="25"/>
        </w:rPr>
        <w:fldChar w:fldCharType="begin"/>
      </w:r>
      <w:r>
        <w:rPr>
          <w:rStyle w:val="25"/>
        </w:rPr>
        <w:instrText xml:space="preserve"> </w:instrText>
      </w:r>
      <w:r>
        <w:instrText xml:space="preserve">HYPERLINK \l "_Toc276372291"</w:instrText>
      </w:r>
      <w:r>
        <w:rPr>
          <w:rStyle w:val="25"/>
        </w:rPr>
        <w:instrText xml:space="preserve"> </w:instrText>
      </w:r>
      <w:r>
        <w:rPr>
          <w:rStyle w:val="25"/>
        </w:rPr>
        <w:fldChar w:fldCharType="separate"/>
      </w:r>
      <w:r>
        <w:rPr>
          <w:rStyle w:val="25"/>
        </w:rPr>
        <w:t>16</w:t>
      </w:r>
      <w:r>
        <w:rPr>
          <w:rStyle w:val="25"/>
          <w:rFonts w:hint="eastAsia"/>
        </w:rPr>
        <w:t>结论与建议</w:t>
      </w:r>
      <w:r>
        <w:tab/>
      </w:r>
      <w:r>
        <w:fldChar w:fldCharType="begin"/>
      </w:r>
      <w:r>
        <w:instrText xml:space="preserve"> PAGEREF _Toc276372291 \h </w:instrText>
      </w:r>
      <w:r>
        <w:fldChar w:fldCharType="separate"/>
      </w:r>
      <w:r>
        <w:t>133</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"_Toc276372292"</w:instrText>
      </w:r>
      <w:r>
        <w:rPr>
          <w:rStyle w:val="25"/>
        </w:rPr>
        <w:instrText xml:space="preserve"> </w:instrText>
      </w:r>
      <w:r>
        <w:rPr>
          <w:rStyle w:val="25"/>
        </w:rPr>
        <w:fldChar w:fldCharType="separate"/>
      </w:r>
      <w:r>
        <w:rPr>
          <w:rStyle w:val="25"/>
          <w:b/>
        </w:rPr>
        <w:t>16.1</w:t>
      </w:r>
      <w:r>
        <w:rPr>
          <w:rStyle w:val="25"/>
          <w:rFonts w:hint="eastAsia"/>
          <w:b/>
        </w:rPr>
        <w:t>结论</w:t>
      </w:r>
      <w:r>
        <w:tab/>
      </w:r>
      <w:r>
        <w:fldChar w:fldCharType="begin"/>
      </w:r>
      <w:r>
        <w:instrText xml:space="preserve"> PAGEREF _Toc276372292 \h </w:instrText>
      </w:r>
      <w:r>
        <w:fldChar w:fldCharType="separate"/>
      </w:r>
      <w:r>
        <w:t>133</w:t>
      </w:r>
      <w:r>
        <w:fldChar w:fldCharType="end"/>
      </w:r>
      <w:r>
        <w:rPr>
          <w:rStyle w:val="25"/>
        </w:rPr>
        <w:fldChar w:fldCharType="end"/>
      </w:r>
    </w:p>
    <w:p>
      <w:pPr>
        <w:pStyle w:val="17"/>
        <w:tabs>
          <w:tab w:val="right" w:leader="dot" w:pos="9060"/>
        </w:tabs>
        <w:ind w:left="480"/>
        <w:rPr>
          <w:sz w:val="21"/>
        </w:rPr>
      </w:pPr>
      <w:r>
        <w:rPr>
          <w:rStyle w:val="25"/>
        </w:rPr>
        <w:fldChar w:fldCharType="begin"/>
      </w:r>
      <w:r>
        <w:rPr>
          <w:rStyle w:val="25"/>
        </w:rPr>
        <w:instrText xml:space="preserve"> </w:instrText>
      </w:r>
      <w:r>
        <w:instrText xml:space="preserve">HYPERLINK \l "_Toc276372293"</w:instrText>
      </w:r>
      <w:r>
        <w:rPr>
          <w:rStyle w:val="25"/>
        </w:rPr>
        <w:instrText xml:space="preserve"> </w:instrText>
      </w:r>
      <w:r>
        <w:rPr>
          <w:rStyle w:val="25"/>
        </w:rPr>
        <w:fldChar w:fldCharType="separate"/>
      </w:r>
      <w:r>
        <w:rPr>
          <w:rStyle w:val="25"/>
          <w:b/>
        </w:rPr>
        <w:t xml:space="preserve">16.2 </w:t>
      </w:r>
      <w:r>
        <w:rPr>
          <w:rStyle w:val="25"/>
          <w:rFonts w:hint="eastAsia"/>
          <w:b/>
        </w:rPr>
        <w:t>建议</w:t>
      </w:r>
      <w:r>
        <w:tab/>
      </w:r>
      <w:r>
        <w:fldChar w:fldCharType="begin"/>
      </w:r>
      <w:r>
        <w:instrText xml:space="preserve"> PAGEREF _Toc276372293 \h </w:instrText>
      </w:r>
      <w:r>
        <w:fldChar w:fldCharType="separate"/>
      </w:r>
      <w:r>
        <w:t>137</w:t>
      </w:r>
      <w:r>
        <w:fldChar w:fldCharType="end"/>
      </w:r>
      <w:r>
        <w:rPr>
          <w:rStyle w:val="25"/>
        </w:rPr>
        <w:fldChar w:fldCharType="end"/>
      </w:r>
    </w:p>
    <w:p>
      <w:pPr>
        <w:spacing w:line="360" w:lineRule="auto"/>
        <w:rPr>
          <w:rFonts w:hint="eastAsia" w:ascii="黑体" w:eastAsia="黑体"/>
          <w:b/>
          <w:bCs/>
          <w:caps/>
          <w:sz w:val="28"/>
        </w:rPr>
      </w:pPr>
      <w:r>
        <w:rPr>
          <w:rFonts w:ascii="黑体" w:eastAsia="黑体"/>
          <w:sz w:val="28"/>
        </w:rPr>
        <w:fldChar w:fldCharType="end"/>
      </w: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p>
    <w:p>
      <w:pPr>
        <w:spacing w:line="360" w:lineRule="auto"/>
        <w:rPr>
          <w:rFonts w:hint="eastAsia" w:ascii="黑体" w:eastAsia="黑体"/>
          <w:b/>
          <w:bCs/>
          <w:caps/>
          <w:sz w:val="28"/>
        </w:rPr>
      </w:pPr>
      <w:r>
        <w:rPr>
          <w:rFonts w:hint="eastAsia" w:ascii="黑体" w:eastAsia="黑体"/>
          <w:b/>
          <w:bCs/>
          <w:caps/>
          <w:sz w:val="28"/>
        </w:rPr>
        <w:t>附件：</w:t>
      </w:r>
    </w:p>
    <w:p>
      <w:pPr>
        <w:pStyle w:val="26"/>
        <w:ind w:firstLine="480"/>
        <w:rPr>
          <w:rFonts w:hint="eastAsia" w:eastAsia="宋体"/>
          <w:color w:val="auto"/>
        </w:rPr>
      </w:pPr>
      <w:r>
        <w:rPr>
          <w:rFonts w:hint="eastAsia" w:eastAsia="宋体"/>
          <w:color w:val="auto"/>
        </w:rPr>
        <w:t xml:space="preserve">1、《关于重庆永荣青鹏煤业公司环保节能技改2500t/d新型干法水泥项目符合国家产业政策的行业意见》（重庆市经济和信息化委员会）； </w:t>
      </w:r>
    </w:p>
    <w:p>
      <w:pPr>
        <w:spacing w:line="360" w:lineRule="auto"/>
        <w:ind w:firstLine="308" w:firstLineChars="147"/>
        <w:rPr>
          <w:rFonts w:hint="eastAsia"/>
        </w:rPr>
      </w:pPr>
      <w:r>
        <w:rPr>
          <w:rFonts w:hint="eastAsia"/>
        </w:rPr>
        <w:t>2、《市政府关于研究市能投集团发展有关问题的会议纪要》（2010-123）；</w:t>
      </w:r>
    </w:p>
    <w:p>
      <w:pPr>
        <w:spacing w:line="360" w:lineRule="auto"/>
        <w:ind w:firstLine="308" w:firstLineChars="147"/>
        <w:rPr>
          <w:rFonts w:hint="eastAsia"/>
        </w:rPr>
      </w:pPr>
      <w:r>
        <w:rPr>
          <w:rFonts w:hint="eastAsia"/>
        </w:rPr>
        <w:t>3、《建设项目选址意见书》（选字第500106201000043）；</w:t>
      </w:r>
    </w:p>
    <w:p>
      <w:pPr>
        <w:spacing w:line="360" w:lineRule="auto"/>
        <w:ind w:firstLine="308" w:firstLineChars="147"/>
        <w:rPr>
          <w:rFonts w:hint="eastAsia" w:ascii="宋体" w:hAnsi="宋体"/>
        </w:rPr>
      </w:pPr>
      <w:r>
        <w:rPr>
          <w:rFonts w:hint="eastAsia"/>
        </w:rPr>
        <w:t>4、</w:t>
      </w:r>
      <w:r>
        <w:rPr>
          <w:rFonts w:hint="eastAsia" w:ascii="宋体" w:hAnsi="宋体"/>
        </w:rPr>
        <w:t>重庆市建设项目环境影响评价要求通知书（渝（市）环评通920100139号）；</w:t>
      </w:r>
    </w:p>
    <w:p>
      <w:pPr>
        <w:spacing w:line="360" w:lineRule="auto"/>
        <w:ind w:firstLine="308" w:firstLineChars="147"/>
        <w:rPr>
          <w:rFonts w:hint="eastAsia"/>
        </w:rPr>
      </w:pPr>
      <w:r>
        <w:rPr>
          <w:rFonts w:hint="eastAsia" w:ascii="宋体" w:hAnsi="宋体"/>
        </w:rPr>
        <w:t>5、环境监测报告（NO.SPBEMS-2010-PJ042</w:t>
      </w:r>
      <w:r>
        <w:rPr>
          <w:rFonts w:ascii="宋体" w:hAnsi="宋体"/>
        </w:rPr>
        <w:t>）</w:t>
      </w:r>
      <w:r>
        <w:rPr>
          <w:rFonts w:hint="eastAsia" w:ascii="宋体" w:hAnsi="宋体"/>
        </w:rPr>
        <w:t>；</w:t>
      </w:r>
    </w:p>
    <w:p>
      <w:pPr>
        <w:spacing w:line="360" w:lineRule="auto"/>
        <w:ind w:firstLine="308" w:firstLineChars="147"/>
        <w:rPr>
          <w:rFonts w:hint="eastAsia" w:ascii="宋体" w:hAnsi="宋体"/>
        </w:rPr>
      </w:pPr>
      <w:r>
        <w:rPr>
          <w:rFonts w:hint="eastAsia" w:ascii="宋体" w:hAnsi="宋体"/>
        </w:rPr>
        <w:t>6、煤质化验报告；</w:t>
      </w:r>
    </w:p>
    <w:p>
      <w:pPr>
        <w:spacing w:line="360" w:lineRule="auto"/>
        <w:ind w:firstLine="308" w:firstLineChars="147"/>
        <w:rPr>
          <w:rFonts w:hint="eastAsia" w:ascii="宋体" w:hAnsi="宋体"/>
        </w:rPr>
      </w:pPr>
      <w:r>
        <w:rPr>
          <w:rFonts w:hint="eastAsia" w:ascii="宋体" w:hAnsi="宋体"/>
        </w:rPr>
        <w:t>7、石灰石购销合同；</w:t>
      </w:r>
    </w:p>
    <w:p>
      <w:pPr>
        <w:spacing w:line="360" w:lineRule="auto"/>
        <w:ind w:firstLine="308" w:firstLineChars="147"/>
        <w:rPr>
          <w:rFonts w:hint="eastAsia" w:ascii="宋体" w:hAnsi="宋体"/>
        </w:rPr>
      </w:pPr>
      <w:r>
        <w:rPr>
          <w:rFonts w:hint="eastAsia" w:ascii="宋体" w:hAnsi="宋体"/>
        </w:rPr>
        <w:t>8、沙坪坝区环境保护局关于同意安排重庆永荣青鹏公司水泥厂技改项目二氧化硫排放指标的函；</w:t>
      </w:r>
    </w:p>
    <w:p>
      <w:pPr>
        <w:spacing w:line="360" w:lineRule="auto"/>
        <w:ind w:firstLine="308" w:firstLineChars="147"/>
        <w:rPr>
          <w:rFonts w:hint="eastAsia" w:ascii="宋体" w:hAnsi="宋体"/>
        </w:rPr>
      </w:pPr>
      <w:r>
        <w:rPr>
          <w:rFonts w:hint="eastAsia" w:ascii="宋体" w:hAnsi="宋体"/>
        </w:rPr>
        <w:t>9、技改项目网上公示内容；</w:t>
      </w:r>
    </w:p>
    <w:p>
      <w:pPr>
        <w:spacing w:line="360" w:lineRule="auto"/>
        <w:ind w:firstLine="308" w:firstLineChars="147"/>
        <w:rPr>
          <w:rFonts w:hint="eastAsia" w:ascii="宋体" w:hAnsi="宋体"/>
        </w:rPr>
      </w:pPr>
      <w:r>
        <w:rPr>
          <w:rFonts w:hint="eastAsia" w:ascii="宋体" w:hAnsi="宋体"/>
        </w:rPr>
        <w:t>10、公众参与调查表；</w:t>
      </w:r>
    </w:p>
    <w:p>
      <w:pPr>
        <w:spacing w:line="360" w:lineRule="auto"/>
        <w:rPr>
          <w:rFonts w:hint="eastAsia" w:ascii="宋体" w:hAnsi="宋体"/>
        </w:rPr>
      </w:pPr>
      <w:r>
        <w:rPr>
          <w:rFonts w:hint="eastAsia" w:ascii="宋体" w:hAnsi="宋体"/>
        </w:rPr>
        <w:t xml:space="preserve">   11、建设项目审批登记表。</w:t>
      </w:r>
    </w:p>
    <w:p>
      <w:pPr>
        <w:spacing w:line="360" w:lineRule="auto"/>
        <w:rPr>
          <w:rFonts w:hint="eastAsia"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134" w:right="1418" w:bottom="1134" w:left="1418" w:header="851" w:footer="992" w:gutter="0"/>
          <w:paperSrc w:first="20070" w:other="20070"/>
          <w:pgNumType w:fmt="upperRoman" w:start="1"/>
          <w:cols w:space="425" w:num="1"/>
          <w:docGrid w:linePitch="312" w:charSpace="0"/>
        </w:sectPr>
      </w:pPr>
    </w:p>
    <w:p>
      <w:pPr>
        <w:spacing w:line="460" w:lineRule="exact"/>
        <w:jc w:val="center"/>
        <w:outlineLvl w:val="0"/>
        <w:rPr>
          <w:rFonts w:hint="eastAsia" w:ascii="黑体" w:eastAsia="黑体"/>
          <w:sz w:val="30"/>
          <w:szCs w:val="30"/>
        </w:rPr>
      </w:pPr>
      <w:r>
        <w:rPr>
          <w:rFonts w:hint="eastAsia" w:ascii="黑体" w:eastAsia="黑体"/>
          <w:sz w:val="30"/>
          <w:szCs w:val="30"/>
        </w:rPr>
        <w:t xml:space="preserve"> </w:t>
      </w:r>
      <w:bookmarkStart w:id="0" w:name="_Toc276372209"/>
      <w:r>
        <w:rPr>
          <w:rFonts w:hint="eastAsia" w:ascii="黑体" w:eastAsia="黑体"/>
          <w:sz w:val="30"/>
          <w:szCs w:val="30"/>
        </w:rPr>
        <w:t>前    言</w:t>
      </w:r>
      <w:bookmarkEnd w:id="0"/>
    </w:p>
    <w:p>
      <w:pPr>
        <w:autoSpaceDE w:val="0"/>
        <w:autoSpaceDN w:val="0"/>
        <w:spacing w:line="480" w:lineRule="exact"/>
        <w:ind w:firstLine="420" w:firstLineChars="200"/>
        <w:rPr>
          <w:rFonts w:hint="eastAsia" w:ascii="宋体" w:hAnsi="宋体"/>
        </w:rPr>
      </w:pPr>
      <w:r>
        <w:rPr>
          <w:rFonts w:ascii="宋体" w:hAnsi="宋体"/>
        </w:rPr>
        <w:t>重庆永荣青鹏煤业有限公司</w:t>
      </w:r>
      <w:r>
        <w:rPr>
          <w:rFonts w:hint="eastAsia" w:ascii="宋体" w:hAnsi="宋体"/>
        </w:rPr>
        <w:t>隶属于重庆</w:t>
      </w:r>
      <w:r>
        <w:rPr>
          <w:rFonts w:ascii="宋体" w:hAnsi="宋体"/>
        </w:rPr>
        <w:t>市</w:t>
      </w:r>
      <w:r>
        <w:rPr>
          <w:rFonts w:hint="eastAsia" w:ascii="宋体" w:hAnsi="宋体"/>
        </w:rPr>
        <w:t>能源</w:t>
      </w:r>
      <w:r>
        <w:rPr>
          <w:rFonts w:ascii="宋体" w:hAnsi="宋体"/>
        </w:rPr>
        <w:t>投</w:t>
      </w:r>
      <w:r>
        <w:rPr>
          <w:rFonts w:hint="eastAsia" w:ascii="宋体" w:hAnsi="宋体"/>
        </w:rPr>
        <w:t>资</w:t>
      </w:r>
      <w:r>
        <w:rPr>
          <w:rFonts w:ascii="宋体" w:hAnsi="宋体"/>
        </w:rPr>
        <w:t>集团公司，前身为重庆市青木关煤矿，始建于1958年，现有二千多名职工，位于沙坪坝区青木关镇关口村境内。319国道将矿区分成南北两块：北边为生活区、办公区；南边是工业区的水泥厂、矿井工业广场。几经改扩建至1992年，已成为具水泥、煤炭生产加工和销售一体的“双主业”企业。经重庆市国资委同意于2007年1月1日改制为重庆永荣青鹏煤业有限公司（国有独资企业）。</w:t>
      </w:r>
      <w:r>
        <w:rPr>
          <w:rFonts w:hint="eastAsia" w:ascii="宋体" w:hAnsi="宋体"/>
        </w:rPr>
        <w:t>公司目前拥有</w:t>
      </w:r>
      <w:r>
        <w:rPr>
          <w:rFonts w:ascii="宋体" w:hAnsi="宋体"/>
        </w:rPr>
        <w:t>4条立窑生产线年产能60万吨，属</w:t>
      </w:r>
      <w:r>
        <w:rPr>
          <w:rFonts w:hint="eastAsia" w:ascii="宋体" w:hAnsi="宋体"/>
        </w:rPr>
        <w:t>沙坪坝区</w:t>
      </w:r>
      <w:r>
        <w:rPr>
          <w:rFonts w:ascii="宋体" w:hAnsi="宋体"/>
        </w:rPr>
        <w:t>立窑之首，水泥销售收入年1.2亿元。</w:t>
      </w:r>
    </w:p>
    <w:p>
      <w:pPr>
        <w:autoSpaceDE w:val="0"/>
        <w:autoSpaceDN w:val="0"/>
        <w:spacing w:line="480" w:lineRule="exact"/>
        <w:ind w:firstLine="420" w:firstLineChars="200"/>
        <w:rPr>
          <w:rFonts w:hint="eastAsia" w:ascii="宋体" w:hAnsi="宋体"/>
        </w:rPr>
      </w:pPr>
      <w:r>
        <w:rPr>
          <w:rFonts w:ascii="宋体" w:hAnsi="宋体"/>
        </w:rPr>
        <w:t>为贯彻国家水泥工业产业政策，改变区域水泥工业产业结构，淘汰立窑生产工艺，降低能耗，减少污染，更进一步促进区域循环经济发展，</w:t>
      </w:r>
      <w:r>
        <w:rPr>
          <w:rFonts w:hint="eastAsia" w:ascii="宋体" w:hAnsi="宋体"/>
        </w:rPr>
        <w:t>沙坪坝区人民政府根据区内水泥产业现状，决定实施“关5保1”的措施，即将区内现有6家立窑水泥企业（地王、泰琦、青木关、山洞、中梁、青鹏）12条生产线180万吨/年的产能，升级改造为1家（青鹏公司）1条100万吨/年新型干法熟料水泥的产能。</w:t>
      </w:r>
    </w:p>
    <w:p>
      <w:pPr>
        <w:autoSpaceDE w:val="0"/>
        <w:autoSpaceDN w:val="0"/>
        <w:spacing w:line="480" w:lineRule="exact"/>
        <w:ind w:firstLine="420" w:firstLineChars="200"/>
        <w:rPr>
          <w:rFonts w:hint="eastAsia" w:ascii="宋体" w:hAnsi="宋体"/>
        </w:rPr>
      </w:pPr>
      <w:r>
        <w:rPr>
          <w:rFonts w:hint="eastAsia" w:ascii="宋体" w:hAnsi="宋体"/>
        </w:rPr>
        <w:t>该项目实施后，不但淘汰落后的立窑工艺，调整产品结构，还大量消耗煤矸石、粉煤灰、炉渣等固体废物，实现变废为宝，彻底改善因废气、废水、废渣对环境的影响，极大地促进沙坪坝区环境保护和减排工作，同时也成为公司发展壮大新的经济增长点。该项目的建设得到了重庆市人民政府、重庆市能投集团、沙坪坝区人民政府的大力支持。</w:t>
      </w:r>
    </w:p>
    <w:p>
      <w:pPr>
        <w:spacing w:line="480" w:lineRule="exact"/>
        <w:ind w:firstLine="420" w:firstLineChars="200"/>
        <w:rPr>
          <w:rFonts w:hint="eastAsia" w:ascii="宋体" w:hAnsi="宋体"/>
        </w:rPr>
      </w:pPr>
      <w:r>
        <w:rPr>
          <w:rFonts w:hint="eastAsia" w:ascii="宋体" w:hAnsi="宋体"/>
        </w:rPr>
        <w:t>根据《中华人民共和国环境影响评价法》，重庆永荣青鹏煤业有限公司委托重庆市环境科学研究院编制重庆永荣青鹏煤业有限公司环保节能技改2500</w:t>
      </w:r>
      <w:r>
        <w:rPr>
          <w:rFonts w:ascii="宋体" w:hAnsi="宋体"/>
        </w:rPr>
        <w:t xml:space="preserve"> t/d熟料水泥生产线</w:t>
      </w:r>
      <w:r>
        <w:rPr>
          <w:rFonts w:hint="eastAsia" w:ascii="宋体" w:hAnsi="宋体"/>
        </w:rPr>
        <w:t>项目（以下简称技改项目）环境影响报告书。接受委托后，我院立即组织有关技术人员深入现场踏勘、调查，并依据技改项目有关的技术资料及《环境影响评价技术导则》要求，编制完成了《重庆永荣青鹏煤业有限公司环保节能技改2500</w:t>
      </w:r>
      <w:r>
        <w:rPr>
          <w:rFonts w:ascii="宋体" w:hAnsi="宋体"/>
        </w:rPr>
        <w:t xml:space="preserve"> t/d熟料水泥生产线</w:t>
      </w:r>
      <w:r>
        <w:rPr>
          <w:rFonts w:hint="eastAsia" w:ascii="宋体" w:hAnsi="宋体"/>
        </w:rPr>
        <w:t>项目环境影响报告书》，</w:t>
      </w:r>
      <w:r>
        <w:rPr>
          <w:rFonts w:ascii="宋体" w:hAnsi="宋体"/>
        </w:rPr>
        <w:t>呈报</w:t>
      </w:r>
      <w:r>
        <w:rPr>
          <w:rFonts w:hint="eastAsia" w:ascii="宋体" w:hAnsi="宋体"/>
        </w:rPr>
        <w:t>重庆市</w:t>
      </w:r>
      <w:r>
        <w:rPr>
          <w:rFonts w:ascii="宋体" w:hAnsi="宋体"/>
        </w:rPr>
        <w:t>环境保护局审</w:t>
      </w:r>
      <w:r>
        <w:rPr>
          <w:rFonts w:hint="eastAsia" w:ascii="宋体" w:hAnsi="宋体"/>
        </w:rPr>
        <w:t>批。审查通过后的报告书及重庆市环保局的批复意见将作为技改项目环境保护管理的重要依据。</w:t>
      </w:r>
    </w:p>
    <w:p>
      <w:pPr>
        <w:spacing w:line="480" w:lineRule="exact"/>
        <w:ind w:firstLine="420" w:firstLineChars="200"/>
        <w:rPr>
          <w:rFonts w:hint="eastAsia" w:ascii="宋体" w:hAnsi="宋体"/>
        </w:rPr>
      </w:pPr>
      <w:r>
        <w:rPr>
          <w:rFonts w:hint="eastAsia" w:ascii="宋体" w:hAnsi="宋体"/>
        </w:rPr>
        <w:t xml:space="preserve">报告书编制过程中得到了重庆市环保局、重庆市环境工程评估中心、沙坪坝区环保局、青木关镇政府、山东省建筑材料工业设计研究院、山东省经纬项目管理咨询公司、重庆永荣青鹏煤业有限公司等单位的大力支持和帮助，在此一并致谢！ </w:t>
      </w:r>
    </w:p>
    <w:p>
      <w:pPr>
        <w:spacing w:before="72" w:beforeLines="30" w:after="72" w:afterLines="30" w:line="360" w:lineRule="auto"/>
        <w:outlineLvl w:val="0"/>
        <w:rPr>
          <w:rFonts w:hint="eastAsia" w:ascii="黑体" w:eastAsia="黑体"/>
        </w:rPr>
      </w:pPr>
      <w:r>
        <w:rPr>
          <w:rFonts w:ascii="宋体" w:hAnsi="宋体"/>
        </w:rPr>
        <w:br w:type="page"/>
      </w:r>
      <w:bookmarkStart w:id="1" w:name="_Toc276372210"/>
      <w:r>
        <w:rPr>
          <w:rFonts w:hint="eastAsia"/>
          <w:b/>
          <w:bCs/>
          <w:sz w:val="28"/>
          <w:szCs w:val="28"/>
        </w:rPr>
        <w:t>1总论</w:t>
      </w:r>
      <w:bookmarkEnd w:id="1"/>
    </w:p>
    <w:p>
      <w:pPr>
        <w:spacing w:before="24" w:beforeLines="10" w:after="24" w:afterLines="10" w:line="360" w:lineRule="auto"/>
        <w:outlineLvl w:val="1"/>
        <w:rPr>
          <w:b/>
        </w:rPr>
      </w:pPr>
      <w:bookmarkStart w:id="2" w:name="_Toc473281475"/>
      <w:bookmarkStart w:id="3" w:name="_Toc189814117"/>
      <w:bookmarkStart w:id="4" w:name="_Toc129763677"/>
      <w:bookmarkStart w:id="5" w:name="_Toc175479773"/>
      <w:bookmarkStart w:id="6" w:name="_Toc165607332"/>
      <w:bookmarkStart w:id="7" w:name="_Toc276372211"/>
      <w:r>
        <w:rPr>
          <w:rFonts w:hint="eastAsia"/>
          <w:b/>
        </w:rPr>
        <w:t>1.1</w:t>
      </w:r>
      <w:bookmarkEnd w:id="2"/>
      <w:bookmarkEnd w:id="3"/>
      <w:bookmarkEnd w:id="4"/>
      <w:bookmarkEnd w:id="5"/>
      <w:bookmarkEnd w:id="6"/>
      <w:r>
        <w:rPr>
          <w:rFonts w:hint="eastAsia"/>
          <w:b/>
        </w:rPr>
        <w:t xml:space="preserve"> </w:t>
      </w:r>
      <w:r>
        <w:rPr>
          <w:b/>
        </w:rPr>
        <w:t>评价目的</w:t>
      </w:r>
      <w:bookmarkEnd w:id="7"/>
    </w:p>
    <w:p>
      <w:pPr>
        <w:spacing w:line="360" w:lineRule="auto"/>
        <w:ind w:firstLine="420" w:firstLineChars="200"/>
        <w:rPr>
          <w:rFonts w:ascii="宋体"/>
        </w:rPr>
      </w:pPr>
      <w:r>
        <w:rPr>
          <w:rFonts w:ascii="宋体"/>
        </w:rPr>
        <w:t>通过对本项目进行环境影响评价，查清项目拟建</w:t>
      </w:r>
      <w:r>
        <w:rPr>
          <w:rFonts w:hint="eastAsia" w:ascii="宋体"/>
        </w:rPr>
        <w:t>厂</w:t>
      </w:r>
      <w:r>
        <w:rPr>
          <w:rFonts w:ascii="宋体"/>
        </w:rPr>
        <w:t>址周围的环境状况</w:t>
      </w:r>
      <w:r>
        <w:rPr>
          <w:rFonts w:hint="eastAsia" w:ascii="宋体"/>
        </w:rPr>
        <w:t>，</w:t>
      </w:r>
      <w:r>
        <w:rPr>
          <w:rFonts w:ascii="宋体"/>
        </w:rPr>
        <w:t>在工程分析的基础上，确定项目施工期与营运期各环节的污染源、主要污染物产生量，提出避免或减少污染、防止对环境质量造成破坏的对策和建议，预测项目建成后排放的主要污染物对周围环境可能造成影响的范围和程度。</w:t>
      </w:r>
    </w:p>
    <w:p>
      <w:pPr>
        <w:spacing w:line="360" w:lineRule="auto"/>
        <w:ind w:firstLine="420" w:firstLineChars="200"/>
        <w:rPr>
          <w:rFonts w:ascii="宋体"/>
        </w:rPr>
      </w:pPr>
      <w:r>
        <w:rPr>
          <w:rFonts w:ascii="宋体"/>
        </w:rPr>
        <w:t>依据国家有关环境标准，论证污染治理措施的可行性和合理性，提出污染物控制措施的对策、建议，为该项目的选址、布局和工程设计从环境保护角度提供科学依据，对项目建设的环境可行性作出明确结论。</w:t>
      </w:r>
    </w:p>
    <w:p>
      <w:pPr>
        <w:spacing w:before="24" w:beforeLines="10" w:after="24" w:afterLines="10" w:line="360" w:lineRule="auto"/>
        <w:outlineLvl w:val="1"/>
        <w:rPr>
          <w:rFonts w:hint="eastAsia"/>
          <w:b/>
        </w:rPr>
      </w:pPr>
      <w:bookmarkStart w:id="8" w:name="_Toc276372212"/>
      <w:r>
        <w:rPr>
          <w:rFonts w:hint="eastAsia"/>
          <w:b/>
        </w:rPr>
        <w:t>1.2 编制依据</w:t>
      </w:r>
      <w:bookmarkEnd w:id="8"/>
    </w:p>
    <w:p>
      <w:pPr>
        <w:spacing w:line="360" w:lineRule="auto"/>
        <w:outlineLvl w:val="2"/>
        <w:rPr>
          <w:rFonts w:hint="eastAsia"/>
          <w:b/>
        </w:rPr>
      </w:pPr>
      <w:r>
        <w:rPr>
          <w:rFonts w:hint="eastAsia"/>
          <w:b/>
        </w:rPr>
        <w:t>1.2.1 环境保护有关的法律</w:t>
      </w:r>
    </w:p>
    <w:p>
      <w:pPr>
        <w:spacing w:line="360" w:lineRule="auto"/>
        <w:ind w:firstLine="420" w:firstLineChars="200"/>
        <w:rPr>
          <w:rFonts w:hint="eastAsia" w:ascii="宋体"/>
        </w:rPr>
      </w:pPr>
      <w:r>
        <w:rPr>
          <w:rFonts w:hint="eastAsia" w:ascii="宋体"/>
        </w:rPr>
        <w:t>（1）《中华人民共和国环境保护法》；</w:t>
      </w:r>
    </w:p>
    <w:p>
      <w:pPr>
        <w:spacing w:line="360" w:lineRule="auto"/>
        <w:ind w:firstLine="420" w:firstLineChars="200"/>
        <w:rPr>
          <w:rFonts w:hint="eastAsia" w:ascii="宋体"/>
        </w:rPr>
      </w:pPr>
      <w:r>
        <w:rPr>
          <w:rFonts w:hint="eastAsia" w:ascii="宋体"/>
        </w:rPr>
        <w:t>（2）《中华人民共和国环境影响评价法》；</w:t>
      </w:r>
    </w:p>
    <w:p>
      <w:pPr>
        <w:spacing w:line="360" w:lineRule="auto"/>
        <w:ind w:firstLine="420" w:firstLineChars="200"/>
        <w:rPr>
          <w:rFonts w:hint="eastAsia" w:ascii="宋体"/>
        </w:rPr>
      </w:pPr>
      <w:r>
        <w:rPr>
          <w:rFonts w:hint="eastAsia" w:ascii="宋体"/>
        </w:rPr>
        <w:t>（3）《中华人民共和国清洁生产促进法》；</w:t>
      </w:r>
    </w:p>
    <w:p>
      <w:pPr>
        <w:spacing w:line="360" w:lineRule="auto"/>
        <w:ind w:firstLine="420" w:firstLineChars="200"/>
        <w:rPr>
          <w:rFonts w:hint="eastAsia" w:ascii="宋体"/>
        </w:rPr>
      </w:pPr>
      <w:r>
        <w:rPr>
          <w:rFonts w:hint="eastAsia" w:ascii="宋体"/>
        </w:rPr>
        <w:t>（4）《中华人民共和国安全生产法》；</w:t>
      </w:r>
    </w:p>
    <w:p>
      <w:pPr>
        <w:spacing w:line="360" w:lineRule="auto"/>
        <w:ind w:firstLine="420" w:firstLineChars="200"/>
        <w:rPr>
          <w:rFonts w:hint="eastAsia" w:ascii="宋体"/>
        </w:rPr>
      </w:pPr>
      <w:r>
        <w:rPr>
          <w:rFonts w:hint="eastAsia" w:ascii="宋体"/>
        </w:rPr>
        <w:t>（5）《中华人民共和国大气污染防治法》；</w:t>
      </w:r>
    </w:p>
    <w:p>
      <w:pPr>
        <w:spacing w:line="360" w:lineRule="auto"/>
        <w:ind w:firstLine="420" w:firstLineChars="200"/>
        <w:rPr>
          <w:rFonts w:hint="eastAsia" w:ascii="宋体"/>
        </w:rPr>
      </w:pPr>
      <w:r>
        <w:rPr>
          <w:rFonts w:hint="eastAsia" w:ascii="宋体"/>
        </w:rPr>
        <w:t>（6）《中华人民共和国水污染防治法》；</w:t>
      </w:r>
    </w:p>
    <w:p>
      <w:pPr>
        <w:spacing w:line="360" w:lineRule="auto"/>
        <w:ind w:firstLine="420" w:firstLineChars="200"/>
        <w:rPr>
          <w:rFonts w:hint="eastAsia" w:ascii="宋体"/>
        </w:rPr>
      </w:pPr>
      <w:r>
        <w:rPr>
          <w:rFonts w:hint="eastAsia" w:ascii="宋体"/>
        </w:rPr>
        <w:t>（7）《中华人民共和国固体废物污染环境防治法》；</w:t>
      </w:r>
    </w:p>
    <w:p>
      <w:pPr>
        <w:spacing w:line="360" w:lineRule="auto"/>
        <w:ind w:firstLine="420" w:firstLineChars="200"/>
        <w:rPr>
          <w:rFonts w:hint="eastAsia" w:ascii="宋体"/>
        </w:rPr>
      </w:pPr>
      <w:r>
        <w:rPr>
          <w:rFonts w:hint="eastAsia" w:ascii="宋体"/>
        </w:rPr>
        <w:t>（8）《中华人民共和国噪声污染防治法》；</w:t>
      </w:r>
    </w:p>
    <w:p>
      <w:pPr>
        <w:spacing w:line="360" w:lineRule="auto"/>
        <w:ind w:firstLine="420" w:firstLineChars="200"/>
        <w:rPr>
          <w:rFonts w:hint="eastAsia" w:ascii="宋体"/>
        </w:rPr>
      </w:pPr>
      <w:r>
        <w:rPr>
          <w:rFonts w:hint="eastAsia" w:ascii="宋体"/>
        </w:rPr>
        <w:t>（9）《中华人民共和国土地管理法》。</w:t>
      </w:r>
    </w:p>
    <w:p>
      <w:pPr>
        <w:spacing w:line="360" w:lineRule="auto"/>
        <w:outlineLvl w:val="2"/>
        <w:rPr>
          <w:rFonts w:hint="eastAsia"/>
          <w:b/>
        </w:rPr>
      </w:pPr>
      <w:r>
        <w:rPr>
          <w:rFonts w:hint="eastAsia"/>
          <w:b/>
        </w:rPr>
        <w:t>1.2.2 环境保护行政法规及政策</w:t>
      </w:r>
    </w:p>
    <w:p>
      <w:pPr>
        <w:spacing w:line="360" w:lineRule="auto"/>
        <w:ind w:firstLine="420" w:firstLineChars="200"/>
        <w:rPr>
          <w:rFonts w:hint="eastAsia" w:ascii="宋体" w:hAnsi="宋体"/>
        </w:rPr>
      </w:pPr>
      <w:r>
        <w:rPr>
          <w:rFonts w:hint="eastAsia" w:ascii="宋体" w:hAnsi="宋体"/>
        </w:rPr>
        <w:t>（1）中华人民共和国国务院令第253号《建设项目环境保护管理条例》；</w:t>
      </w:r>
    </w:p>
    <w:p>
      <w:pPr>
        <w:spacing w:line="360" w:lineRule="auto"/>
        <w:ind w:firstLine="420" w:firstLineChars="200"/>
        <w:rPr>
          <w:rFonts w:hint="eastAsia" w:ascii="宋体" w:hAnsi="宋体"/>
        </w:rPr>
      </w:pPr>
      <w:r>
        <w:rPr>
          <w:rFonts w:hint="eastAsia" w:ascii="宋体" w:hAnsi="宋体"/>
        </w:rPr>
        <w:t>（2）国家环境保护总局令第14号《建设项目环境保护分类管理名录》；</w:t>
      </w:r>
    </w:p>
    <w:p>
      <w:pPr>
        <w:spacing w:line="360" w:lineRule="auto"/>
        <w:ind w:firstLine="420" w:firstLineChars="200"/>
        <w:rPr>
          <w:rFonts w:hint="eastAsia" w:ascii="宋体" w:hAnsi="宋体"/>
        </w:rPr>
      </w:pPr>
      <w:r>
        <w:rPr>
          <w:rFonts w:hint="eastAsia" w:ascii="宋体" w:hAnsi="宋体"/>
        </w:rPr>
        <w:t>（3）国发</w:t>
      </w:r>
      <w:r>
        <w:rPr>
          <w:rFonts w:ascii="宋体" w:hAnsi="宋体"/>
        </w:rPr>
        <w:t>[</w:t>
      </w:r>
      <w:r>
        <w:rPr>
          <w:rFonts w:hint="eastAsia" w:ascii="宋体" w:hAnsi="宋体"/>
        </w:rPr>
        <w:t>2005</w:t>
      </w:r>
      <w:r>
        <w:rPr>
          <w:rFonts w:ascii="宋体" w:hAnsi="宋体"/>
        </w:rPr>
        <w:t>]</w:t>
      </w:r>
      <w:r>
        <w:rPr>
          <w:rFonts w:hint="eastAsia" w:ascii="宋体" w:hAnsi="宋体"/>
        </w:rPr>
        <w:t>39号《国务院关于落实科学发展观加强环境保护的决定》；</w:t>
      </w:r>
    </w:p>
    <w:p>
      <w:pPr>
        <w:spacing w:line="360" w:lineRule="auto"/>
        <w:ind w:firstLine="420" w:firstLineChars="200"/>
        <w:rPr>
          <w:rFonts w:hint="eastAsia" w:ascii="宋体" w:hAnsi="宋体"/>
        </w:rPr>
      </w:pPr>
      <w:r>
        <w:rPr>
          <w:rFonts w:hint="eastAsia" w:ascii="宋体" w:hAnsi="宋体"/>
        </w:rPr>
        <w:t>（4）国家发展和改革委员会第40号令《产业结构调整指导目录（2005年本）》；</w:t>
      </w:r>
    </w:p>
    <w:p>
      <w:pPr>
        <w:spacing w:line="360" w:lineRule="auto"/>
        <w:ind w:firstLine="420" w:firstLineChars="200"/>
        <w:rPr>
          <w:rFonts w:hint="eastAsia" w:ascii="宋体" w:hAnsi="宋体"/>
        </w:rPr>
      </w:pPr>
      <w:r>
        <w:rPr>
          <w:rFonts w:hint="eastAsia" w:ascii="宋体" w:hAnsi="宋体"/>
        </w:rPr>
        <w:t>（5）国发</w:t>
      </w:r>
      <w:r>
        <w:rPr>
          <w:rFonts w:ascii="宋体" w:hAnsi="宋体"/>
        </w:rPr>
        <w:t>[</w:t>
      </w:r>
      <w:r>
        <w:rPr>
          <w:rFonts w:hint="eastAsia" w:ascii="宋体" w:hAnsi="宋体"/>
        </w:rPr>
        <w:t>2007</w:t>
      </w:r>
      <w:r>
        <w:rPr>
          <w:rFonts w:ascii="宋体" w:hAnsi="宋体"/>
        </w:rPr>
        <w:t>]</w:t>
      </w:r>
      <w:r>
        <w:rPr>
          <w:rFonts w:hint="eastAsia" w:ascii="宋体" w:hAnsi="宋体"/>
        </w:rPr>
        <w:t>15号《</w:t>
      </w:r>
      <w:r>
        <w:rPr>
          <w:rFonts w:ascii="宋体" w:hAnsi="宋体"/>
        </w:rPr>
        <w:t>国务院关于印发节能减排综合性工作方案的通知</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（6）《环境影响评价公众参与暂行办法》（环发[2006]28号）；</w:t>
      </w:r>
    </w:p>
    <w:p>
      <w:pPr>
        <w:spacing w:line="360" w:lineRule="auto"/>
        <w:ind w:firstLine="420" w:firstLineChars="200"/>
        <w:rPr>
          <w:rFonts w:hint="eastAsia" w:ascii="宋体" w:hAnsi="宋体"/>
        </w:rPr>
      </w:pPr>
      <w:r>
        <w:rPr>
          <w:rFonts w:hint="eastAsia" w:ascii="宋体" w:hAnsi="宋体"/>
        </w:rPr>
        <w:t>（7）《水泥工业产业发展政策》（发改委</w:t>
      </w:r>
      <w:r>
        <w:rPr>
          <w:rFonts w:ascii="宋体" w:hAnsi="宋体"/>
        </w:rPr>
        <w:t>第50号</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（8）</w:t>
      </w:r>
      <w:r>
        <w:rPr>
          <w:rFonts w:ascii="宋体" w:hAnsi="宋体"/>
        </w:rPr>
        <w:t>《关于加快水泥工业结构调整的若干意见》</w:t>
      </w:r>
      <w:r>
        <w:rPr>
          <w:rFonts w:hint="eastAsia" w:ascii="宋体" w:hAnsi="宋体"/>
        </w:rPr>
        <w:t>（</w:t>
      </w:r>
      <w:r>
        <w:rPr>
          <w:rFonts w:ascii="宋体" w:hAnsi="宋体"/>
        </w:rPr>
        <w:t>急发改运行[2006]609号</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（20）《国务院批转发改委等部门关于抑制部分行业产能过剩和重复建设引导产业健康发展若干意见的通知》（国发〔2009〕38号）；</w:t>
      </w:r>
    </w:p>
    <w:p>
      <w:pPr>
        <w:spacing w:line="360" w:lineRule="auto"/>
        <w:ind w:firstLine="420" w:firstLineChars="200"/>
        <w:rPr>
          <w:rFonts w:hint="eastAsia" w:ascii="宋体" w:hAnsi="宋体"/>
        </w:rPr>
      </w:pPr>
      <w:r>
        <w:rPr>
          <w:rFonts w:hint="eastAsia" w:ascii="宋体" w:hAnsi="宋体"/>
        </w:rPr>
        <w:t>（21）《国务院关于进一步加强淘汰落后产能工作的通知》（国发〔2010〕7</w:t>
      </w:r>
      <w:r>
        <w:rPr>
          <w:rFonts w:hint="eastAsia" w:ascii="宋体" w:hAnsi="宋体"/>
          <w:sz w:val="28"/>
          <w:szCs w:val="28"/>
        </w:rPr>
        <w:t>号）；</w:t>
      </w:r>
    </w:p>
    <w:p>
      <w:pPr>
        <w:spacing w:line="360" w:lineRule="auto"/>
        <w:ind w:firstLine="420" w:firstLineChars="200"/>
        <w:rPr>
          <w:rFonts w:hint="eastAsia" w:ascii="宋体" w:hAnsi="宋体"/>
        </w:rPr>
      </w:pPr>
      <w:r>
        <w:rPr>
          <w:rFonts w:hint="eastAsia" w:ascii="宋体" w:hAnsi="宋体"/>
        </w:rPr>
        <w:t>（9）《重庆建材工业“十一五”发展规划》；</w:t>
      </w:r>
    </w:p>
    <w:p>
      <w:pPr>
        <w:spacing w:line="360" w:lineRule="auto"/>
        <w:ind w:firstLine="420" w:firstLineChars="200"/>
        <w:rPr>
          <w:rFonts w:hint="eastAsia" w:ascii="宋体" w:hAnsi="宋体"/>
        </w:rPr>
      </w:pPr>
      <w:r>
        <w:rPr>
          <w:rFonts w:hint="eastAsia" w:ascii="宋体" w:hAnsi="宋体"/>
        </w:rPr>
        <w:t>（10）重庆市经济委员会关于印发《重庆市水泥工业“十一五”发展规划》的通知（渝经投资［2006］137号）；</w:t>
      </w:r>
    </w:p>
    <w:p>
      <w:pPr>
        <w:spacing w:line="360" w:lineRule="auto"/>
        <w:ind w:firstLine="420" w:firstLineChars="200"/>
        <w:rPr>
          <w:rFonts w:hint="eastAsia" w:ascii="宋体"/>
        </w:rPr>
      </w:pPr>
      <w:r>
        <w:rPr>
          <w:rFonts w:hint="eastAsia" w:ascii="宋体" w:hAnsi="宋体"/>
        </w:rPr>
        <w:t>（19）《</w:t>
      </w:r>
      <w:r>
        <w:rPr>
          <w:rFonts w:hint="eastAsia" w:ascii="宋体"/>
        </w:rPr>
        <w:t>重庆市人民政府办公厅转发关于促进水泥工业结构调整的实施意见的通知》(渝办发[2008]353)；</w:t>
      </w:r>
    </w:p>
    <w:p>
      <w:pPr>
        <w:snapToGrid w:val="0"/>
        <w:spacing w:line="360" w:lineRule="auto"/>
        <w:ind w:firstLine="420" w:firstLineChars="200"/>
        <w:rPr>
          <w:rFonts w:hint="eastAsia" w:ascii="宋体" w:hAnsi="宋体"/>
        </w:rPr>
      </w:pPr>
      <w:r>
        <w:rPr>
          <w:rFonts w:hint="eastAsia" w:ascii="宋体" w:hAnsi="宋体"/>
        </w:rPr>
        <w:t>（11）《关于印发“十一五”十大重点节能工程实施意见的通知》（发改环资[2006]1457号；</w:t>
      </w:r>
    </w:p>
    <w:p>
      <w:pPr>
        <w:snapToGrid w:val="0"/>
        <w:spacing w:line="360" w:lineRule="auto"/>
        <w:ind w:firstLine="420" w:firstLineChars="200"/>
        <w:rPr>
          <w:rFonts w:hint="eastAsia" w:ascii="宋体" w:hAnsi="宋体"/>
        </w:rPr>
      </w:pPr>
      <w:r>
        <w:rPr>
          <w:rFonts w:hint="eastAsia" w:ascii="宋体" w:hAnsi="宋体"/>
        </w:rPr>
        <w:t>（12）重庆市人民政府令（第126号）《重庆市环境噪声污染防治办法》；</w:t>
      </w:r>
    </w:p>
    <w:p>
      <w:pPr>
        <w:snapToGrid w:val="0"/>
        <w:spacing w:line="360" w:lineRule="auto"/>
        <w:ind w:firstLine="420" w:firstLineChars="200"/>
        <w:rPr>
          <w:rFonts w:hint="eastAsia" w:ascii="宋体" w:hAnsi="宋体"/>
        </w:rPr>
      </w:pPr>
      <w:r>
        <w:rPr>
          <w:rFonts w:hint="eastAsia" w:ascii="宋体" w:hAnsi="宋体"/>
        </w:rPr>
        <w:t>（13）渝环发[2006]196号《重庆市人民政府办公厅关于印发“十一五”化学需氧量及二氧化硫控制计划的通知》；</w:t>
      </w:r>
    </w:p>
    <w:p>
      <w:pPr>
        <w:snapToGrid w:val="0"/>
        <w:spacing w:line="360" w:lineRule="auto"/>
        <w:ind w:firstLine="420" w:firstLineChars="200"/>
        <w:rPr>
          <w:rFonts w:hint="eastAsia" w:ascii="宋体" w:hAnsi="宋体"/>
        </w:rPr>
      </w:pPr>
      <w:r>
        <w:rPr>
          <w:rFonts w:hint="eastAsia" w:ascii="宋体" w:hAnsi="宋体"/>
        </w:rPr>
        <w:t>（16）《重庆市人民政府关于加强缙云山、中梁山（含歌乐山）、铜锣山（含南山、铁山坪、玉峰山）部分区域建设管制的通告》（渝府发〔</w:t>
      </w:r>
      <w:r>
        <w:rPr>
          <w:rFonts w:ascii="宋体" w:hAnsi="宋体"/>
        </w:rPr>
        <w:t>2006</w:t>
      </w:r>
      <w:r>
        <w:rPr>
          <w:rFonts w:hint="eastAsia" w:ascii="宋体" w:hAnsi="宋体"/>
        </w:rPr>
        <w:t>〕</w:t>
      </w:r>
      <w:r>
        <w:rPr>
          <w:rFonts w:ascii="宋体" w:hAnsi="宋体"/>
        </w:rPr>
        <w:t>78</w:t>
      </w:r>
      <w:r>
        <w:rPr>
          <w:rFonts w:hint="eastAsia" w:ascii="宋体" w:hAnsi="宋体"/>
        </w:rPr>
        <w:t>号）；</w:t>
      </w:r>
    </w:p>
    <w:p>
      <w:pPr>
        <w:snapToGrid w:val="0"/>
        <w:spacing w:line="360" w:lineRule="auto"/>
        <w:ind w:firstLine="420" w:firstLineChars="200"/>
        <w:rPr>
          <w:rFonts w:hint="eastAsia" w:ascii="宋体" w:hAnsi="宋体"/>
        </w:rPr>
      </w:pPr>
      <w:r>
        <w:rPr>
          <w:rFonts w:hint="eastAsia" w:ascii="宋体" w:hAnsi="宋体"/>
        </w:rPr>
        <w:t>（17）</w:t>
      </w:r>
      <w:r>
        <w:rPr>
          <w:rFonts w:ascii="宋体" w:hAnsi="宋体"/>
        </w:rPr>
        <w:t>《关于推进重庆市大气污染联防联控工作改善区域空气质量实施方案》</w:t>
      </w:r>
      <w:r>
        <w:rPr>
          <w:rFonts w:hint="eastAsia" w:ascii="宋体" w:hAnsi="宋体"/>
        </w:rPr>
        <w:t xml:space="preserve"> （渝环文〔</w:t>
      </w:r>
      <w:r>
        <w:rPr>
          <w:rFonts w:ascii="宋体" w:hAnsi="宋体"/>
        </w:rPr>
        <w:t>2010</w:t>
      </w:r>
      <w:r>
        <w:rPr>
          <w:rFonts w:hint="eastAsia" w:ascii="宋体" w:hAnsi="宋体"/>
        </w:rPr>
        <w:t>〕</w:t>
      </w:r>
      <w:r>
        <w:rPr>
          <w:rFonts w:ascii="宋体" w:hAnsi="宋体"/>
        </w:rPr>
        <w:t>106</w:t>
      </w:r>
      <w:r>
        <w:rPr>
          <w:rFonts w:hint="eastAsia" w:ascii="宋体" w:hAnsi="宋体"/>
        </w:rPr>
        <w:t>号）；</w:t>
      </w:r>
    </w:p>
    <w:p>
      <w:pPr>
        <w:snapToGrid w:val="0"/>
        <w:spacing w:line="360" w:lineRule="auto"/>
        <w:ind w:firstLine="420" w:firstLineChars="200"/>
        <w:rPr>
          <w:rFonts w:hint="eastAsia" w:ascii="宋体" w:hAnsi="宋体"/>
        </w:rPr>
      </w:pPr>
      <w:r>
        <w:rPr>
          <w:rFonts w:hint="eastAsia" w:ascii="宋体" w:hAnsi="宋体"/>
        </w:rPr>
        <w:t xml:space="preserve">（18）《重庆市主城“蓝天行动”实施方案(2008-2012年)》(渝府〔2007〕224号)； </w:t>
      </w:r>
    </w:p>
    <w:p>
      <w:pPr>
        <w:snapToGrid w:val="0"/>
        <w:spacing w:line="360" w:lineRule="auto"/>
        <w:ind w:firstLine="420" w:firstLineChars="200"/>
        <w:rPr>
          <w:rFonts w:hint="eastAsia" w:ascii="宋体" w:hAnsi="宋体"/>
        </w:rPr>
      </w:pPr>
      <w:r>
        <w:rPr>
          <w:rFonts w:hint="eastAsia" w:ascii="宋体" w:hAnsi="宋体"/>
        </w:rPr>
        <w:t>（20）渝办发[2008]62号《重庆市工业项目环境准入规定》。</w:t>
      </w:r>
    </w:p>
    <w:p>
      <w:pPr>
        <w:spacing w:line="360" w:lineRule="auto"/>
        <w:outlineLvl w:val="2"/>
        <w:rPr>
          <w:rFonts w:hint="eastAsia"/>
          <w:b/>
        </w:rPr>
      </w:pPr>
      <w:r>
        <w:rPr>
          <w:rFonts w:hint="eastAsia"/>
          <w:b/>
        </w:rPr>
        <w:t>1.2.3 评价技术规范</w:t>
      </w:r>
    </w:p>
    <w:p>
      <w:pPr>
        <w:snapToGrid w:val="0"/>
        <w:spacing w:line="360" w:lineRule="auto"/>
        <w:ind w:firstLine="420" w:firstLineChars="200"/>
        <w:rPr>
          <w:rFonts w:hint="eastAsia" w:ascii="宋体" w:hAnsi="宋体"/>
        </w:rPr>
      </w:pPr>
      <w:r>
        <w:rPr>
          <w:rFonts w:hint="eastAsia" w:ascii="宋体" w:hAnsi="宋体"/>
        </w:rPr>
        <w:t>（1）《环境影响评价技术导则》（HJ/T</w:t>
      </w:r>
      <w:r>
        <w:rPr>
          <w:rFonts w:ascii="宋体" w:hAnsi="宋体"/>
        </w:rPr>
        <w:t>2.1</w:t>
      </w:r>
      <w:r>
        <w:rPr>
          <w:rFonts w:hint="eastAsia" w:ascii="宋体" w:hAnsi="宋体"/>
        </w:rPr>
        <w:t>～</w:t>
      </w:r>
      <w:r>
        <w:rPr>
          <w:rFonts w:ascii="宋体" w:hAnsi="宋体"/>
        </w:rPr>
        <w:t>2.3</w:t>
      </w:r>
      <w:r>
        <w:rPr>
          <w:rFonts w:hint="eastAsia" w:ascii="宋体" w:hAnsi="宋体"/>
        </w:rPr>
        <w:t>—9</w:t>
      </w:r>
      <w:r>
        <w:rPr>
          <w:rFonts w:ascii="宋体" w:hAnsi="宋体"/>
        </w:rPr>
        <w:t>3</w:t>
      </w:r>
      <w:r>
        <w:rPr>
          <w:rFonts w:hint="eastAsia" w:ascii="宋体" w:hAnsi="宋体"/>
        </w:rPr>
        <w:t>，HJ</w:t>
      </w:r>
      <w:r>
        <w:rPr>
          <w:rFonts w:ascii="宋体" w:hAnsi="宋体"/>
        </w:rPr>
        <w:t>2.4</w:t>
      </w:r>
      <w:r>
        <w:rPr>
          <w:rFonts w:hint="eastAsia" w:ascii="宋体" w:hAnsi="宋体"/>
        </w:rPr>
        <w:t>—2009）；</w:t>
      </w:r>
    </w:p>
    <w:p>
      <w:pPr>
        <w:snapToGrid w:val="0"/>
        <w:spacing w:line="360" w:lineRule="auto"/>
        <w:ind w:firstLine="420" w:firstLineChars="200"/>
        <w:rPr>
          <w:rFonts w:hint="eastAsia" w:ascii="宋体" w:hAnsi="宋体"/>
        </w:rPr>
      </w:pPr>
      <w:r>
        <w:rPr>
          <w:rFonts w:hint="eastAsia" w:ascii="宋体" w:hAnsi="宋体"/>
        </w:rPr>
        <w:t>（2）《水泥生产工业建设项目竣工环境保护验收监测技术规范》；</w:t>
      </w:r>
    </w:p>
    <w:p>
      <w:pPr>
        <w:snapToGrid w:val="0"/>
        <w:spacing w:line="360" w:lineRule="auto"/>
        <w:ind w:firstLine="420" w:firstLineChars="200"/>
        <w:rPr>
          <w:rFonts w:hint="eastAsia" w:ascii="宋体" w:hAnsi="宋体"/>
        </w:rPr>
      </w:pPr>
      <w:r>
        <w:rPr>
          <w:rFonts w:hint="eastAsia" w:ascii="宋体" w:hAnsi="宋体"/>
        </w:rPr>
        <w:t>（3）《清洁生产标准  水泥工业》（HJ 467-2009</w:t>
      </w:r>
      <w:r>
        <w:rPr>
          <w:rFonts w:ascii="宋体" w:hAnsi="宋体"/>
        </w:rPr>
        <w:t>）</w:t>
      </w:r>
      <w:r>
        <w:rPr>
          <w:rFonts w:hint="eastAsia" w:ascii="宋体" w:hAnsi="宋体"/>
        </w:rPr>
        <w:t>；</w:t>
      </w:r>
    </w:p>
    <w:p>
      <w:pPr>
        <w:snapToGrid w:val="0"/>
        <w:spacing w:line="360" w:lineRule="auto"/>
        <w:ind w:firstLine="420" w:firstLineChars="200"/>
        <w:rPr>
          <w:rFonts w:hint="eastAsia" w:ascii="宋体" w:hAnsi="宋体"/>
        </w:rPr>
      </w:pPr>
      <w:r>
        <w:rPr>
          <w:rFonts w:hint="eastAsia" w:ascii="宋体" w:hAnsi="宋体"/>
        </w:rPr>
        <w:t>（4）《水泥厂卫生防护距离》（GB18068-2000）；</w:t>
      </w:r>
    </w:p>
    <w:p>
      <w:pPr>
        <w:snapToGrid w:val="0"/>
        <w:spacing w:line="360" w:lineRule="auto"/>
        <w:ind w:firstLine="420" w:firstLineChars="200"/>
        <w:rPr>
          <w:rFonts w:hint="eastAsia" w:ascii="宋体" w:hAnsi="宋体"/>
        </w:rPr>
      </w:pPr>
      <w:r>
        <w:rPr>
          <w:rFonts w:hint="eastAsia" w:ascii="宋体" w:hAnsi="宋体"/>
        </w:rPr>
        <w:t>（5）《水泥工业除尘工程技术规范》（HJ434-2008</w:t>
      </w:r>
      <w:r>
        <w:rPr>
          <w:rFonts w:ascii="宋体" w:hAnsi="宋体"/>
        </w:rPr>
        <w:t>）</w:t>
      </w:r>
      <w:r>
        <w:rPr>
          <w:rFonts w:hint="eastAsia" w:ascii="宋体" w:hAnsi="宋体"/>
        </w:rPr>
        <w:t>。</w:t>
      </w:r>
    </w:p>
    <w:p>
      <w:pPr>
        <w:spacing w:line="360" w:lineRule="auto"/>
        <w:outlineLvl w:val="2"/>
        <w:rPr>
          <w:rFonts w:hint="eastAsia"/>
          <w:b/>
        </w:rPr>
      </w:pPr>
      <w:r>
        <w:rPr>
          <w:rFonts w:hint="eastAsia"/>
          <w:b/>
        </w:rPr>
        <w:t>1.2.4 建设项目有关资料</w:t>
      </w:r>
    </w:p>
    <w:p>
      <w:pPr>
        <w:spacing w:line="360" w:lineRule="auto"/>
        <w:ind w:firstLine="420" w:firstLineChars="200"/>
        <w:rPr>
          <w:rFonts w:hint="eastAsia" w:hAnsi="宋体"/>
        </w:rPr>
      </w:pPr>
      <w:r>
        <w:rPr>
          <w:rFonts w:hint="eastAsia" w:hAnsi="宋体"/>
        </w:rPr>
        <w:t>（1）《重庆永荣青鹏煤业有限公司2500t/d熟料水泥生产线技改项目</w:t>
      </w:r>
      <w:r>
        <w:rPr>
          <w:rFonts w:hAnsi="宋体"/>
        </w:rPr>
        <w:t>可行性研究报告</w:t>
      </w:r>
      <w:r>
        <w:rPr>
          <w:rFonts w:hint="eastAsia" w:hAnsi="宋体"/>
        </w:rPr>
        <w:t>》（山东省建筑材料工业设计研究院、山东省经纬项目管理咨询公司 2010年6月）；</w:t>
      </w:r>
    </w:p>
    <w:p>
      <w:pPr>
        <w:spacing w:line="360" w:lineRule="auto"/>
        <w:ind w:firstLine="420" w:firstLineChars="200"/>
        <w:rPr>
          <w:rFonts w:hint="eastAsia" w:hAnsi="宋体"/>
        </w:rPr>
      </w:pPr>
      <w:r>
        <w:rPr>
          <w:rFonts w:hint="eastAsia" w:hAnsi="宋体"/>
        </w:rPr>
        <w:t>（2）《重庆永荣青鹏煤业有限公司2500t/d熟料水泥生产线技改工程水土保持方案报告书》（重庆蓝宇园林绿化工程有限公司，2008年9月）；</w:t>
      </w:r>
    </w:p>
    <w:p>
      <w:pPr>
        <w:adjustRightInd w:val="0"/>
        <w:snapToGrid w:val="0"/>
        <w:spacing w:line="360" w:lineRule="auto"/>
        <w:ind w:firstLine="420" w:firstLineChars="200"/>
        <w:textAlignment w:val="baseline"/>
        <w:rPr>
          <w:rFonts w:hAnsi="宋体"/>
        </w:rPr>
      </w:pPr>
      <w:r>
        <w:rPr>
          <w:rFonts w:hint="eastAsia" w:hAnsi="宋体"/>
        </w:rPr>
        <w:t>（3）《重庆永荣青鹏水泥厂技改工程</w:t>
      </w:r>
      <w:bookmarkStart w:id="9" w:name="_Toc183225244"/>
      <w:bookmarkStart w:id="10" w:name="_Toc183225207"/>
      <w:bookmarkStart w:id="11" w:name="_Toc183225306"/>
      <w:bookmarkStart w:id="12" w:name="_Toc183225163"/>
      <w:r>
        <w:rPr>
          <w:rFonts w:hint="eastAsia" w:hAnsi="宋体"/>
        </w:rPr>
        <w:t>建设工程用地地质灾害危险性评估</w:t>
      </w:r>
      <w:bookmarkEnd w:id="9"/>
      <w:bookmarkEnd w:id="10"/>
      <w:bookmarkEnd w:id="11"/>
      <w:bookmarkEnd w:id="12"/>
      <w:r>
        <w:rPr>
          <w:rFonts w:hint="eastAsia" w:hAnsi="宋体"/>
        </w:rPr>
        <w:t>说明书》</w:t>
      </w:r>
      <w:bookmarkStart w:id="13" w:name="_Toc183225245"/>
      <w:bookmarkStart w:id="14" w:name="_Toc183225307"/>
      <w:r>
        <w:rPr>
          <w:rFonts w:hint="eastAsia" w:hAnsi="宋体"/>
        </w:rPr>
        <w:t>（重 庆 市 勘 测 院</w:t>
      </w:r>
      <w:bookmarkEnd w:id="13"/>
      <w:bookmarkEnd w:id="14"/>
      <w:r>
        <w:rPr>
          <w:rFonts w:hint="eastAsia" w:hAnsi="宋体"/>
        </w:rPr>
        <w:t>，2007年11月）；</w:t>
      </w:r>
    </w:p>
    <w:p>
      <w:pPr>
        <w:spacing w:line="360" w:lineRule="auto"/>
        <w:ind w:firstLine="420" w:firstLineChars="200"/>
        <w:rPr>
          <w:rFonts w:hint="eastAsia" w:hAnsi="宋体"/>
        </w:rPr>
      </w:pPr>
      <w:r>
        <w:rPr>
          <w:rFonts w:hint="eastAsia" w:hAnsi="宋体"/>
        </w:rPr>
        <w:t>（4）重庆市建设项目环境影响评价要求通知书，渝（市）［2010］139号。</w:t>
      </w:r>
    </w:p>
    <w:p>
      <w:pPr>
        <w:spacing w:before="24" w:beforeLines="10" w:after="24" w:afterLines="10" w:line="360" w:lineRule="auto"/>
        <w:outlineLvl w:val="1"/>
        <w:rPr>
          <w:rFonts w:hint="eastAsia"/>
          <w:b/>
        </w:rPr>
      </w:pPr>
      <w:bookmarkStart w:id="15" w:name="_Toc276372213"/>
      <w:r>
        <w:rPr>
          <w:rFonts w:hint="eastAsia"/>
          <w:b/>
        </w:rPr>
        <w:t>1.3 评价原则</w:t>
      </w:r>
      <w:bookmarkEnd w:id="15"/>
    </w:p>
    <w:p>
      <w:pPr>
        <w:spacing w:line="360" w:lineRule="auto"/>
        <w:ind w:firstLine="420" w:firstLineChars="200"/>
        <w:rPr>
          <w:rFonts w:hAnsi="宋体"/>
        </w:rPr>
      </w:pPr>
      <w:r>
        <w:rPr>
          <w:rFonts w:hint="eastAsia" w:hAnsi="宋体"/>
        </w:rPr>
        <w:t>（1）</w:t>
      </w:r>
      <w:r>
        <w:rPr>
          <w:rFonts w:hAnsi="宋体"/>
        </w:rPr>
        <w:t>实现项目建设与当地自然、社会文化、经济、资源利用、环境保护的持续协调发展，即确保按可持续发展战略进行本项目建设。</w:t>
      </w:r>
    </w:p>
    <w:p>
      <w:pPr>
        <w:spacing w:line="360" w:lineRule="auto"/>
        <w:ind w:firstLine="420" w:firstLineChars="200"/>
        <w:rPr>
          <w:rFonts w:hAnsi="宋体"/>
        </w:rPr>
      </w:pPr>
      <w:r>
        <w:rPr>
          <w:rFonts w:hint="eastAsia" w:hAnsi="宋体"/>
        </w:rPr>
        <w:t>（</w:t>
      </w:r>
      <w:r>
        <w:rPr>
          <w:rFonts w:hAnsi="宋体"/>
        </w:rPr>
        <w:t>2）坚持</w:t>
      </w:r>
      <w:r>
        <w:rPr>
          <w:rFonts w:hint="eastAsia" w:hAnsi="宋体"/>
        </w:rPr>
        <w:t>“</w:t>
      </w:r>
      <w:r>
        <w:rPr>
          <w:rFonts w:hAnsi="宋体"/>
        </w:rPr>
        <w:t>达标排放、总量控制、以新带老、清洁生产</w:t>
      </w:r>
      <w:r>
        <w:rPr>
          <w:rFonts w:hint="eastAsia" w:hAnsi="宋体"/>
        </w:rPr>
        <w:t>”</w:t>
      </w:r>
      <w:r>
        <w:rPr>
          <w:rFonts w:hAnsi="宋体"/>
        </w:rPr>
        <w:t>的原则；并结合区域发展要素的总体发展规划，从环保角度论述本项目选址及总图布置的合理性。</w:t>
      </w:r>
    </w:p>
    <w:p>
      <w:pPr>
        <w:spacing w:line="360" w:lineRule="auto"/>
        <w:ind w:firstLine="420" w:firstLineChars="200"/>
        <w:rPr>
          <w:rFonts w:hAnsi="宋体"/>
        </w:rPr>
      </w:pPr>
      <w:r>
        <w:rPr>
          <w:rFonts w:hint="eastAsia" w:hAnsi="宋体"/>
        </w:rPr>
        <w:t>（</w:t>
      </w:r>
      <w:r>
        <w:rPr>
          <w:rFonts w:hAnsi="宋体"/>
        </w:rPr>
        <w:t>3）按</w:t>
      </w:r>
      <w:r>
        <w:rPr>
          <w:rFonts w:hint="eastAsia" w:hAnsi="宋体"/>
        </w:rPr>
        <w:t>“</w:t>
      </w:r>
      <w:r>
        <w:rPr>
          <w:rFonts w:hAnsi="宋体"/>
        </w:rPr>
        <w:t>突出重点</w:t>
      </w:r>
      <w:r>
        <w:rPr>
          <w:rFonts w:hint="eastAsia" w:hAnsi="宋体"/>
        </w:rPr>
        <w:t>”</w:t>
      </w:r>
      <w:r>
        <w:rPr>
          <w:rFonts w:hAnsi="宋体"/>
        </w:rPr>
        <w:t>的原则，针对水泥行业特点，重点分析项目废气排放对周围环境空气质量的影响；分析石灰石矿开采的生态影响及减缓措施。</w:t>
      </w:r>
    </w:p>
    <w:p>
      <w:pPr>
        <w:spacing w:line="360" w:lineRule="auto"/>
        <w:ind w:firstLine="420" w:firstLineChars="200"/>
        <w:rPr>
          <w:rFonts w:hAnsi="宋体"/>
        </w:rPr>
      </w:pPr>
      <w:r>
        <w:rPr>
          <w:rFonts w:hint="eastAsia" w:hAnsi="宋体"/>
        </w:rPr>
        <w:t>（</w:t>
      </w:r>
      <w:r>
        <w:rPr>
          <w:rFonts w:hAnsi="宋体"/>
        </w:rPr>
        <w:t>4）从经济、技术角度论证项目污染防治措施的可行性。</w:t>
      </w:r>
    </w:p>
    <w:p>
      <w:pPr>
        <w:spacing w:before="24" w:beforeLines="10" w:after="24" w:afterLines="10" w:line="360" w:lineRule="auto"/>
        <w:outlineLvl w:val="1"/>
        <w:rPr>
          <w:rFonts w:hint="eastAsia"/>
          <w:b/>
        </w:rPr>
      </w:pPr>
      <w:bookmarkStart w:id="16" w:name="_Toc276372214"/>
      <w:r>
        <w:rPr>
          <w:rFonts w:hint="eastAsia"/>
          <w:b/>
        </w:rPr>
        <w:t>1.4总体构思</w:t>
      </w:r>
      <w:bookmarkEnd w:id="16"/>
    </w:p>
    <w:p>
      <w:pPr>
        <w:spacing w:line="360" w:lineRule="auto"/>
        <w:ind w:firstLine="420" w:firstLineChars="200"/>
        <w:rPr>
          <w:rFonts w:hint="eastAsia" w:hAnsi="宋体"/>
        </w:rPr>
      </w:pPr>
      <w:r>
        <w:rPr>
          <w:rFonts w:hint="eastAsia" w:ascii="宋体" w:hAnsi="宋体"/>
        </w:rPr>
        <w:t>（1）</w:t>
      </w:r>
      <w:r>
        <w:rPr>
          <w:rFonts w:hint="eastAsia" w:hAnsi="宋体"/>
        </w:rPr>
        <w:t>本项目为技改项目，因此本评价在摸清公司现有的排污特征、采取的环保措施、治理效果以及存在主要环境问题的基础上，采用类比调查和物料平衡等方法进行搬迁项目的工程分析，算清“三本帐”，掌握污染物的产生、排放状况，确定环境影响因素，为环境影响预测提供基础数据，同时将重点评价技改前后单位产品的能耗、物耗、污染物的治理效果，对周边环境影响的变化情况，突出技改项目的环境效益。</w:t>
      </w:r>
    </w:p>
    <w:p>
      <w:pPr>
        <w:spacing w:line="360" w:lineRule="auto"/>
        <w:ind w:firstLine="420" w:firstLineChars="200"/>
        <w:rPr>
          <w:rFonts w:hint="eastAsia" w:ascii="宋体" w:hAnsi="宋体"/>
          <w:spacing w:val="8"/>
        </w:rPr>
      </w:pPr>
      <w:r>
        <w:rPr>
          <w:rFonts w:hint="eastAsia" w:ascii="宋体" w:hAnsi="宋体"/>
        </w:rPr>
        <w:t>（2）技改项目不新增用地，主要利用现有生产厂区，因此</w:t>
      </w:r>
      <w:r>
        <w:rPr>
          <w:rFonts w:hint="eastAsia" w:ascii="宋体" w:hAnsi="宋体"/>
          <w:spacing w:val="8"/>
        </w:rPr>
        <w:t>施工期建设内容较简单，施工周期不长，故工程分析主要针对运行期，将施工期排污分析内容调整到施工期环境影响分析专题之中。</w:t>
      </w:r>
    </w:p>
    <w:p>
      <w:pPr>
        <w:spacing w:line="360" w:lineRule="auto"/>
        <w:ind w:firstLine="420" w:firstLineChars="200"/>
        <w:rPr>
          <w:rFonts w:hint="eastAsia" w:ascii="宋体" w:hAnsi="宋体"/>
        </w:rPr>
      </w:pPr>
      <w:r>
        <w:rPr>
          <w:rFonts w:hint="eastAsia" w:ascii="宋体" w:hAnsi="宋体"/>
        </w:rPr>
        <w:t>（3）技改项目配套的石灰石矿山位于重庆市璧山县福禄镇，由重庆璧山县富强矿业有限公司定点供应。该矿山具有采矿许可证（证号：5002270710038），且重庆璧山县富强矿业有限公司对其单独进行了环境影响评价，并已取得璧山县环保局的批准（渝（璧）环准［2008］123号），重庆永荣青鹏煤业有限公司与重庆璧山县富强矿业有限公司签定了长期的供销合同。故本报告书不对石灰石矿山进行环境影响评价，仅分析矿山的生产规模和服务年限是否符合《水泥工业产业发展政策》要求。</w:t>
      </w:r>
    </w:p>
    <w:p>
      <w:pPr>
        <w:spacing w:before="24" w:beforeLines="10" w:after="24" w:afterLines="10" w:line="360" w:lineRule="auto"/>
        <w:outlineLvl w:val="1"/>
        <w:rPr>
          <w:rFonts w:hint="eastAsia"/>
          <w:b/>
        </w:rPr>
      </w:pPr>
      <w:bookmarkStart w:id="17" w:name="_Toc189814122"/>
      <w:bookmarkStart w:id="18" w:name="_Toc165607334"/>
      <w:bookmarkStart w:id="19" w:name="_Toc473281480"/>
      <w:bookmarkStart w:id="20" w:name="_Toc129763679"/>
      <w:bookmarkStart w:id="21" w:name="_Toc276372215"/>
      <w:bookmarkStart w:id="22" w:name="_Toc175479776"/>
      <w:r>
        <w:rPr>
          <w:rFonts w:hint="eastAsia"/>
          <w:b/>
        </w:rPr>
        <w:t>1.5 评价标准</w:t>
      </w:r>
      <w:bookmarkEnd w:id="17"/>
      <w:bookmarkEnd w:id="18"/>
      <w:bookmarkEnd w:id="19"/>
      <w:bookmarkEnd w:id="20"/>
      <w:bookmarkEnd w:id="21"/>
      <w:bookmarkEnd w:id="22"/>
    </w:p>
    <w:p>
      <w:pPr>
        <w:spacing w:line="360" w:lineRule="auto"/>
        <w:outlineLvl w:val="2"/>
        <w:rPr>
          <w:rFonts w:hint="eastAsia"/>
          <w:b/>
        </w:rPr>
      </w:pPr>
      <w:r>
        <w:rPr>
          <w:rFonts w:hint="eastAsia"/>
          <w:b/>
        </w:rPr>
        <w:t>1.5.1环境质量标准</w:t>
      </w:r>
    </w:p>
    <w:p>
      <w:pPr>
        <w:tabs>
          <w:tab w:val="left" w:pos="2055"/>
          <w:tab w:val="center" w:pos="5100"/>
        </w:tabs>
        <w:spacing w:line="360" w:lineRule="auto"/>
        <w:ind w:firstLine="420" w:firstLineChars="200"/>
        <w:rPr>
          <w:rFonts w:hint="eastAsia" w:ascii="宋体" w:hAnsi="宋体"/>
        </w:rPr>
      </w:pPr>
      <w:r>
        <w:rPr>
          <w:rFonts w:hint="eastAsia" w:ascii="宋体" w:hAnsi="宋体"/>
        </w:rPr>
        <w:t>环境空气：根据重府发[1997]40号文，技改项目所在地属环境空气功能二类区，执行《环境空气质量标准》（GB3095-1996，2000年1月修改）中的二级标准，</w:t>
      </w:r>
      <w:r>
        <w:rPr>
          <w:rFonts w:hint="eastAsia" w:ascii="宋体" w:hAnsi="宋体"/>
          <w:spacing w:val="8"/>
        </w:rPr>
        <w:t>环境空气中</w:t>
      </w:r>
      <w:r>
        <w:rPr>
          <w:rFonts w:ascii="宋体" w:hAnsi="宋体"/>
        </w:rPr>
        <w:t>SO</w:t>
      </w:r>
      <w:r>
        <w:rPr>
          <w:rFonts w:ascii="宋体" w:hAnsi="宋体"/>
          <w:vertAlign w:val="subscript"/>
        </w:rPr>
        <w:t>2</w:t>
      </w:r>
      <w:r>
        <w:rPr>
          <w:rFonts w:hint="eastAsia" w:ascii="宋体" w:hAnsi="宋体"/>
          <w:spacing w:val="8"/>
        </w:rPr>
        <w:t>同时还应执行《保护农作物的大气污染物最高允许浓度》（GB9137-88）。</w:t>
      </w:r>
      <w:r>
        <w:rPr>
          <w:rFonts w:hint="eastAsia" w:ascii="宋体" w:hAnsi="宋体"/>
        </w:rPr>
        <w:t>与技改项目相关的主要标准值见表1-1和表1-2。</w:t>
      </w:r>
    </w:p>
    <w:p>
      <w:pPr>
        <w:tabs>
          <w:tab w:val="left" w:pos="2055"/>
          <w:tab w:val="center" w:pos="5100"/>
        </w:tabs>
        <w:spacing w:line="480" w:lineRule="exact"/>
        <w:jc w:val="center"/>
        <w:rPr>
          <w:rFonts w:hint="eastAsia" w:ascii="宋体" w:hAnsi="宋体"/>
          <w:szCs w:val="21"/>
        </w:rPr>
      </w:pPr>
      <w:r>
        <w:rPr>
          <w:rFonts w:hint="eastAsia" w:ascii="宋体" w:hAnsi="宋体"/>
          <w:b/>
        </w:rPr>
        <w:t xml:space="preserve">表1-1     环境空气质量标准      </w:t>
      </w:r>
      <w:r>
        <w:rPr>
          <w:rFonts w:hint="eastAsia" w:ascii="宋体" w:hAnsi="宋体"/>
        </w:rPr>
        <w:t xml:space="preserve"> </w:t>
      </w:r>
      <w:r>
        <w:rPr>
          <w:rFonts w:hint="eastAsia" w:ascii="宋体" w:hAnsi="宋体"/>
          <w:szCs w:val="21"/>
        </w:rPr>
        <w:t>单位：</w:t>
      </w:r>
      <w:r>
        <w:rPr>
          <w:rFonts w:ascii="宋体" w:hAnsi="宋体"/>
          <w:szCs w:val="21"/>
        </w:rPr>
        <w:t>mg/m</w:t>
      </w:r>
      <w:r>
        <w:rPr>
          <w:rFonts w:ascii="宋体" w:hAnsi="宋体"/>
          <w:szCs w:val="21"/>
          <w:vertAlign w:val="superscript"/>
        </w:rPr>
        <w:t>3</w:t>
      </w:r>
    </w:p>
    <w:tbl>
      <w:tblPr>
        <w:tblStyle w:val="20"/>
        <w:tblW w:w="7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2484"/>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78" w:type="dxa"/>
            <w:vMerge w:val="restart"/>
            <w:noWrap w:val="0"/>
            <w:vAlign w:val="top"/>
          </w:tcPr>
          <w:p>
            <w:pPr>
              <w:spacing w:line="360" w:lineRule="exact"/>
              <w:jc w:val="center"/>
              <w:rPr>
                <w:rFonts w:hint="eastAsia" w:ascii="宋体" w:hAnsi="宋体"/>
                <w:sz w:val="21"/>
                <w:szCs w:val="21"/>
              </w:rPr>
            </w:pPr>
            <w:r>
              <w:rPr>
                <w:rFonts w:hint="eastAsia" w:ascii="宋体" w:hAnsi="宋体"/>
                <w:sz w:val="21"/>
                <w:szCs w:val="21"/>
              </w:rPr>
              <w:t>污染物</w:t>
            </w:r>
          </w:p>
        </w:tc>
        <w:tc>
          <w:tcPr>
            <w:tcW w:w="2484" w:type="dxa"/>
            <w:vMerge w:val="restart"/>
            <w:noWrap w:val="0"/>
            <w:vAlign w:val="top"/>
          </w:tcPr>
          <w:p>
            <w:pPr>
              <w:spacing w:line="360" w:lineRule="exact"/>
              <w:jc w:val="center"/>
              <w:rPr>
                <w:rFonts w:hint="eastAsia" w:ascii="宋体" w:hAnsi="宋体"/>
                <w:sz w:val="21"/>
                <w:szCs w:val="21"/>
              </w:rPr>
            </w:pPr>
            <w:r>
              <w:rPr>
                <w:rFonts w:hint="eastAsia" w:ascii="宋体" w:hAnsi="宋体"/>
                <w:sz w:val="21"/>
                <w:szCs w:val="21"/>
              </w:rPr>
              <w:t>取值时间</w:t>
            </w:r>
          </w:p>
        </w:tc>
        <w:tc>
          <w:tcPr>
            <w:tcW w:w="3179" w:type="dxa"/>
            <w:noWrap w:val="0"/>
            <w:vAlign w:val="top"/>
          </w:tcPr>
          <w:p>
            <w:pPr>
              <w:spacing w:line="360" w:lineRule="exact"/>
              <w:jc w:val="center"/>
              <w:rPr>
                <w:rFonts w:hint="eastAsia" w:ascii="宋体" w:hAnsi="宋体"/>
                <w:sz w:val="21"/>
                <w:szCs w:val="21"/>
              </w:rPr>
            </w:pPr>
            <w:r>
              <w:rPr>
                <w:rFonts w:hint="eastAsia" w:ascii="宋体" w:hAnsi="宋体"/>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78" w:type="dxa"/>
            <w:vMerge w:val="continue"/>
            <w:noWrap w:val="0"/>
            <w:vAlign w:val="top"/>
          </w:tcPr>
          <w:p>
            <w:pPr>
              <w:spacing w:line="360" w:lineRule="exact"/>
              <w:jc w:val="center"/>
              <w:rPr>
                <w:rFonts w:hint="eastAsia" w:ascii="宋体" w:hAnsi="宋体"/>
                <w:sz w:val="21"/>
                <w:szCs w:val="21"/>
              </w:rPr>
            </w:pPr>
          </w:p>
        </w:tc>
        <w:tc>
          <w:tcPr>
            <w:tcW w:w="2484" w:type="dxa"/>
            <w:vMerge w:val="continue"/>
            <w:noWrap w:val="0"/>
            <w:vAlign w:val="top"/>
          </w:tcPr>
          <w:p>
            <w:pPr>
              <w:spacing w:line="360" w:lineRule="exact"/>
              <w:jc w:val="center"/>
              <w:rPr>
                <w:rFonts w:hint="eastAsia" w:ascii="宋体" w:hAnsi="宋体"/>
                <w:sz w:val="21"/>
                <w:szCs w:val="21"/>
              </w:rPr>
            </w:pPr>
          </w:p>
        </w:tc>
        <w:tc>
          <w:tcPr>
            <w:tcW w:w="3179" w:type="dxa"/>
            <w:noWrap w:val="0"/>
            <w:vAlign w:val="top"/>
          </w:tcPr>
          <w:p>
            <w:pPr>
              <w:spacing w:line="360" w:lineRule="exact"/>
              <w:jc w:val="center"/>
              <w:rPr>
                <w:rFonts w:hint="eastAsia" w:ascii="宋体" w:hAnsi="宋体"/>
                <w:sz w:val="21"/>
                <w:szCs w:val="21"/>
              </w:rPr>
            </w:pPr>
            <w:r>
              <w:rPr>
                <w:rFonts w:hint="eastAsia" w:ascii="宋体" w:hAnsi="宋体"/>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 w:hRule="atLeast"/>
          <w:jc w:val="center"/>
        </w:trPr>
        <w:tc>
          <w:tcPr>
            <w:tcW w:w="1478" w:type="dxa"/>
            <w:vMerge w:val="restart"/>
            <w:noWrap w:val="0"/>
            <w:vAlign w:val="center"/>
          </w:tcPr>
          <w:p>
            <w:pPr>
              <w:spacing w:line="360" w:lineRule="exact"/>
              <w:jc w:val="center"/>
              <w:rPr>
                <w:rFonts w:hint="eastAsia" w:ascii="宋体" w:hAnsi="宋体"/>
                <w:sz w:val="21"/>
                <w:szCs w:val="21"/>
              </w:rPr>
            </w:pPr>
            <w:r>
              <w:rPr>
                <w:rFonts w:hint="eastAsia" w:ascii="宋体" w:hAnsi="宋体"/>
                <w:sz w:val="21"/>
                <w:szCs w:val="21"/>
              </w:rPr>
              <w:t>PM</w:t>
            </w:r>
            <w:r>
              <w:rPr>
                <w:rFonts w:hint="eastAsia" w:ascii="宋体" w:hAnsi="宋体"/>
                <w:sz w:val="21"/>
                <w:szCs w:val="21"/>
                <w:vertAlign w:val="subscript"/>
                <w:lang w:val="de-DE"/>
              </w:rPr>
              <w:t>10</w:t>
            </w: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年平均</w:t>
            </w:r>
          </w:p>
        </w:tc>
        <w:tc>
          <w:tcPr>
            <w:tcW w:w="3179" w:type="dxa"/>
            <w:noWrap w:val="0"/>
            <w:vAlign w:val="top"/>
          </w:tcPr>
          <w:p>
            <w:pPr>
              <w:spacing w:line="360" w:lineRule="exact"/>
              <w:jc w:val="center"/>
              <w:rPr>
                <w:rFonts w:hint="eastAsia" w:ascii="宋体" w:hAnsi="宋体"/>
                <w:sz w:val="21"/>
                <w:szCs w:val="21"/>
              </w:rPr>
            </w:pPr>
            <w:r>
              <w:rPr>
                <w:rFonts w:ascii="宋体" w:hAnsi="宋体"/>
                <w:sz w:val="21"/>
                <w:szCs w:val="21"/>
              </w:rPr>
              <w:t>0.</w:t>
            </w:r>
            <w:r>
              <w:rPr>
                <w:rFonts w:hint="eastAsia" w:ascii="宋体" w:hAnsi="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1478" w:type="dxa"/>
            <w:vMerge w:val="continue"/>
            <w:noWrap w:val="0"/>
            <w:vAlign w:val="center"/>
          </w:tcPr>
          <w:p>
            <w:pPr>
              <w:spacing w:line="360" w:lineRule="exact"/>
              <w:jc w:val="center"/>
              <w:rPr>
                <w:rFonts w:hint="eastAsia" w:ascii="宋体" w:hAnsi="宋体"/>
                <w:sz w:val="21"/>
                <w:szCs w:val="21"/>
              </w:rPr>
            </w:pP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noWrap w:val="0"/>
            <w:vAlign w:val="top"/>
          </w:tcPr>
          <w:p>
            <w:pPr>
              <w:spacing w:line="360" w:lineRule="exact"/>
              <w:jc w:val="center"/>
              <w:rPr>
                <w:rFonts w:hint="eastAsia" w:ascii="宋体" w:hAnsi="宋体"/>
                <w:sz w:val="21"/>
                <w:szCs w:val="21"/>
                <w:lang w:val="de-DE"/>
              </w:rPr>
            </w:pPr>
            <w:r>
              <w:rPr>
                <w:rFonts w:ascii="宋体" w:hAnsi="宋体"/>
                <w:sz w:val="21"/>
                <w:szCs w:val="21"/>
                <w:lang w:val="de-DE"/>
              </w:rPr>
              <w:t>0.</w:t>
            </w:r>
            <w:r>
              <w:rPr>
                <w:rFonts w:hint="eastAsia" w:ascii="宋体" w:hAnsi="宋体"/>
                <w:sz w:val="21"/>
                <w:szCs w:val="21"/>
                <w:lang w:val="de-D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1478" w:type="dxa"/>
            <w:vMerge w:val="restart"/>
            <w:noWrap w:val="0"/>
            <w:vAlign w:val="center"/>
          </w:tcPr>
          <w:p>
            <w:pPr>
              <w:spacing w:line="360" w:lineRule="exact"/>
              <w:jc w:val="center"/>
              <w:rPr>
                <w:rFonts w:ascii="宋体" w:hAnsi="宋体"/>
                <w:sz w:val="21"/>
                <w:szCs w:val="21"/>
                <w:lang w:val="de-DE"/>
              </w:rPr>
            </w:pPr>
            <w:r>
              <w:rPr>
                <w:rFonts w:ascii="宋体" w:hAnsi="宋体"/>
                <w:sz w:val="21"/>
                <w:szCs w:val="21"/>
                <w:lang w:val="de-DE"/>
              </w:rPr>
              <w:t>SO</w:t>
            </w:r>
            <w:r>
              <w:rPr>
                <w:rFonts w:ascii="宋体" w:hAnsi="宋体"/>
                <w:sz w:val="21"/>
                <w:szCs w:val="21"/>
                <w:vertAlign w:val="subscript"/>
                <w:lang w:val="de-DE"/>
              </w:rPr>
              <w:t>2</w:t>
            </w:r>
          </w:p>
        </w:tc>
        <w:tc>
          <w:tcPr>
            <w:tcW w:w="2484" w:type="dxa"/>
            <w:noWrap w:val="0"/>
            <w:vAlign w:val="center"/>
          </w:tcPr>
          <w:p>
            <w:pPr>
              <w:spacing w:line="360" w:lineRule="exact"/>
              <w:jc w:val="center"/>
              <w:rPr>
                <w:rFonts w:hint="eastAsia" w:ascii="宋体" w:hAnsi="宋体"/>
                <w:sz w:val="21"/>
                <w:szCs w:val="21"/>
                <w:lang w:val="de-DE"/>
              </w:rPr>
            </w:pPr>
            <w:r>
              <w:rPr>
                <w:rFonts w:hint="eastAsia" w:ascii="宋体" w:hAnsi="宋体"/>
                <w:sz w:val="21"/>
                <w:szCs w:val="21"/>
              </w:rPr>
              <w:t>年平均</w:t>
            </w:r>
          </w:p>
        </w:tc>
        <w:tc>
          <w:tcPr>
            <w:tcW w:w="3179" w:type="dxa"/>
            <w:noWrap w:val="0"/>
            <w:vAlign w:val="top"/>
          </w:tcPr>
          <w:p>
            <w:pPr>
              <w:spacing w:line="360" w:lineRule="exact"/>
              <w:jc w:val="center"/>
              <w:rPr>
                <w:rFonts w:ascii="宋体" w:hAnsi="宋体"/>
                <w:sz w:val="21"/>
                <w:szCs w:val="21"/>
              </w:rPr>
            </w:pPr>
            <w:r>
              <w:rPr>
                <w:rFonts w:ascii="宋体" w:hAnsi="宋体"/>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jc w:val="center"/>
        </w:trPr>
        <w:tc>
          <w:tcPr>
            <w:tcW w:w="1478" w:type="dxa"/>
            <w:vMerge w:val="continue"/>
            <w:noWrap w:val="0"/>
            <w:vAlign w:val="center"/>
          </w:tcPr>
          <w:p>
            <w:pPr>
              <w:spacing w:line="360" w:lineRule="exact"/>
              <w:jc w:val="center"/>
              <w:rPr>
                <w:rFonts w:ascii="宋体" w:hAnsi="宋体"/>
                <w:sz w:val="21"/>
                <w:szCs w:val="21"/>
              </w:rPr>
            </w:pP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noWrap w:val="0"/>
            <w:vAlign w:val="top"/>
          </w:tcPr>
          <w:p>
            <w:pPr>
              <w:spacing w:line="360" w:lineRule="exact"/>
              <w:jc w:val="center"/>
              <w:rPr>
                <w:rFonts w:ascii="宋体" w:hAnsi="宋体"/>
                <w:sz w:val="21"/>
                <w:szCs w:val="21"/>
              </w:rPr>
            </w:pPr>
            <w:r>
              <w:rPr>
                <w:rFonts w:ascii="宋体" w:hAnsi="宋体"/>
                <w:sz w:val="21"/>
                <w:szCs w:val="21"/>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jc w:val="center"/>
        </w:trPr>
        <w:tc>
          <w:tcPr>
            <w:tcW w:w="1478" w:type="dxa"/>
            <w:vMerge w:val="continue"/>
            <w:noWrap w:val="0"/>
            <w:vAlign w:val="center"/>
          </w:tcPr>
          <w:p>
            <w:pPr>
              <w:spacing w:line="360" w:lineRule="exact"/>
              <w:jc w:val="center"/>
              <w:rPr>
                <w:rFonts w:ascii="宋体" w:hAnsi="宋体"/>
                <w:sz w:val="21"/>
                <w:szCs w:val="21"/>
              </w:rPr>
            </w:pP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1小时平均</w:t>
            </w:r>
          </w:p>
        </w:tc>
        <w:tc>
          <w:tcPr>
            <w:tcW w:w="3179" w:type="dxa"/>
            <w:noWrap w:val="0"/>
            <w:vAlign w:val="top"/>
          </w:tcPr>
          <w:p>
            <w:pPr>
              <w:spacing w:line="360" w:lineRule="exact"/>
              <w:jc w:val="center"/>
              <w:rPr>
                <w:rFonts w:ascii="宋体" w:hAnsi="宋体"/>
                <w:sz w:val="21"/>
                <w:szCs w:val="21"/>
              </w:rPr>
            </w:pPr>
            <w:r>
              <w:rPr>
                <w:rFonts w:ascii="宋体" w:hAnsi="宋体"/>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 w:hRule="atLeast"/>
          <w:jc w:val="center"/>
        </w:trPr>
        <w:tc>
          <w:tcPr>
            <w:tcW w:w="1478" w:type="dxa"/>
            <w:vMerge w:val="restart"/>
            <w:noWrap w:val="0"/>
            <w:vAlign w:val="center"/>
          </w:tcPr>
          <w:p>
            <w:pPr>
              <w:spacing w:line="360" w:lineRule="exact"/>
              <w:jc w:val="center"/>
              <w:rPr>
                <w:rFonts w:hint="eastAsia" w:ascii="宋体" w:hAnsi="宋体"/>
                <w:sz w:val="21"/>
                <w:szCs w:val="21"/>
              </w:rPr>
            </w:pPr>
            <w:r>
              <w:rPr>
                <w:rFonts w:ascii="宋体" w:hAnsi="宋体"/>
                <w:sz w:val="21"/>
                <w:szCs w:val="21"/>
              </w:rPr>
              <w:t>NO</w:t>
            </w:r>
            <w:r>
              <w:rPr>
                <w:rFonts w:ascii="宋体" w:hAnsi="宋体"/>
                <w:sz w:val="21"/>
                <w:szCs w:val="21"/>
                <w:vertAlign w:val="subscript"/>
              </w:rPr>
              <w:t>2</w:t>
            </w: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年平均</w:t>
            </w:r>
          </w:p>
        </w:tc>
        <w:tc>
          <w:tcPr>
            <w:tcW w:w="3179" w:type="dxa"/>
            <w:noWrap w:val="0"/>
            <w:vAlign w:val="top"/>
          </w:tcPr>
          <w:p>
            <w:pPr>
              <w:spacing w:line="360" w:lineRule="exact"/>
              <w:jc w:val="center"/>
              <w:rPr>
                <w:rFonts w:hint="eastAsia" w:ascii="宋体" w:hAnsi="宋体"/>
                <w:sz w:val="21"/>
                <w:szCs w:val="21"/>
              </w:rPr>
            </w:pPr>
            <w:r>
              <w:rPr>
                <w:rFonts w:hint="eastAsia" w:ascii="宋体" w:hAnsi="宋体"/>
                <w:sz w:val="21"/>
                <w:szCs w:val="21"/>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1478" w:type="dxa"/>
            <w:vMerge w:val="continue"/>
            <w:noWrap w:val="0"/>
            <w:vAlign w:val="center"/>
          </w:tcPr>
          <w:p>
            <w:pPr>
              <w:spacing w:line="360" w:lineRule="exact"/>
              <w:jc w:val="center"/>
              <w:rPr>
                <w:rFonts w:ascii="宋体" w:hAnsi="宋体"/>
                <w:sz w:val="21"/>
                <w:szCs w:val="21"/>
              </w:rPr>
            </w:pP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日平均</w:t>
            </w:r>
          </w:p>
        </w:tc>
        <w:tc>
          <w:tcPr>
            <w:tcW w:w="3179" w:type="dxa"/>
            <w:noWrap w:val="0"/>
            <w:vAlign w:val="top"/>
          </w:tcPr>
          <w:p>
            <w:pPr>
              <w:spacing w:line="360" w:lineRule="exact"/>
              <w:jc w:val="center"/>
              <w:rPr>
                <w:rFonts w:hint="eastAsia" w:ascii="宋体" w:hAnsi="宋体"/>
                <w:sz w:val="21"/>
                <w:szCs w:val="21"/>
              </w:rPr>
            </w:pPr>
            <w:r>
              <w:rPr>
                <w:rFonts w:hint="eastAsia" w:ascii="宋体" w:hAnsi="宋体"/>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1478" w:type="dxa"/>
            <w:vMerge w:val="continue"/>
            <w:noWrap w:val="0"/>
            <w:vAlign w:val="center"/>
          </w:tcPr>
          <w:p>
            <w:pPr>
              <w:spacing w:line="360" w:lineRule="exact"/>
              <w:jc w:val="center"/>
              <w:rPr>
                <w:rFonts w:ascii="宋体" w:hAnsi="宋体"/>
                <w:sz w:val="21"/>
                <w:szCs w:val="21"/>
              </w:rPr>
            </w:pPr>
          </w:p>
        </w:tc>
        <w:tc>
          <w:tcPr>
            <w:tcW w:w="248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1小时平均</w:t>
            </w:r>
          </w:p>
        </w:tc>
        <w:tc>
          <w:tcPr>
            <w:tcW w:w="3179" w:type="dxa"/>
            <w:noWrap w:val="0"/>
            <w:vAlign w:val="top"/>
          </w:tcPr>
          <w:p>
            <w:pPr>
              <w:spacing w:line="360" w:lineRule="exact"/>
              <w:jc w:val="center"/>
              <w:rPr>
                <w:rFonts w:hint="eastAsia" w:ascii="宋体" w:hAnsi="宋体"/>
                <w:sz w:val="21"/>
                <w:szCs w:val="21"/>
              </w:rPr>
            </w:pPr>
            <w:r>
              <w:rPr>
                <w:rFonts w:ascii="宋体" w:hAnsi="宋体"/>
                <w:sz w:val="21"/>
                <w:szCs w:val="21"/>
              </w:rPr>
              <w:t>0.</w:t>
            </w:r>
            <w:r>
              <w:rPr>
                <w:rFonts w:hint="eastAsia" w:ascii="宋体" w:hAnsi="宋体"/>
                <w:sz w:val="21"/>
                <w:szCs w:val="21"/>
              </w:rPr>
              <w:t>24</w:t>
            </w:r>
          </w:p>
        </w:tc>
      </w:tr>
    </w:tbl>
    <w:p>
      <w:pPr>
        <w:spacing w:line="480" w:lineRule="exact"/>
        <w:jc w:val="center"/>
        <w:rPr>
          <w:rFonts w:hint="eastAsia" w:ascii="宋体" w:hAnsi="宋体"/>
          <w:b/>
        </w:rPr>
      </w:pPr>
    </w:p>
    <w:p>
      <w:pPr>
        <w:spacing w:line="480" w:lineRule="exact"/>
        <w:jc w:val="center"/>
        <w:rPr>
          <w:rFonts w:hint="eastAsia" w:ascii="宋体" w:hAnsi="宋体"/>
          <w:b/>
          <w:szCs w:val="21"/>
        </w:rPr>
      </w:pPr>
      <w:r>
        <w:rPr>
          <w:rFonts w:hint="eastAsia" w:ascii="宋体" w:hAnsi="宋体"/>
          <w:b/>
        </w:rPr>
        <w:t>表1-2      保护农作物的大气污染物浓度限值</w:t>
      </w:r>
      <w:r>
        <w:rPr>
          <w:rFonts w:hint="eastAsia" w:ascii="宋体" w:hAnsi="宋体"/>
        </w:rPr>
        <w:t xml:space="preserve">   </w:t>
      </w:r>
      <w:r>
        <w:rPr>
          <w:rFonts w:hint="eastAsia" w:ascii="宋体" w:hAnsi="宋体"/>
          <w:b/>
        </w:rPr>
        <w:t xml:space="preserve"> </w:t>
      </w:r>
      <w:r>
        <w:rPr>
          <w:rFonts w:hint="eastAsia" w:ascii="宋体" w:hAnsi="宋体"/>
          <w:szCs w:val="21"/>
        </w:rPr>
        <w:t>单位：</w:t>
      </w:r>
      <w:r>
        <w:rPr>
          <w:rFonts w:ascii="宋体" w:hAnsi="宋体"/>
          <w:szCs w:val="21"/>
        </w:rPr>
        <w:t>mg/m</w:t>
      </w:r>
      <w:r>
        <w:rPr>
          <w:rFonts w:ascii="宋体" w:hAnsi="宋体"/>
          <w:szCs w:val="21"/>
          <w:vertAlign w:val="superscript"/>
        </w:rPr>
        <w:t>3</w:t>
      </w:r>
    </w:p>
    <w:tbl>
      <w:tblPr>
        <w:tblStyle w:val="20"/>
        <w:tblW w:w="8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202"/>
        <w:gridCol w:w="1045"/>
        <w:gridCol w:w="986"/>
        <w:gridCol w:w="816"/>
        <w:gridCol w:w="3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8" w:hRule="atLeast"/>
          <w:jc w:val="center"/>
        </w:trPr>
        <w:tc>
          <w:tcPr>
            <w:tcW w:w="574" w:type="dxa"/>
            <w:noWrap w:val="0"/>
            <w:vAlign w:val="center"/>
          </w:tcPr>
          <w:p>
            <w:pPr>
              <w:spacing w:line="320" w:lineRule="exact"/>
              <w:jc w:val="center"/>
              <w:rPr>
                <w:rFonts w:hint="eastAsia" w:ascii="宋体" w:hAnsi="宋体"/>
                <w:sz w:val="21"/>
                <w:szCs w:val="21"/>
              </w:rPr>
            </w:pPr>
            <w:r>
              <w:rPr>
                <w:rFonts w:hint="eastAsia" w:ascii="宋体" w:hAnsi="宋体"/>
                <w:sz w:val="21"/>
                <w:szCs w:val="21"/>
              </w:rPr>
              <w:t>污染物</w:t>
            </w:r>
          </w:p>
        </w:tc>
        <w:tc>
          <w:tcPr>
            <w:tcW w:w="1202" w:type="dxa"/>
            <w:noWrap w:val="0"/>
            <w:vAlign w:val="center"/>
          </w:tcPr>
          <w:p>
            <w:pPr>
              <w:spacing w:line="320" w:lineRule="exact"/>
              <w:jc w:val="center"/>
              <w:rPr>
                <w:rFonts w:ascii="宋体" w:hAnsi="宋体"/>
                <w:sz w:val="21"/>
                <w:szCs w:val="21"/>
              </w:rPr>
            </w:pPr>
            <w:r>
              <w:rPr>
                <w:rFonts w:hint="eastAsia" w:ascii="宋体" w:hAnsi="宋体"/>
                <w:sz w:val="21"/>
                <w:szCs w:val="21"/>
              </w:rPr>
              <w:t>作物敏</w:t>
            </w:r>
          </w:p>
          <w:p>
            <w:pPr>
              <w:spacing w:line="320" w:lineRule="exact"/>
              <w:jc w:val="center"/>
              <w:rPr>
                <w:rFonts w:hint="eastAsia" w:ascii="宋体" w:hAnsi="宋体"/>
                <w:sz w:val="21"/>
                <w:szCs w:val="21"/>
              </w:rPr>
            </w:pPr>
            <w:r>
              <w:rPr>
                <w:rFonts w:hint="eastAsia" w:ascii="宋体" w:hAnsi="宋体"/>
                <w:sz w:val="21"/>
                <w:szCs w:val="21"/>
              </w:rPr>
              <w:t>感程度</w:t>
            </w:r>
          </w:p>
        </w:tc>
        <w:tc>
          <w:tcPr>
            <w:tcW w:w="1045" w:type="dxa"/>
            <w:noWrap w:val="0"/>
            <w:vAlign w:val="center"/>
          </w:tcPr>
          <w:p>
            <w:pPr>
              <w:spacing w:line="320" w:lineRule="exact"/>
              <w:jc w:val="center"/>
              <w:rPr>
                <w:rFonts w:ascii="宋体" w:hAnsi="宋体"/>
                <w:sz w:val="21"/>
                <w:szCs w:val="21"/>
              </w:rPr>
            </w:pPr>
            <w:r>
              <w:rPr>
                <w:rFonts w:hint="eastAsia" w:ascii="宋体" w:hAnsi="宋体"/>
                <w:sz w:val="21"/>
                <w:szCs w:val="21"/>
              </w:rPr>
              <w:t>生长季平均浓度</w:t>
            </w:r>
            <w:r>
              <w:rPr>
                <w:rFonts w:ascii="宋体" w:hAnsi="宋体"/>
                <w:sz w:val="21"/>
                <w:szCs w:val="21"/>
                <w:vertAlign w:val="superscript"/>
              </w:rPr>
              <w:t>1)</w:t>
            </w:r>
          </w:p>
        </w:tc>
        <w:tc>
          <w:tcPr>
            <w:tcW w:w="986" w:type="dxa"/>
            <w:noWrap w:val="0"/>
            <w:vAlign w:val="center"/>
          </w:tcPr>
          <w:p>
            <w:pPr>
              <w:spacing w:line="320" w:lineRule="exact"/>
              <w:jc w:val="center"/>
              <w:rPr>
                <w:rFonts w:ascii="宋体" w:hAnsi="宋体"/>
                <w:sz w:val="21"/>
                <w:szCs w:val="21"/>
              </w:rPr>
            </w:pPr>
            <w:r>
              <w:rPr>
                <w:rFonts w:hint="eastAsia" w:ascii="宋体" w:hAnsi="宋体"/>
                <w:sz w:val="21"/>
                <w:szCs w:val="21"/>
              </w:rPr>
              <w:t>日平均</w:t>
            </w:r>
          </w:p>
          <w:p>
            <w:pPr>
              <w:spacing w:line="320" w:lineRule="exact"/>
              <w:jc w:val="center"/>
              <w:rPr>
                <w:rFonts w:ascii="宋体" w:hAnsi="宋体"/>
                <w:sz w:val="21"/>
                <w:szCs w:val="21"/>
              </w:rPr>
            </w:pPr>
            <w:r>
              <w:rPr>
                <w:rFonts w:hint="eastAsia" w:ascii="宋体" w:hAnsi="宋体"/>
                <w:sz w:val="21"/>
                <w:szCs w:val="21"/>
              </w:rPr>
              <w:t>浓度</w:t>
            </w:r>
            <w:r>
              <w:rPr>
                <w:rFonts w:ascii="宋体" w:hAnsi="宋体"/>
                <w:sz w:val="21"/>
                <w:szCs w:val="21"/>
                <w:vertAlign w:val="superscript"/>
              </w:rPr>
              <w:t>2)</w:t>
            </w:r>
          </w:p>
        </w:tc>
        <w:tc>
          <w:tcPr>
            <w:tcW w:w="816" w:type="dxa"/>
            <w:noWrap w:val="0"/>
            <w:vAlign w:val="center"/>
          </w:tcPr>
          <w:p>
            <w:pPr>
              <w:spacing w:line="320" w:lineRule="exact"/>
              <w:jc w:val="center"/>
              <w:rPr>
                <w:rFonts w:ascii="宋体" w:hAnsi="宋体"/>
                <w:sz w:val="21"/>
                <w:szCs w:val="21"/>
              </w:rPr>
            </w:pPr>
            <w:r>
              <w:rPr>
                <w:rFonts w:hint="eastAsia" w:ascii="宋体" w:hAnsi="宋体"/>
                <w:sz w:val="21"/>
                <w:szCs w:val="21"/>
              </w:rPr>
              <w:t>任何</w:t>
            </w:r>
          </w:p>
          <w:p>
            <w:pPr>
              <w:spacing w:line="320" w:lineRule="exact"/>
              <w:jc w:val="center"/>
              <w:rPr>
                <w:rFonts w:ascii="宋体" w:hAnsi="宋体"/>
                <w:sz w:val="21"/>
                <w:szCs w:val="21"/>
              </w:rPr>
            </w:pPr>
            <w:r>
              <w:rPr>
                <w:rFonts w:hint="eastAsia" w:ascii="宋体" w:hAnsi="宋体"/>
                <w:sz w:val="21"/>
                <w:szCs w:val="21"/>
              </w:rPr>
              <w:t>一次</w:t>
            </w:r>
            <w:r>
              <w:rPr>
                <w:rFonts w:ascii="宋体" w:hAnsi="宋体"/>
                <w:sz w:val="21"/>
                <w:szCs w:val="21"/>
                <w:vertAlign w:val="superscript"/>
              </w:rPr>
              <w:t>3)</w:t>
            </w:r>
          </w:p>
        </w:tc>
        <w:tc>
          <w:tcPr>
            <w:tcW w:w="3548" w:type="dxa"/>
            <w:noWrap w:val="0"/>
            <w:vAlign w:val="center"/>
          </w:tcPr>
          <w:p>
            <w:pPr>
              <w:spacing w:line="320" w:lineRule="exact"/>
              <w:jc w:val="center"/>
              <w:rPr>
                <w:rFonts w:ascii="宋体" w:hAnsi="宋体"/>
                <w:sz w:val="21"/>
                <w:szCs w:val="21"/>
              </w:rPr>
            </w:pPr>
            <w:r>
              <w:rPr>
                <w:rFonts w:hint="eastAsia" w:ascii="宋体" w:hAnsi="宋体"/>
                <w:sz w:val="21"/>
                <w:szCs w:val="21"/>
              </w:rPr>
              <w:t>农作物种类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574" w:type="dxa"/>
            <w:vMerge w:val="restart"/>
            <w:noWrap w:val="0"/>
            <w:vAlign w:val="center"/>
          </w:tcPr>
          <w:p>
            <w:pPr>
              <w:spacing w:line="320" w:lineRule="exact"/>
              <w:jc w:val="center"/>
              <w:rPr>
                <w:rFonts w:hint="eastAsia" w:ascii="宋体" w:hAnsi="宋体"/>
                <w:sz w:val="21"/>
                <w:szCs w:val="21"/>
              </w:rPr>
            </w:pPr>
            <w:r>
              <w:rPr>
                <w:rFonts w:ascii="宋体" w:hAnsi="宋体"/>
                <w:sz w:val="21"/>
                <w:szCs w:val="21"/>
              </w:rPr>
              <w:t>SO</w:t>
            </w:r>
            <w:r>
              <w:rPr>
                <w:rFonts w:ascii="宋体" w:hAnsi="宋体"/>
                <w:sz w:val="21"/>
                <w:szCs w:val="21"/>
                <w:vertAlign w:val="subscript"/>
              </w:rPr>
              <w:t>2</w:t>
            </w:r>
          </w:p>
        </w:tc>
        <w:tc>
          <w:tcPr>
            <w:tcW w:w="1202" w:type="dxa"/>
            <w:noWrap w:val="0"/>
            <w:vAlign w:val="center"/>
          </w:tcPr>
          <w:p>
            <w:pPr>
              <w:spacing w:line="320" w:lineRule="exact"/>
              <w:jc w:val="center"/>
              <w:rPr>
                <w:rFonts w:hint="eastAsia" w:ascii="宋体" w:hAnsi="宋体"/>
                <w:sz w:val="21"/>
                <w:szCs w:val="21"/>
              </w:rPr>
            </w:pPr>
            <w:r>
              <w:rPr>
                <w:rFonts w:hint="eastAsia" w:ascii="宋体" w:hAnsi="宋体"/>
                <w:sz w:val="21"/>
                <w:szCs w:val="21"/>
              </w:rPr>
              <w:t>敏感</w:t>
            </w:r>
          </w:p>
        </w:tc>
        <w:tc>
          <w:tcPr>
            <w:tcW w:w="1045" w:type="dxa"/>
            <w:noWrap w:val="0"/>
            <w:vAlign w:val="center"/>
          </w:tcPr>
          <w:p>
            <w:pPr>
              <w:spacing w:line="320" w:lineRule="exact"/>
              <w:jc w:val="center"/>
              <w:rPr>
                <w:rFonts w:ascii="宋体" w:hAnsi="宋体"/>
                <w:sz w:val="21"/>
                <w:szCs w:val="21"/>
              </w:rPr>
            </w:pPr>
            <w:r>
              <w:rPr>
                <w:rFonts w:ascii="宋体" w:hAnsi="宋体"/>
                <w:sz w:val="21"/>
                <w:szCs w:val="21"/>
              </w:rPr>
              <w:t>0.05</w:t>
            </w:r>
          </w:p>
        </w:tc>
        <w:tc>
          <w:tcPr>
            <w:tcW w:w="986" w:type="dxa"/>
            <w:noWrap w:val="0"/>
            <w:vAlign w:val="center"/>
          </w:tcPr>
          <w:p>
            <w:pPr>
              <w:spacing w:line="320" w:lineRule="exact"/>
              <w:jc w:val="center"/>
              <w:rPr>
                <w:rFonts w:ascii="宋体" w:hAnsi="宋体"/>
                <w:sz w:val="21"/>
                <w:szCs w:val="21"/>
              </w:rPr>
            </w:pPr>
            <w:r>
              <w:rPr>
                <w:rFonts w:ascii="宋体" w:hAnsi="宋体"/>
                <w:sz w:val="21"/>
                <w:szCs w:val="21"/>
              </w:rPr>
              <w:t>0.15</w:t>
            </w:r>
          </w:p>
        </w:tc>
        <w:tc>
          <w:tcPr>
            <w:tcW w:w="816" w:type="dxa"/>
            <w:noWrap w:val="0"/>
            <w:vAlign w:val="center"/>
          </w:tcPr>
          <w:p>
            <w:pPr>
              <w:spacing w:line="320" w:lineRule="exact"/>
              <w:jc w:val="center"/>
              <w:rPr>
                <w:rFonts w:ascii="宋体" w:hAnsi="宋体"/>
                <w:sz w:val="21"/>
                <w:szCs w:val="21"/>
              </w:rPr>
            </w:pPr>
            <w:r>
              <w:rPr>
                <w:rFonts w:ascii="宋体" w:hAnsi="宋体"/>
                <w:sz w:val="21"/>
                <w:szCs w:val="21"/>
              </w:rPr>
              <w:t>0.50</w:t>
            </w:r>
          </w:p>
        </w:tc>
        <w:tc>
          <w:tcPr>
            <w:tcW w:w="3548" w:type="dxa"/>
            <w:noWrap w:val="0"/>
            <w:vAlign w:val="center"/>
          </w:tcPr>
          <w:p>
            <w:pPr>
              <w:spacing w:line="320" w:lineRule="exact"/>
              <w:jc w:val="center"/>
              <w:rPr>
                <w:rFonts w:hint="eastAsia" w:ascii="宋体" w:hAnsi="宋体"/>
                <w:spacing w:val="-20"/>
                <w:sz w:val="21"/>
                <w:szCs w:val="21"/>
              </w:rPr>
            </w:pPr>
            <w:r>
              <w:rPr>
                <w:rFonts w:hint="eastAsia" w:ascii="宋体" w:hAnsi="宋体"/>
                <w:spacing w:val="-20"/>
                <w:sz w:val="21"/>
                <w:szCs w:val="21"/>
              </w:rPr>
              <w:t>冬小麦、春小麦、大麦、荞麦、大豆、甜菜、芝麻、菠菜、青菜、白菜、莴苣、黄瓜、南瓜、西葫芦、马铃薯、苹果、梨、葡萄、苜蓿、三叶草、鸭茅、黑麦草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jc w:val="center"/>
        </w:trPr>
        <w:tc>
          <w:tcPr>
            <w:tcW w:w="574" w:type="dxa"/>
            <w:vMerge w:val="continue"/>
            <w:noWrap w:val="0"/>
            <w:vAlign w:val="center"/>
          </w:tcPr>
          <w:p>
            <w:pPr>
              <w:spacing w:line="320" w:lineRule="exact"/>
              <w:jc w:val="center"/>
              <w:rPr>
                <w:rFonts w:hint="eastAsia" w:ascii="宋体" w:hAnsi="宋体"/>
                <w:sz w:val="21"/>
                <w:szCs w:val="21"/>
              </w:rPr>
            </w:pPr>
          </w:p>
        </w:tc>
        <w:tc>
          <w:tcPr>
            <w:tcW w:w="1202" w:type="dxa"/>
            <w:noWrap w:val="0"/>
            <w:vAlign w:val="center"/>
          </w:tcPr>
          <w:p>
            <w:pPr>
              <w:spacing w:line="320" w:lineRule="exact"/>
              <w:jc w:val="center"/>
              <w:rPr>
                <w:rFonts w:hint="eastAsia" w:ascii="宋体" w:hAnsi="宋体"/>
                <w:sz w:val="21"/>
                <w:szCs w:val="21"/>
              </w:rPr>
            </w:pPr>
            <w:r>
              <w:rPr>
                <w:rFonts w:hint="eastAsia" w:ascii="宋体" w:hAnsi="宋体"/>
                <w:sz w:val="21"/>
                <w:szCs w:val="21"/>
              </w:rPr>
              <w:t>中等敏感作物</w:t>
            </w:r>
          </w:p>
        </w:tc>
        <w:tc>
          <w:tcPr>
            <w:tcW w:w="1045" w:type="dxa"/>
            <w:noWrap w:val="0"/>
            <w:vAlign w:val="center"/>
          </w:tcPr>
          <w:p>
            <w:pPr>
              <w:spacing w:line="320" w:lineRule="exact"/>
              <w:jc w:val="center"/>
              <w:rPr>
                <w:rFonts w:ascii="宋体" w:hAnsi="宋体"/>
                <w:sz w:val="21"/>
                <w:szCs w:val="21"/>
              </w:rPr>
            </w:pPr>
            <w:r>
              <w:rPr>
                <w:rFonts w:ascii="宋体" w:hAnsi="宋体"/>
                <w:sz w:val="21"/>
                <w:szCs w:val="21"/>
              </w:rPr>
              <w:t>0.08</w:t>
            </w:r>
          </w:p>
        </w:tc>
        <w:tc>
          <w:tcPr>
            <w:tcW w:w="986" w:type="dxa"/>
            <w:noWrap w:val="0"/>
            <w:vAlign w:val="center"/>
          </w:tcPr>
          <w:p>
            <w:pPr>
              <w:spacing w:line="320" w:lineRule="exact"/>
              <w:jc w:val="center"/>
              <w:rPr>
                <w:rFonts w:ascii="宋体" w:hAnsi="宋体"/>
                <w:sz w:val="21"/>
                <w:szCs w:val="21"/>
              </w:rPr>
            </w:pPr>
            <w:r>
              <w:rPr>
                <w:rFonts w:ascii="宋体" w:hAnsi="宋体"/>
                <w:sz w:val="21"/>
                <w:szCs w:val="21"/>
              </w:rPr>
              <w:t>0.25</w:t>
            </w:r>
          </w:p>
        </w:tc>
        <w:tc>
          <w:tcPr>
            <w:tcW w:w="816" w:type="dxa"/>
            <w:noWrap w:val="0"/>
            <w:vAlign w:val="center"/>
          </w:tcPr>
          <w:p>
            <w:pPr>
              <w:spacing w:line="320" w:lineRule="exact"/>
              <w:jc w:val="center"/>
              <w:rPr>
                <w:rFonts w:ascii="宋体" w:hAnsi="宋体"/>
                <w:sz w:val="21"/>
                <w:szCs w:val="21"/>
              </w:rPr>
            </w:pPr>
            <w:r>
              <w:rPr>
                <w:rFonts w:ascii="宋体" w:hAnsi="宋体"/>
                <w:sz w:val="21"/>
                <w:szCs w:val="21"/>
              </w:rPr>
              <w:t>0.70</w:t>
            </w:r>
          </w:p>
        </w:tc>
        <w:tc>
          <w:tcPr>
            <w:tcW w:w="3548" w:type="dxa"/>
            <w:noWrap w:val="0"/>
            <w:vAlign w:val="center"/>
          </w:tcPr>
          <w:p>
            <w:pPr>
              <w:pStyle w:val="8"/>
              <w:spacing w:line="320" w:lineRule="exact"/>
              <w:jc w:val="center"/>
              <w:rPr>
                <w:rFonts w:hint="eastAsia" w:hAnsi="宋体"/>
                <w:spacing w:val="-20"/>
                <w:sz w:val="21"/>
                <w:szCs w:val="21"/>
              </w:rPr>
            </w:pPr>
            <w:r>
              <w:rPr>
                <w:rFonts w:hint="eastAsia" w:hAnsi="宋体"/>
                <w:spacing w:val="-20"/>
                <w:sz w:val="21"/>
                <w:szCs w:val="21"/>
              </w:rPr>
              <w:t>水稻、玉米、燕麦、高梁、棉花、烟草、番茄、茄子、胡萝卜、桃、杏、李、柑桔、樱桃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jc w:val="center"/>
        </w:trPr>
        <w:tc>
          <w:tcPr>
            <w:tcW w:w="574" w:type="dxa"/>
            <w:vMerge w:val="continue"/>
            <w:noWrap w:val="0"/>
            <w:vAlign w:val="center"/>
          </w:tcPr>
          <w:p>
            <w:pPr>
              <w:spacing w:line="320" w:lineRule="exact"/>
              <w:jc w:val="center"/>
              <w:rPr>
                <w:rFonts w:hint="eastAsia" w:ascii="宋体" w:hAnsi="宋体"/>
                <w:sz w:val="21"/>
                <w:szCs w:val="21"/>
              </w:rPr>
            </w:pPr>
          </w:p>
        </w:tc>
        <w:tc>
          <w:tcPr>
            <w:tcW w:w="1202" w:type="dxa"/>
            <w:noWrap w:val="0"/>
            <w:vAlign w:val="center"/>
          </w:tcPr>
          <w:p>
            <w:pPr>
              <w:spacing w:line="320" w:lineRule="exact"/>
              <w:jc w:val="center"/>
              <w:rPr>
                <w:rFonts w:hint="eastAsia" w:ascii="宋体" w:hAnsi="宋体"/>
                <w:sz w:val="21"/>
                <w:szCs w:val="21"/>
              </w:rPr>
            </w:pPr>
            <w:r>
              <w:rPr>
                <w:rFonts w:hint="eastAsia" w:ascii="宋体" w:hAnsi="宋体"/>
                <w:sz w:val="21"/>
                <w:szCs w:val="21"/>
              </w:rPr>
              <w:t>抗性作物</w:t>
            </w:r>
          </w:p>
        </w:tc>
        <w:tc>
          <w:tcPr>
            <w:tcW w:w="1045" w:type="dxa"/>
            <w:noWrap w:val="0"/>
            <w:vAlign w:val="center"/>
          </w:tcPr>
          <w:p>
            <w:pPr>
              <w:spacing w:line="320" w:lineRule="exact"/>
              <w:jc w:val="center"/>
              <w:rPr>
                <w:rFonts w:ascii="宋体" w:hAnsi="宋体"/>
                <w:sz w:val="21"/>
                <w:szCs w:val="21"/>
              </w:rPr>
            </w:pPr>
            <w:r>
              <w:rPr>
                <w:rFonts w:ascii="宋体" w:hAnsi="宋体"/>
                <w:sz w:val="21"/>
                <w:szCs w:val="21"/>
              </w:rPr>
              <w:t>0.12</w:t>
            </w:r>
          </w:p>
        </w:tc>
        <w:tc>
          <w:tcPr>
            <w:tcW w:w="986" w:type="dxa"/>
            <w:noWrap w:val="0"/>
            <w:vAlign w:val="center"/>
          </w:tcPr>
          <w:p>
            <w:pPr>
              <w:spacing w:line="320" w:lineRule="exact"/>
              <w:jc w:val="center"/>
              <w:rPr>
                <w:rFonts w:ascii="宋体" w:hAnsi="宋体"/>
                <w:sz w:val="21"/>
                <w:szCs w:val="21"/>
              </w:rPr>
            </w:pPr>
            <w:r>
              <w:rPr>
                <w:rFonts w:ascii="宋体" w:hAnsi="宋体"/>
                <w:sz w:val="21"/>
                <w:szCs w:val="21"/>
              </w:rPr>
              <w:t>0.30</w:t>
            </w:r>
          </w:p>
        </w:tc>
        <w:tc>
          <w:tcPr>
            <w:tcW w:w="816" w:type="dxa"/>
            <w:noWrap w:val="0"/>
            <w:vAlign w:val="center"/>
          </w:tcPr>
          <w:p>
            <w:pPr>
              <w:spacing w:line="320" w:lineRule="exact"/>
              <w:jc w:val="center"/>
              <w:rPr>
                <w:rFonts w:ascii="宋体" w:hAnsi="宋体"/>
                <w:sz w:val="21"/>
                <w:szCs w:val="21"/>
              </w:rPr>
            </w:pPr>
            <w:r>
              <w:rPr>
                <w:rFonts w:ascii="宋体" w:hAnsi="宋体"/>
                <w:sz w:val="21"/>
                <w:szCs w:val="21"/>
              </w:rPr>
              <w:t>0.80</w:t>
            </w:r>
          </w:p>
        </w:tc>
        <w:tc>
          <w:tcPr>
            <w:tcW w:w="3548" w:type="dxa"/>
            <w:noWrap w:val="0"/>
            <w:vAlign w:val="center"/>
          </w:tcPr>
          <w:p>
            <w:pPr>
              <w:pStyle w:val="8"/>
              <w:spacing w:line="320" w:lineRule="exact"/>
              <w:jc w:val="center"/>
              <w:rPr>
                <w:rFonts w:hint="eastAsia" w:hAnsi="宋体"/>
                <w:spacing w:val="-20"/>
                <w:sz w:val="21"/>
                <w:szCs w:val="21"/>
              </w:rPr>
            </w:pPr>
            <w:r>
              <w:rPr>
                <w:rFonts w:hint="eastAsia" w:hAnsi="宋体"/>
                <w:spacing w:val="-20"/>
                <w:sz w:val="21"/>
                <w:szCs w:val="21"/>
              </w:rPr>
              <w:t>蚕豆、油菜、向日葵、甘蓝、芋头、草莓</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地表水：技改项目的纳污水体为厂区北侧的一条无名小河沟，该河沟的主要水源为青木关煤矿的井下排水，无水域功能，考虑其属于梁滩</w:t>
      </w:r>
      <w:r>
        <w:rPr>
          <w:rFonts w:ascii="宋体" w:hAnsi="宋体"/>
        </w:rPr>
        <w:t>河</w:t>
      </w:r>
      <w:r>
        <w:rPr>
          <w:rFonts w:hint="eastAsia" w:ascii="宋体" w:hAnsi="宋体"/>
        </w:rPr>
        <w:t>流域（∨类水域功能），因此该河沟执行按∨类</w:t>
      </w:r>
      <w:r>
        <w:rPr>
          <w:rFonts w:ascii="宋体" w:hAnsi="宋体"/>
        </w:rPr>
        <w:t>水域</w:t>
      </w:r>
      <w:r>
        <w:rPr>
          <w:rFonts w:hint="eastAsia" w:ascii="宋体" w:hAnsi="宋体"/>
        </w:rPr>
        <w:t>标准，与技改项目相关的主要标准值见表1-3。</w:t>
      </w:r>
    </w:p>
    <w:p>
      <w:pPr>
        <w:spacing w:line="480" w:lineRule="exact"/>
        <w:jc w:val="center"/>
        <w:rPr>
          <w:rFonts w:hint="eastAsia" w:ascii="宋体" w:hAnsi="宋体"/>
          <w:b/>
          <w:szCs w:val="21"/>
        </w:rPr>
      </w:pPr>
      <w:r>
        <w:rPr>
          <w:rFonts w:hint="eastAsia" w:ascii="宋体" w:hAnsi="宋体"/>
          <w:b/>
        </w:rPr>
        <w:t xml:space="preserve">表1-3  地表水环境质量标准   </w:t>
      </w:r>
      <w:r>
        <w:rPr>
          <w:rFonts w:hint="eastAsia" w:ascii="宋体" w:hAnsi="宋体"/>
          <w:szCs w:val="21"/>
        </w:rPr>
        <w:t>单位：</w:t>
      </w:r>
      <w:r>
        <w:rPr>
          <w:rFonts w:ascii="宋体" w:hAnsi="宋体"/>
          <w:szCs w:val="21"/>
        </w:rPr>
        <w:t>mg/</w:t>
      </w:r>
      <w:r>
        <w:rPr>
          <w:rFonts w:hint="eastAsia" w:ascii="宋体" w:hAnsi="宋体"/>
          <w:szCs w:val="21"/>
        </w:rPr>
        <w:t>L</w:t>
      </w:r>
      <w:r>
        <w:rPr>
          <w:rFonts w:ascii="宋体" w:hAnsi="宋体"/>
          <w:szCs w:val="21"/>
        </w:rPr>
        <w:t>,pH</w:t>
      </w:r>
      <w:r>
        <w:rPr>
          <w:rFonts w:hint="eastAsia" w:ascii="宋体" w:hAnsi="宋体"/>
          <w:szCs w:val="21"/>
        </w:rPr>
        <w:t>无量纲</w:t>
      </w:r>
    </w:p>
    <w:tbl>
      <w:tblPr>
        <w:tblStyle w:val="20"/>
        <w:tblW w:w="7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625"/>
        <w:gridCol w:w="703"/>
        <w:gridCol w:w="775"/>
        <w:gridCol w:w="926"/>
        <w:gridCol w:w="988"/>
        <w:gridCol w:w="921"/>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1" w:type="dxa"/>
            <w:noWrap w:val="0"/>
            <w:vAlign w:val="center"/>
          </w:tcPr>
          <w:p>
            <w:pPr>
              <w:pStyle w:val="27"/>
              <w:widowControl w:val="0"/>
              <w:spacing w:before="0" w:beforeAutospacing="0" w:after="0" w:afterAutospacing="0" w:line="480" w:lineRule="exact"/>
              <w:rPr>
                <w:kern w:val="2"/>
                <w:sz w:val="21"/>
                <w:szCs w:val="21"/>
              </w:rPr>
            </w:pPr>
            <w:r>
              <w:rPr>
                <w:kern w:val="2"/>
                <w:sz w:val="21"/>
                <w:szCs w:val="21"/>
              </w:rPr>
              <w:t>项目</w:t>
            </w:r>
          </w:p>
        </w:tc>
        <w:tc>
          <w:tcPr>
            <w:tcW w:w="625" w:type="dxa"/>
            <w:noWrap w:val="0"/>
            <w:vAlign w:val="center"/>
          </w:tcPr>
          <w:p>
            <w:pPr>
              <w:spacing w:line="480" w:lineRule="exact"/>
              <w:jc w:val="center"/>
              <w:rPr>
                <w:rFonts w:hint="eastAsia" w:ascii="宋体" w:hAnsi="宋体"/>
                <w:sz w:val="21"/>
                <w:szCs w:val="21"/>
              </w:rPr>
            </w:pPr>
            <w:r>
              <w:rPr>
                <w:rFonts w:hint="eastAsia" w:ascii="宋体" w:hAnsi="宋体"/>
                <w:sz w:val="21"/>
                <w:szCs w:val="21"/>
              </w:rPr>
              <w:t>DO</w:t>
            </w:r>
          </w:p>
        </w:tc>
        <w:tc>
          <w:tcPr>
            <w:tcW w:w="703" w:type="dxa"/>
            <w:noWrap w:val="0"/>
            <w:vAlign w:val="center"/>
          </w:tcPr>
          <w:p>
            <w:pPr>
              <w:spacing w:line="480" w:lineRule="exact"/>
              <w:jc w:val="center"/>
              <w:rPr>
                <w:rFonts w:hint="eastAsia" w:ascii="宋体" w:hAnsi="宋体"/>
                <w:sz w:val="21"/>
                <w:szCs w:val="21"/>
              </w:rPr>
            </w:pPr>
            <w:r>
              <w:rPr>
                <w:rFonts w:ascii="宋体" w:hAnsi="宋体"/>
                <w:sz w:val="21"/>
                <w:szCs w:val="21"/>
              </w:rPr>
              <w:t>pH</w:t>
            </w:r>
          </w:p>
        </w:tc>
        <w:tc>
          <w:tcPr>
            <w:tcW w:w="775" w:type="dxa"/>
            <w:noWrap w:val="0"/>
            <w:vAlign w:val="center"/>
          </w:tcPr>
          <w:p>
            <w:pPr>
              <w:spacing w:line="480" w:lineRule="exact"/>
              <w:jc w:val="center"/>
              <w:rPr>
                <w:rFonts w:hint="eastAsia" w:ascii="宋体" w:hAnsi="宋体"/>
                <w:sz w:val="21"/>
                <w:szCs w:val="21"/>
              </w:rPr>
            </w:pPr>
            <w:r>
              <w:rPr>
                <w:rFonts w:ascii="宋体" w:hAnsi="宋体"/>
                <w:sz w:val="21"/>
                <w:szCs w:val="21"/>
              </w:rPr>
              <w:t>COD</w:t>
            </w:r>
          </w:p>
        </w:tc>
        <w:tc>
          <w:tcPr>
            <w:tcW w:w="926" w:type="dxa"/>
            <w:noWrap w:val="0"/>
            <w:vAlign w:val="center"/>
          </w:tcPr>
          <w:p>
            <w:pPr>
              <w:spacing w:line="480" w:lineRule="exact"/>
              <w:jc w:val="center"/>
              <w:rPr>
                <w:rFonts w:hint="eastAsia" w:ascii="宋体" w:hAnsi="宋体"/>
                <w:sz w:val="21"/>
                <w:szCs w:val="21"/>
              </w:rPr>
            </w:pPr>
            <w:r>
              <w:rPr>
                <w:rFonts w:ascii="宋体" w:hAnsi="宋体"/>
                <w:sz w:val="21"/>
                <w:szCs w:val="21"/>
              </w:rPr>
              <w:t>BOD</w:t>
            </w:r>
            <w:r>
              <w:rPr>
                <w:rFonts w:ascii="宋体" w:hAnsi="宋体"/>
                <w:sz w:val="21"/>
                <w:szCs w:val="21"/>
                <w:vertAlign w:val="subscript"/>
              </w:rPr>
              <w:t>5</w:t>
            </w:r>
          </w:p>
        </w:tc>
        <w:tc>
          <w:tcPr>
            <w:tcW w:w="98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921" w:type="dxa"/>
            <w:noWrap w:val="0"/>
            <w:vAlign w:val="center"/>
          </w:tcPr>
          <w:p>
            <w:pPr>
              <w:spacing w:line="480" w:lineRule="exact"/>
              <w:jc w:val="center"/>
              <w:rPr>
                <w:rFonts w:hint="eastAsia" w:ascii="宋体" w:hAnsi="宋体"/>
                <w:sz w:val="21"/>
                <w:szCs w:val="21"/>
              </w:rPr>
            </w:pPr>
            <w:r>
              <w:rPr>
                <w:rFonts w:hint="eastAsia" w:ascii="宋体" w:hAnsi="宋体"/>
                <w:sz w:val="21"/>
                <w:szCs w:val="21"/>
              </w:rPr>
              <w:t>TP</w:t>
            </w:r>
          </w:p>
        </w:tc>
        <w:tc>
          <w:tcPr>
            <w:tcW w:w="1095" w:type="dxa"/>
            <w:noWrap w:val="0"/>
            <w:vAlign w:val="center"/>
          </w:tcPr>
          <w:p>
            <w:pPr>
              <w:spacing w:line="480" w:lineRule="exact"/>
              <w:jc w:val="center"/>
              <w:rPr>
                <w:rFonts w:hint="eastAsia" w:ascii="宋体" w:hAnsi="宋体"/>
                <w:sz w:val="21"/>
                <w:szCs w:val="21"/>
              </w:rPr>
            </w:pPr>
            <w:r>
              <w:rPr>
                <w:rFonts w:hint="eastAsia" w:ascii="宋体" w:hAnsi="宋体"/>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1" w:type="dxa"/>
            <w:noWrap w:val="0"/>
            <w:vAlign w:val="center"/>
          </w:tcPr>
          <w:p>
            <w:pPr>
              <w:spacing w:line="480" w:lineRule="exact"/>
              <w:jc w:val="center"/>
              <w:rPr>
                <w:rFonts w:hint="eastAsia" w:ascii="宋体" w:hAnsi="宋体"/>
                <w:sz w:val="21"/>
                <w:szCs w:val="21"/>
              </w:rPr>
            </w:pPr>
            <w:r>
              <w:rPr>
                <w:rFonts w:hint="eastAsia" w:ascii="宋体" w:hAnsi="宋体"/>
                <w:sz w:val="21"/>
                <w:szCs w:val="21"/>
              </w:rPr>
              <w:t>标准值</w:t>
            </w:r>
          </w:p>
        </w:tc>
        <w:tc>
          <w:tcPr>
            <w:tcW w:w="625" w:type="dxa"/>
            <w:noWrap w:val="0"/>
            <w:vAlign w:val="center"/>
          </w:tcPr>
          <w:p>
            <w:pPr>
              <w:spacing w:line="480" w:lineRule="exact"/>
              <w:jc w:val="center"/>
              <w:rPr>
                <w:rFonts w:hint="eastAsia" w:ascii="宋体" w:hAnsi="宋体"/>
                <w:sz w:val="21"/>
                <w:szCs w:val="21"/>
              </w:rPr>
            </w:pPr>
            <w:r>
              <w:rPr>
                <w:rFonts w:hint="eastAsia" w:ascii="宋体" w:hAnsi="宋体"/>
                <w:sz w:val="21"/>
                <w:szCs w:val="21"/>
              </w:rPr>
              <w:t>≥2</w:t>
            </w:r>
          </w:p>
        </w:tc>
        <w:tc>
          <w:tcPr>
            <w:tcW w:w="703" w:type="dxa"/>
            <w:noWrap w:val="0"/>
            <w:vAlign w:val="center"/>
          </w:tcPr>
          <w:p>
            <w:pPr>
              <w:spacing w:line="480" w:lineRule="exact"/>
              <w:jc w:val="center"/>
              <w:rPr>
                <w:rFonts w:hint="eastAsia" w:ascii="宋体" w:hAnsi="宋体"/>
                <w:sz w:val="21"/>
                <w:szCs w:val="21"/>
              </w:rPr>
            </w:pPr>
            <w:r>
              <w:rPr>
                <w:rFonts w:ascii="宋体" w:hAnsi="宋体"/>
                <w:sz w:val="21"/>
                <w:szCs w:val="21"/>
              </w:rPr>
              <w:t>6</w:t>
            </w:r>
            <w:r>
              <w:rPr>
                <w:rFonts w:hint="eastAsia" w:ascii="宋体" w:hAnsi="宋体"/>
                <w:sz w:val="21"/>
                <w:szCs w:val="21"/>
              </w:rPr>
              <w:t>～</w:t>
            </w:r>
            <w:r>
              <w:rPr>
                <w:rFonts w:ascii="宋体" w:hAnsi="宋体"/>
                <w:sz w:val="21"/>
                <w:szCs w:val="21"/>
              </w:rPr>
              <w:t>9</w:t>
            </w:r>
          </w:p>
        </w:tc>
        <w:tc>
          <w:tcPr>
            <w:tcW w:w="775" w:type="dxa"/>
            <w:noWrap w:val="0"/>
            <w:vAlign w:val="center"/>
          </w:tcPr>
          <w:p>
            <w:pPr>
              <w:spacing w:line="480" w:lineRule="exact"/>
              <w:jc w:val="center"/>
              <w:rPr>
                <w:rFonts w:hint="eastAsia" w:ascii="宋体" w:hAnsi="宋体"/>
                <w:sz w:val="21"/>
                <w:szCs w:val="21"/>
              </w:rPr>
            </w:pPr>
            <w:r>
              <w:rPr>
                <w:rFonts w:hint="eastAsia" w:ascii="宋体" w:hAnsi="宋体"/>
                <w:sz w:val="21"/>
                <w:szCs w:val="21"/>
              </w:rPr>
              <w:t>≤40</w:t>
            </w:r>
          </w:p>
        </w:tc>
        <w:tc>
          <w:tcPr>
            <w:tcW w:w="926"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≤10</w:t>
            </w:r>
          </w:p>
        </w:tc>
        <w:tc>
          <w:tcPr>
            <w:tcW w:w="98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≤1.5</w:t>
            </w:r>
          </w:p>
        </w:tc>
        <w:tc>
          <w:tcPr>
            <w:tcW w:w="921" w:type="dxa"/>
            <w:noWrap w:val="0"/>
            <w:vAlign w:val="center"/>
          </w:tcPr>
          <w:p>
            <w:pPr>
              <w:spacing w:line="480" w:lineRule="exact"/>
              <w:jc w:val="center"/>
              <w:rPr>
                <w:rFonts w:hint="eastAsia" w:ascii="宋体" w:hAnsi="宋体"/>
                <w:sz w:val="21"/>
                <w:szCs w:val="21"/>
              </w:rPr>
            </w:pPr>
            <w:r>
              <w:rPr>
                <w:rFonts w:hint="eastAsia" w:ascii="宋体" w:hAnsi="宋体"/>
                <w:sz w:val="21"/>
                <w:szCs w:val="21"/>
              </w:rPr>
              <w:t>0.4</w:t>
            </w:r>
          </w:p>
        </w:tc>
        <w:tc>
          <w:tcPr>
            <w:tcW w:w="1095"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≤1.0</w:t>
            </w:r>
          </w:p>
        </w:tc>
      </w:tr>
    </w:tbl>
    <w:p>
      <w:pPr>
        <w:spacing w:line="480" w:lineRule="exact"/>
        <w:ind w:firstLine="420" w:firstLineChars="200"/>
        <w:rPr>
          <w:rFonts w:hint="eastAsia" w:ascii="宋体" w:hAnsi="宋体"/>
        </w:rPr>
      </w:pPr>
    </w:p>
    <w:p>
      <w:pPr>
        <w:spacing w:line="360" w:lineRule="auto"/>
        <w:ind w:firstLine="420" w:firstLineChars="200"/>
        <w:rPr>
          <w:rFonts w:hint="eastAsia" w:ascii="宋体" w:hAnsi="宋体"/>
        </w:rPr>
      </w:pPr>
      <w:r>
        <w:rPr>
          <w:rFonts w:hint="eastAsia" w:ascii="宋体" w:hAnsi="宋体"/>
        </w:rPr>
        <w:t>环境噪声：根据渝府发[1998]90号文规定，技改项目所在区域除319国道两侧30米范围内执行《声环境质量标准》（GB3096-2008）中4类标准（昼间为70</w:t>
      </w:r>
      <w:r>
        <w:rPr>
          <w:rFonts w:ascii="宋体" w:hAnsi="宋体"/>
        </w:rPr>
        <w:t>dB</w:t>
      </w:r>
      <w:r>
        <w:rPr>
          <w:rFonts w:hint="eastAsia" w:ascii="宋体" w:hAnsi="宋体"/>
        </w:rPr>
        <w:t>，夜间55</w:t>
      </w:r>
      <w:r>
        <w:rPr>
          <w:rFonts w:ascii="宋体" w:hAnsi="宋体"/>
        </w:rPr>
        <w:t>dB</w:t>
      </w:r>
      <w:r>
        <w:rPr>
          <w:rFonts w:hint="eastAsia" w:ascii="宋体" w:hAnsi="宋体"/>
        </w:rPr>
        <w:t>）外，其余均执行2类标准，即昼间为60</w:t>
      </w:r>
      <w:r>
        <w:rPr>
          <w:rFonts w:ascii="宋体" w:hAnsi="宋体"/>
        </w:rPr>
        <w:t>dB</w:t>
      </w:r>
      <w:r>
        <w:rPr>
          <w:rFonts w:hint="eastAsia" w:ascii="宋体" w:hAnsi="宋体"/>
        </w:rPr>
        <w:t>，夜间50</w:t>
      </w:r>
      <w:r>
        <w:rPr>
          <w:rFonts w:ascii="宋体" w:hAnsi="宋体"/>
        </w:rPr>
        <w:t>dB</w:t>
      </w:r>
      <w:r>
        <w:rPr>
          <w:rFonts w:hint="eastAsia" w:ascii="宋体" w:hAnsi="宋体"/>
        </w:rPr>
        <w:t>。</w:t>
      </w:r>
    </w:p>
    <w:p>
      <w:pPr>
        <w:spacing w:before="24" w:beforeLines="10" w:after="24" w:afterLines="10" w:line="360" w:lineRule="auto"/>
        <w:rPr>
          <w:rFonts w:hint="eastAsia"/>
          <w:b/>
        </w:rPr>
      </w:pPr>
      <w:r>
        <w:rPr>
          <w:rFonts w:hint="eastAsia"/>
          <w:b/>
        </w:rPr>
        <w:t>1</w:t>
      </w:r>
      <w:r>
        <w:rPr>
          <w:b/>
        </w:rPr>
        <w:t>.</w:t>
      </w:r>
      <w:r>
        <w:rPr>
          <w:rFonts w:hint="eastAsia"/>
          <w:b/>
        </w:rPr>
        <w:t>5</w:t>
      </w:r>
      <w:r>
        <w:rPr>
          <w:b/>
        </w:rPr>
        <w:t xml:space="preserve">.2 </w:t>
      </w:r>
      <w:r>
        <w:rPr>
          <w:rFonts w:hint="eastAsia"/>
          <w:b/>
        </w:rPr>
        <w:t>排放标准</w:t>
      </w:r>
    </w:p>
    <w:p>
      <w:pPr>
        <w:spacing w:line="360" w:lineRule="auto"/>
        <w:ind w:firstLine="420" w:firstLineChars="200"/>
        <w:rPr>
          <w:rFonts w:hint="eastAsia" w:ascii="宋体" w:hAnsi="宋体"/>
        </w:rPr>
      </w:pPr>
      <w:r>
        <w:rPr>
          <w:rFonts w:hint="eastAsia" w:ascii="宋体" w:hAnsi="宋体"/>
        </w:rPr>
        <w:t>废气：水泥生产中废气污染物有组织排放执行《重庆市水泥工业大气污染物排放标准》（DB50/251-2007）表1规定的</w:t>
      </w:r>
      <w:r>
        <w:rPr>
          <w:rFonts w:ascii="宋体" w:hAnsi="宋体"/>
        </w:rPr>
        <w:t>Ⅱ</w:t>
      </w:r>
      <w:r>
        <w:rPr>
          <w:rFonts w:hint="eastAsia" w:ascii="宋体" w:hAnsi="宋体"/>
        </w:rPr>
        <w:t>时段限值,无组织排放执行表2规定的限值，排气筒高度要求执行表3中规定，相关标准值见表1-4至表1-6。</w:t>
      </w:r>
    </w:p>
    <w:p>
      <w:pPr>
        <w:spacing w:line="480" w:lineRule="exact"/>
        <w:jc w:val="center"/>
        <w:rPr>
          <w:rFonts w:hint="eastAsia" w:ascii="宋体" w:hAnsi="宋体"/>
          <w:b/>
        </w:rPr>
      </w:pPr>
      <w:r>
        <w:rPr>
          <w:rFonts w:hint="eastAsia" w:ascii="宋体" w:hAnsi="宋体"/>
          <w:b/>
        </w:rPr>
        <w:t>表1-4  水泥工业大气污染物排放标准</w:t>
      </w:r>
    </w:p>
    <w:tbl>
      <w:tblPr>
        <w:tblStyle w:val="20"/>
        <w:tblW w:w="8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122"/>
        <w:gridCol w:w="1122"/>
        <w:gridCol w:w="1122"/>
        <w:gridCol w:w="1122"/>
        <w:gridCol w:w="1122"/>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933" w:type="dxa"/>
            <w:vMerge w:val="restart"/>
            <w:noWrap w:val="0"/>
            <w:vAlign w:val="center"/>
          </w:tcPr>
          <w:p>
            <w:pPr>
              <w:spacing w:line="300" w:lineRule="exact"/>
              <w:jc w:val="center"/>
              <w:rPr>
                <w:rFonts w:hint="eastAsia" w:ascii="宋体" w:hAnsi="宋体"/>
                <w:sz w:val="21"/>
                <w:szCs w:val="21"/>
              </w:rPr>
            </w:pPr>
            <w:r>
              <w:rPr>
                <w:rFonts w:hint="eastAsia" w:ascii="宋体" w:hAnsi="宋体"/>
                <w:sz w:val="21"/>
                <w:szCs w:val="21"/>
              </w:rPr>
              <w:t>生产设备</w:t>
            </w:r>
          </w:p>
          <w:p>
            <w:pPr>
              <w:spacing w:line="300" w:lineRule="exact"/>
              <w:jc w:val="center"/>
              <w:rPr>
                <w:rFonts w:hint="eastAsia" w:ascii="宋体" w:hAnsi="宋体"/>
                <w:sz w:val="21"/>
                <w:szCs w:val="21"/>
              </w:rPr>
            </w:pPr>
            <w:r>
              <w:rPr>
                <w:rFonts w:hint="eastAsia" w:ascii="宋体" w:hAnsi="宋体"/>
                <w:sz w:val="21"/>
                <w:szCs w:val="21"/>
              </w:rPr>
              <w:t>名称</w:t>
            </w:r>
          </w:p>
        </w:tc>
        <w:tc>
          <w:tcPr>
            <w:tcW w:w="2244" w:type="dxa"/>
            <w:gridSpan w:val="2"/>
            <w:noWrap w:val="0"/>
            <w:vAlign w:val="center"/>
          </w:tcPr>
          <w:p>
            <w:pPr>
              <w:spacing w:line="300" w:lineRule="exact"/>
              <w:jc w:val="center"/>
              <w:rPr>
                <w:rFonts w:hint="eastAsia" w:ascii="宋体" w:hAnsi="宋体"/>
                <w:sz w:val="21"/>
                <w:szCs w:val="21"/>
              </w:rPr>
            </w:pPr>
            <w:r>
              <w:rPr>
                <w:rFonts w:hint="eastAsia" w:ascii="宋体" w:hAnsi="宋体"/>
                <w:sz w:val="21"/>
                <w:szCs w:val="21"/>
              </w:rPr>
              <w:t>颗粒物</w:t>
            </w:r>
          </w:p>
        </w:tc>
        <w:tc>
          <w:tcPr>
            <w:tcW w:w="2244" w:type="dxa"/>
            <w:gridSpan w:val="2"/>
            <w:noWrap w:val="0"/>
            <w:vAlign w:val="center"/>
          </w:tcPr>
          <w:p>
            <w:pPr>
              <w:spacing w:line="300" w:lineRule="exact"/>
              <w:jc w:val="center"/>
              <w:rPr>
                <w:rFonts w:hint="eastAsia" w:ascii="宋体" w:hAnsi="宋体"/>
                <w:sz w:val="21"/>
                <w:szCs w:val="21"/>
              </w:rPr>
            </w:pPr>
            <w:r>
              <w:rPr>
                <w:rFonts w:hint="eastAsia" w:ascii="宋体" w:hAnsi="宋体"/>
                <w:sz w:val="21"/>
                <w:szCs w:val="21"/>
              </w:rPr>
              <w:t>SO</w:t>
            </w:r>
            <w:r>
              <w:rPr>
                <w:rFonts w:hint="eastAsia" w:ascii="宋体" w:hAnsi="宋体"/>
                <w:sz w:val="21"/>
                <w:szCs w:val="21"/>
                <w:vertAlign w:val="subscript"/>
              </w:rPr>
              <w:t>2</w:t>
            </w:r>
          </w:p>
        </w:tc>
        <w:tc>
          <w:tcPr>
            <w:tcW w:w="2245" w:type="dxa"/>
            <w:gridSpan w:val="2"/>
            <w:noWrap w:val="0"/>
            <w:vAlign w:val="center"/>
          </w:tcPr>
          <w:p>
            <w:pPr>
              <w:spacing w:line="300" w:lineRule="exact"/>
              <w:jc w:val="center"/>
              <w:rPr>
                <w:rFonts w:hint="eastAsia" w:ascii="宋体" w:hAnsi="宋体"/>
                <w:sz w:val="21"/>
                <w:szCs w:val="21"/>
              </w:rPr>
            </w:pPr>
            <w:r>
              <w:rPr>
                <w:rFonts w:hint="eastAsia" w:ascii="宋体" w:hAnsi="宋体"/>
                <w:sz w:val="21"/>
                <w:szCs w:val="21"/>
              </w:rPr>
              <w:t>NO</w:t>
            </w:r>
            <w:r>
              <w:rPr>
                <w:rFonts w:hint="eastAsia" w:ascii="宋体" w:hAnsi="宋体"/>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933" w:type="dxa"/>
            <w:vMerge w:val="continue"/>
            <w:noWrap w:val="0"/>
            <w:vAlign w:val="center"/>
          </w:tcPr>
          <w:p>
            <w:pPr>
              <w:spacing w:line="300" w:lineRule="exact"/>
              <w:jc w:val="center"/>
              <w:rPr>
                <w:rFonts w:hint="eastAsia" w:ascii="宋体" w:hAnsi="宋体"/>
                <w:sz w:val="21"/>
                <w:szCs w:val="21"/>
              </w:rPr>
            </w:pP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排放浓度</w:t>
            </w:r>
          </w:p>
          <w:p>
            <w:pPr>
              <w:spacing w:line="300" w:lineRule="exact"/>
              <w:jc w:val="center"/>
              <w:rPr>
                <w:rFonts w:hint="eastAsia" w:ascii="宋体" w:hAnsi="宋体"/>
                <w:sz w:val="21"/>
                <w:szCs w:val="21"/>
              </w:rPr>
            </w:pPr>
            <w:r>
              <w:rPr>
                <w:rFonts w:hint="eastAsia" w:ascii="宋体" w:hAnsi="宋体"/>
                <w:sz w:val="21"/>
                <w:szCs w:val="21"/>
              </w:rPr>
              <w:t>mg/m</w:t>
            </w:r>
            <w:r>
              <w:rPr>
                <w:rFonts w:hint="eastAsia" w:ascii="宋体" w:hAnsi="宋体"/>
                <w:sz w:val="21"/>
                <w:szCs w:val="21"/>
                <w:vertAlign w:val="superscript"/>
              </w:rPr>
              <w:t>3</w:t>
            </w:r>
          </w:p>
        </w:tc>
        <w:tc>
          <w:tcPr>
            <w:tcW w:w="112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单位产品排放量kg/t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93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水泥窑及窑磨一体机</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0.09</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200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0.60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800</w:t>
            </w:r>
          </w:p>
        </w:tc>
        <w:tc>
          <w:tcPr>
            <w:tcW w:w="112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93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烘干机、烘干磨、煤磨及冷却机</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0.09</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4" w:hRule="atLeast"/>
          <w:jc w:val="center"/>
        </w:trPr>
        <w:tc>
          <w:tcPr>
            <w:tcW w:w="193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破碎机、磨机、包装机、及其它通风生产设备</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0.024</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193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水泥仓及其它通风生产设备</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30</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112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表1-5  水泥厂作业场所颗粒物无阻织排放限值</w:t>
      </w:r>
    </w:p>
    <w:tbl>
      <w:tblPr>
        <w:tblStyle w:val="20"/>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1"/>
        <w:gridCol w:w="2568"/>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2681" w:type="dxa"/>
            <w:noWrap w:val="0"/>
            <w:vAlign w:val="center"/>
          </w:tcPr>
          <w:p>
            <w:pPr>
              <w:spacing w:line="480" w:lineRule="exact"/>
              <w:jc w:val="center"/>
              <w:rPr>
                <w:rFonts w:hint="eastAsia" w:ascii="宋体" w:hAnsi="宋体"/>
                <w:sz w:val="21"/>
                <w:szCs w:val="21"/>
              </w:rPr>
            </w:pPr>
            <w:r>
              <w:rPr>
                <w:rFonts w:hint="eastAsia" w:ascii="宋体" w:hAnsi="宋体"/>
                <w:sz w:val="21"/>
                <w:szCs w:val="21"/>
              </w:rPr>
              <w:t>作业场所</w:t>
            </w:r>
          </w:p>
        </w:tc>
        <w:tc>
          <w:tcPr>
            <w:tcW w:w="256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颗粒物无组织排放监控点</w:t>
            </w:r>
          </w:p>
        </w:tc>
        <w:tc>
          <w:tcPr>
            <w:tcW w:w="256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浓度限值*</w:t>
            </w:r>
            <w:r>
              <w:rPr>
                <w:rFonts w:hint="eastAsia" w:ascii="宋体" w:hAnsi="宋体"/>
                <w:sz w:val="21"/>
                <w:szCs w:val="21"/>
                <w:vertAlign w:val="superscript"/>
              </w:rPr>
              <w:t>1</w:t>
            </w:r>
            <w:r>
              <w:rPr>
                <w:rFonts w:hint="eastAsia" w:ascii="宋体" w:hAnsi="宋体"/>
                <w:sz w:val="21"/>
                <w:szCs w:val="21"/>
              </w:rPr>
              <w:t>，mg/m</w:t>
            </w:r>
            <w:r>
              <w:rPr>
                <w:rFonts w:hint="eastAsia" w:ascii="宋体" w:hAnsi="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2681" w:type="dxa"/>
            <w:noWrap w:val="0"/>
            <w:vAlign w:val="center"/>
          </w:tcPr>
          <w:p>
            <w:pPr>
              <w:spacing w:line="480" w:lineRule="exact"/>
              <w:jc w:val="center"/>
              <w:rPr>
                <w:rFonts w:hint="eastAsia" w:ascii="宋体" w:hAnsi="宋体"/>
                <w:sz w:val="21"/>
                <w:szCs w:val="21"/>
              </w:rPr>
            </w:pPr>
            <w:r>
              <w:rPr>
                <w:rFonts w:hint="eastAsia" w:ascii="宋体" w:hAnsi="宋体"/>
                <w:sz w:val="21"/>
                <w:szCs w:val="21"/>
              </w:rPr>
              <w:t>水泥厂（含粉磨站）</w:t>
            </w:r>
          </w:p>
        </w:tc>
        <w:tc>
          <w:tcPr>
            <w:tcW w:w="256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厂界外20m处</w:t>
            </w:r>
          </w:p>
        </w:tc>
        <w:tc>
          <w:tcPr>
            <w:tcW w:w="2568"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1.0（扣除参考值）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7817" w:type="dxa"/>
            <w:gridSpan w:val="3"/>
            <w:noWrap w:val="0"/>
            <w:vAlign w:val="center"/>
          </w:tcPr>
          <w:p>
            <w:pPr>
              <w:spacing w:line="480" w:lineRule="exact"/>
              <w:jc w:val="center"/>
              <w:rPr>
                <w:rFonts w:hint="eastAsia" w:ascii="宋体" w:hAnsi="宋体"/>
                <w:sz w:val="21"/>
                <w:szCs w:val="21"/>
              </w:rPr>
            </w:pPr>
            <w:r>
              <w:rPr>
                <w:rFonts w:hint="eastAsia" w:ascii="宋体" w:hAnsi="宋体"/>
                <w:sz w:val="21"/>
                <w:szCs w:val="21"/>
              </w:rPr>
              <w:t>*</w:t>
            </w:r>
            <w:r>
              <w:rPr>
                <w:rFonts w:hint="eastAsia" w:ascii="宋体" w:hAnsi="宋体"/>
                <w:sz w:val="21"/>
                <w:szCs w:val="21"/>
                <w:vertAlign w:val="superscript"/>
              </w:rPr>
              <w:t>1</w:t>
            </w:r>
            <w:r>
              <w:rPr>
                <w:rFonts w:hint="eastAsia" w:ascii="宋体" w:hAnsi="宋体"/>
                <w:sz w:val="21"/>
                <w:szCs w:val="21"/>
              </w:rPr>
              <w:t>指监控点处的总悬浮颗粒物（TSP）一小时浓度值</w:t>
            </w:r>
          </w:p>
        </w:tc>
      </w:tr>
    </w:tbl>
    <w:p>
      <w:pPr>
        <w:jc w:val="center"/>
        <w:rPr>
          <w:rFonts w:hint="eastAsia" w:ascii="宋体" w:hAnsi="宋体"/>
          <w:b/>
        </w:rPr>
      </w:pPr>
    </w:p>
    <w:p>
      <w:pPr>
        <w:spacing w:line="480" w:lineRule="exact"/>
        <w:jc w:val="center"/>
        <w:rPr>
          <w:rFonts w:hint="eastAsia" w:ascii="宋体" w:hAnsi="宋体"/>
          <w:b/>
        </w:rPr>
      </w:pPr>
      <w:r>
        <w:rPr>
          <w:rFonts w:hint="eastAsia" w:ascii="宋体" w:hAnsi="宋体"/>
          <w:b/>
        </w:rPr>
        <w:t>表1-6 水泥生产设备排气筒最低允许高度</w:t>
      </w:r>
    </w:p>
    <w:tbl>
      <w:tblPr>
        <w:tblStyle w:val="20"/>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2259"/>
        <w:gridCol w:w="1062"/>
        <w:gridCol w:w="1328"/>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50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生产设备名称</w:t>
            </w:r>
          </w:p>
        </w:tc>
        <w:tc>
          <w:tcPr>
            <w:tcW w:w="225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水泥窑及窑磨一体机</w:t>
            </w:r>
          </w:p>
        </w:tc>
        <w:tc>
          <w:tcPr>
            <w:tcW w:w="3719" w:type="dxa"/>
            <w:gridSpan w:val="3"/>
            <w:noWrap w:val="0"/>
            <w:vAlign w:val="center"/>
          </w:tcPr>
          <w:p>
            <w:pPr>
              <w:spacing w:line="460" w:lineRule="exact"/>
              <w:jc w:val="center"/>
              <w:rPr>
                <w:rFonts w:hint="eastAsia" w:ascii="宋体" w:hAnsi="宋体"/>
                <w:sz w:val="21"/>
                <w:szCs w:val="21"/>
              </w:rPr>
            </w:pPr>
            <w:r>
              <w:rPr>
                <w:rFonts w:hint="eastAsia" w:ascii="宋体" w:hAnsi="宋体"/>
                <w:sz w:val="21"/>
                <w:szCs w:val="21"/>
              </w:rPr>
              <w:t>烘干机、烘干磨、煤磨及冷却机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50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单线（机）生产能力，t/d</w:t>
            </w:r>
          </w:p>
        </w:tc>
        <w:tc>
          <w:tcPr>
            <w:tcW w:w="225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＞1200</w:t>
            </w:r>
          </w:p>
        </w:tc>
        <w:tc>
          <w:tcPr>
            <w:tcW w:w="106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≤500</w:t>
            </w:r>
          </w:p>
        </w:tc>
        <w:tc>
          <w:tcPr>
            <w:tcW w:w="132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＞500～1000</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0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最低允许高度（m）</w:t>
            </w:r>
          </w:p>
        </w:tc>
        <w:tc>
          <w:tcPr>
            <w:tcW w:w="225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80</w:t>
            </w:r>
          </w:p>
        </w:tc>
        <w:tc>
          <w:tcPr>
            <w:tcW w:w="106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20</w:t>
            </w:r>
          </w:p>
        </w:tc>
        <w:tc>
          <w:tcPr>
            <w:tcW w:w="132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25</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50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生产设备名称</w:t>
            </w:r>
          </w:p>
        </w:tc>
        <w:tc>
          <w:tcPr>
            <w:tcW w:w="5978" w:type="dxa"/>
            <w:gridSpan w:val="4"/>
            <w:noWrap w:val="0"/>
            <w:vAlign w:val="center"/>
          </w:tcPr>
          <w:p>
            <w:pPr>
              <w:spacing w:line="460" w:lineRule="exact"/>
              <w:jc w:val="center"/>
              <w:rPr>
                <w:rFonts w:hint="eastAsia" w:ascii="宋体" w:hAnsi="宋体"/>
                <w:sz w:val="21"/>
                <w:szCs w:val="21"/>
              </w:rPr>
            </w:pPr>
            <w:r>
              <w:rPr>
                <w:rFonts w:hint="eastAsia" w:ascii="宋体" w:hAnsi="宋体"/>
                <w:sz w:val="21"/>
                <w:szCs w:val="21"/>
              </w:rPr>
              <w:t>破碎机、磨机、包装机及其它通风生产设备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508"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最低允许高度</w:t>
            </w:r>
          </w:p>
        </w:tc>
        <w:tc>
          <w:tcPr>
            <w:tcW w:w="5978" w:type="dxa"/>
            <w:gridSpan w:val="4"/>
            <w:noWrap w:val="0"/>
            <w:vAlign w:val="center"/>
          </w:tcPr>
          <w:p>
            <w:pPr>
              <w:spacing w:line="460" w:lineRule="exact"/>
              <w:jc w:val="center"/>
              <w:rPr>
                <w:rFonts w:hint="eastAsia" w:ascii="宋体" w:hAnsi="宋体"/>
                <w:sz w:val="21"/>
                <w:szCs w:val="21"/>
              </w:rPr>
            </w:pPr>
            <w:r>
              <w:rPr>
                <w:rFonts w:hint="eastAsia" w:ascii="宋体" w:hAnsi="宋体"/>
                <w:sz w:val="21"/>
                <w:szCs w:val="21"/>
              </w:rPr>
              <w:t>高于本体建筑物3m以上</w:t>
            </w:r>
          </w:p>
        </w:tc>
      </w:tr>
    </w:tbl>
    <w:p>
      <w:pPr>
        <w:spacing w:line="460" w:lineRule="exact"/>
        <w:ind w:firstLine="516"/>
        <w:rPr>
          <w:rFonts w:hint="eastAsia" w:ascii="宋体" w:hAnsi="宋体"/>
        </w:rPr>
      </w:pPr>
    </w:p>
    <w:p>
      <w:pPr>
        <w:spacing w:line="480" w:lineRule="exact"/>
        <w:ind w:firstLine="420" w:firstLineChars="200"/>
        <w:rPr>
          <w:rFonts w:hint="eastAsia" w:ascii="宋体" w:hAnsi="宋体"/>
        </w:rPr>
      </w:pPr>
      <w:r>
        <w:rPr>
          <w:rFonts w:hint="eastAsia" w:ascii="宋体" w:hAnsi="宋体"/>
        </w:rPr>
        <w:t>废水：技改项目排放废水执行《污水综合排放标准》（GB8978-1996，1998年1月1日后的时段）中一级排放标准。相关标准值见表1-7。</w:t>
      </w:r>
    </w:p>
    <w:p>
      <w:pPr>
        <w:spacing w:line="480" w:lineRule="exact"/>
        <w:jc w:val="center"/>
        <w:rPr>
          <w:rFonts w:hint="eastAsia" w:ascii="宋体" w:hAnsi="宋体"/>
          <w:b/>
        </w:rPr>
      </w:pPr>
      <w:r>
        <w:rPr>
          <w:rFonts w:hint="eastAsia" w:ascii="宋体" w:hAnsi="宋体"/>
          <w:b/>
        </w:rPr>
        <w:t>表1-7  污水综合排放标准（</w:t>
      </w:r>
      <w:r>
        <w:rPr>
          <w:rFonts w:ascii="宋体" w:hAnsi="宋体"/>
          <w:b/>
        </w:rPr>
        <w:t>mg/</w:t>
      </w:r>
      <w:r>
        <w:rPr>
          <w:rFonts w:hint="eastAsia" w:ascii="宋体" w:hAnsi="宋体"/>
          <w:b/>
        </w:rPr>
        <w:t xml:space="preserve">L）       </w:t>
      </w:r>
      <w:r>
        <w:rPr>
          <w:rFonts w:hint="eastAsia" w:ascii="宋体" w:hAnsi="宋体"/>
          <w:szCs w:val="21"/>
        </w:rPr>
        <w:t>单位：</w:t>
      </w:r>
      <w:r>
        <w:rPr>
          <w:rFonts w:ascii="宋体" w:hAnsi="宋体"/>
          <w:szCs w:val="21"/>
        </w:rPr>
        <w:t>mg/</w:t>
      </w:r>
      <w:r>
        <w:rPr>
          <w:rFonts w:hint="eastAsia" w:ascii="宋体" w:hAnsi="宋体"/>
          <w:szCs w:val="21"/>
        </w:rPr>
        <w:t>l</w:t>
      </w:r>
    </w:p>
    <w:tbl>
      <w:tblPr>
        <w:tblStyle w:val="20"/>
        <w:tblW w:w="7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93"/>
        <w:gridCol w:w="1193"/>
        <w:gridCol w:w="1194"/>
        <w:gridCol w:w="1193"/>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80" w:type="dxa"/>
            <w:noWrap w:val="0"/>
            <w:vAlign w:val="center"/>
          </w:tcPr>
          <w:p>
            <w:pPr>
              <w:spacing w:line="480" w:lineRule="exact"/>
              <w:jc w:val="center"/>
              <w:rPr>
                <w:rFonts w:hint="eastAsia" w:ascii="宋体" w:hAnsi="宋体"/>
                <w:sz w:val="21"/>
                <w:szCs w:val="21"/>
              </w:rPr>
            </w:pPr>
            <w:r>
              <w:rPr>
                <w:rFonts w:hint="eastAsia" w:ascii="宋体" w:hAnsi="宋体"/>
                <w:sz w:val="21"/>
                <w:szCs w:val="21"/>
              </w:rPr>
              <w:t>污染物</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pH</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COD</w:t>
            </w:r>
          </w:p>
        </w:tc>
        <w:tc>
          <w:tcPr>
            <w:tcW w:w="1194" w:type="dxa"/>
            <w:noWrap w:val="0"/>
            <w:vAlign w:val="center"/>
          </w:tcPr>
          <w:p>
            <w:pPr>
              <w:spacing w:line="480" w:lineRule="exact"/>
              <w:jc w:val="center"/>
              <w:rPr>
                <w:rFonts w:hint="eastAsia" w:ascii="宋体" w:hAnsi="宋体"/>
                <w:sz w:val="21"/>
                <w:szCs w:val="21"/>
              </w:rPr>
            </w:pPr>
            <w:r>
              <w:rPr>
                <w:rFonts w:hint="eastAsia" w:ascii="宋体" w:hAnsi="宋体"/>
                <w:sz w:val="21"/>
                <w:szCs w:val="21"/>
              </w:rPr>
              <w:t>SS</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1194" w:type="dxa"/>
            <w:noWrap w:val="0"/>
            <w:vAlign w:val="center"/>
          </w:tcPr>
          <w:p>
            <w:pPr>
              <w:spacing w:line="480" w:lineRule="exact"/>
              <w:jc w:val="center"/>
              <w:rPr>
                <w:rFonts w:hint="eastAsia" w:ascii="宋体" w:hAnsi="宋体"/>
                <w:sz w:val="21"/>
                <w:szCs w:val="21"/>
              </w:rPr>
            </w:pPr>
            <w:r>
              <w:rPr>
                <w:rFonts w:hint="eastAsia" w:ascii="宋体" w:hAnsi="宋体"/>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980" w:type="dxa"/>
            <w:noWrap w:val="0"/>
            <w:vAlign w:val="center"/>
          </w:tcPr>
          <w:p>
            <w:pPr>
              <w:spacing w:line="480" w:lineRule="exact"/>
              <w:jc w:val="center"/>
              <w:rPr>
                <w:rFonts w:hint="eastAsia" w:ascii="宋体" w:hAnsi="宋体"/>
                <w:sz w:val="21"/>
                <w:szCs w:val="21"/>
              </w:rPr>
            </w:pPr>
            <w:r>
              <w:rPr>
                <w:rFonts w:hint="eastAsia" w:ascii="宋体" w:hAnsi="宋体"/>
                <w:sz w:val="21"/>
                <w:szCs w:val="21"/>
              </w:rPr>
              <w:t>最高允许排放浓度</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6～9</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100</w:t>
            </w:r>
          </w:p>
        </w:tc>
        <w:tc>
          <w:tcPr>
            <w:tcW w:w="1194" w:type="dxa"/>
            <w:noWrap w:val="0"/>
            <w:vAlign w:val="center"/>
          </w:tcPr>
          <w:p>
            <w:pPr>
              <w:spacing w:line="480" w:lineRule="exact"/>
              <w:jc w:val="center"/>
              <w:rPr>
                <w:rFonts w:hint="eastAsia" w:ascii="宋体" w:hAnsi="宋体"/>
                <w:sz w:val="21"/>
                <w:szCs w:val="21"/>
              </w:rPr>
            </w:pPr>
            <w:r>
              <w:rPr>
                <w:rFonts w:hint="eastAsia" w:ascii="宋体" w:hAnsi="宋体"/>
                <w:sz w:val="21"/>
                <w:szCs w:val="21"/>
              </w:rPr>
              <w:t>70</w:t>
            </w:r>
          </w:p>
        </w:tc>
        <w:tc>
          <w:tcPr>
            <w:tcW w:w="1193" w:type="dxa"/>
            <w:noWrap w:val="0"/>
            <w:vAlign w:val="center"/>
          </w:tcPr>
          <w:p>
            <w:pPr>
              <w:spacing w:line="480" w:lineRule="exact"/>
              <w:jc w:val="center"/>
              <w:rPr>
                <w:rFonts w:hint="eastAsia" w:ascii="宋体" w:hAnsi="宋体"/>
                <w:sz w:val="21"/>
                <w:szCs w:val="21"/>
              </w:rPr>
            </w:pPr>
            <w:r>
              <w:rPr>
                <w:rFonts w:hint="eastAsia" w:ascii="宋体" w:hAnsi="宋体"/>
                <w:sz w:val="21"/>
                <w:szCs w:val="21"/>
              </w:rPr>
              <w:t>15</w:t>
            </w:r>
          </w:p>
        </w:tc>
        <w:tc>
          <w:tcPr>
            <w:tcW w:w="1194" w:type="dxa"/>
            <w:noWrap w:val="0"/>
            <w:vAlign w:val="center"/>
          </w:tcPr>
          <w:p>
            <w:pPr>
              <w:spacing w:line="480" w:lineRule="exact"/>
              <w:jc w:val="center"/>
              <w:rPr>
                <w:rFonts w:hint="eastAsia" w:ascii="宋体" w:hAnsi="宋体"/>
                <w:sz w:val="21"/>
                <w:szCs w:val="21"/>
              </w:rPr>
            </w:pPr>
            <w:r>
              <w:rPr>
                <w:rFonts w:hint="eastAsia" w:ascii="宋体" w:hAnsi="宋体"/>
                <w:sz w:val="21"/>
                <w:szCs w:val="21"/>
              </w:rPr>
              <w:t>5</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噪声：厂界执行《工业企业厂界噪声标准》（GB12348-2008）中2类标准，即昼间60</w:t>
      </w:r>
      <w:r>
        <w:rPr>
          <w:rFonts w:ascii="宋体" w:hAnsi="宋体"/>
        </w:rPr>
        <w:t>dB</w:t>
      </w:r>
      <w:r>
        <w:rPr>
          <w:rFonts w:hint="eastAsia" w:ascii="宋体" w:hAnsi="宋体"/>
        </w:rPr>
        <w:t>，夜间50</w:t>
      </w:r>
      <w:r>
        <w:rPr>
          <w:rFonts w:ascii="宋体" w:hAnsi="宋体"/>
        </w:rPr>
        <w:t>dB</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施工噪声执行《建筑施工场界噪声限值》（GB12523-90），与技改项目相关的噪声限值见表1-8。</w:t>
      </w:r>
    </w:p>
    <w:p>
      <w:pPr>
        <w:spacing w:line="480" w:lineRule="exact"/>
        <w:ind w:firstLine="422" w:firstLineChars="200"/>
        <w:jc w:val="center"/>
        <w:rPr>
          <w:rFonts w:ascii="宋体" w:hAnsi="宋体"/>
          <w:b/>
          <w:szCs w:val="21"/>
        </w:rPr>
      </w:pPr>
      <w:r>
        <w:rPr>
          <w:rFonts w:hint="eastAsia" w:ascii="宋体" w:hAnsi="宋体"/>
          <w:b/>
        </w:rPr>
        <w:t xml:space="preserve">表1-8  建筑施工场界噪声限值   </w:t>
      </w:r>
      <w:r>
        <w:rPr>
          <w:rFonts w:ascii="宋体" w:hAnsi="宋体"/>
          <w:b/>
        </w:rPr>
        <w:t xml:space="preserve"> </w:t>
      </w:r>
      <w:r>
        <w:rPr>
          <w:rFonts w:hint="eastAsia" w:ascii="宋体" w:hAnsi="宋体"/>
          <w:b/>
        </w:rPr>
        <w:t>单位：</w:t>
      </w:r>
      <w:r>
        <w:rPr>
          <w:rFonts w:hint="eastAsia" w:ascii="宋体" w:hAnsi="宋体"/>
          <w:b/>
          <w:szCs w:val="21"/>
        </w:rPr>
        <w:t>等效声级</w:t>
      </w:r>
      <w:r>
        <w:rPr>
          <w:rFonts w:ascii="宋体" w:hAnsi="宋体"/>
          <w:b/>
          <w:szCs w:val="21"/>
        </w:rPr>
        <w:t xml:space="preserve"> dB</w:t>
      </w:r>
    </w:p>
    <w:tbl>
      <w:tblPr>
        <w:tblStyle w:val="20"/>
        <w:tblW w:w="7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3170"/>
        <w:gridCol w:w="1103"/>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2" w:type="dxa"/>
            <w:vMerge w:val="restart"/>
            <w:noWrap w:val="0"/>
            <w:vAlign w:val="center"/>
          </w:tcPr>
          <w:p>
            <w:pPr>
              <w:spacing w:line="460" w:lineRule="exact"/>
              <w:jc w:val="center"/>
              <w:rPr>
                <w:rFonts w:hint="eastAsia" w:ascii="宋体" w:hAnsi="宋体"/>
                <w:sz w:val="21"/>
                <w:szCs w:val="21"/>
              </w:rPr>
            </w:pPr>
            <w:r>
              <w:rPr>
                <w:rFonts w:hint="eastAsia" w:ascii="宋体" w:hAnsi="宋体"/>
                <w:sz w:val="21"/>
                <w:szCs w:val="21"/>
              </w:rPr>
              <w:t>施工阶段</w:t>
            </w:r>
          </w:p>
        </w:tc>
        <w:tc>
          <w:tcPr>
            <w:tcW w:w="3170" w:type="dxa"/>
            <w:vMerge w:val="restart"/>
            <w:noWrap w:val="0"/>
            <w:vAlign w:val="center"/>
          </w:tcPr>
          <w:p>
            <w:pPr>
              <w:spacing w:line="460" w:lineRule="exact"/>
              <w:jc w:val="center"/>
              <w:rPr>
                <w:rFonts w:hint="eastAsia" w:ascii="宋体" w:hAnsi="宋体"/>
                <w:sz w:val="21"/>
                <w:szCs w:val="21"/>
              </w:rPr>
            </w:pPr>
            <w:r>
              <w:rPr>
                <w:rFonts w:hint="eastAsia" w:ascii="宋体" w:hAnsi="宋体"/>
                <w:sz w:val="21"/>
                <w:szCs w:val="21"/>
              </w:rPr>
              <w:t>主 要 噪 声 源</w:t>
            </w:r>
          </w:p>
        </w:tc>
        <w:tc>
          <w:tcPr>
            <w:tcW w:w="2432" w:type="dxa"/>
            <w:gridSpan w:val="2"/>
            <w:noWrap w:val="0"/>
            <w:vAlign w:val="center"/>
          </w:tcPr>
          <w:p>
            <w:pPr>
              <w:spacing w:line="460" w:lineRule="exact"/>
              <w:jc w:val="center"/>
              <w:rPr>
                <w:rFonts w:hint="eastAsia" w:ascii="宋体" w:hAnsi="宋体"/>
                <w:sz w:val="21"/>
                <w:szCs w:val="21"/>
              </w:rPr>
            </w:pPr>
            <w:r>
              <w:rPr>
                <w:rFonts w:hint="eastAsia" w:ascii="宋体" w:hAnsi="宋体"/>
                <w:sz w:val="21"/>
                <w:szCs w:val="21"/>
              </w:rPr>
              <w:t>噪声限值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82" w:type="dxa"/>
            <w:vMerge w:val="continue"/>
            <w:noWrap w:val="0"/>
            <w:vAlign w:val="center"/>
          </w:tcPr>
          <w:p>
            <w:pPr>
              <w:spacing w:line="460" w:lineRule="exact"/>
              <w:jc w:val="center"/>
              <w:rPr>
                <w:rFonts w:hint="eastAsia" w:ascii="宋体" w:hAnsi="宋体"/>
                <w:sz w:val="21"/>
                <w:szCs w:val="21"/>
              </w:rPr>
            </w:pPr>
          </w:p>
        </w:tc>
        <w:tc>
          <w:tcPr>
            <w:tcW w:w="3170" w:type="dxa"/>
            <w:vMerge w:val="continue"/>
            <w:noWrap w:val="0"/>
            <w:vAlign w:val="center"/>
          </w:tcPr>
          <w:p>
            <w:pPr>
              <w:spacing w:line="460" w:lineRule="exact"/>
              <w:jc w:val="center"/>
              <w:rPr>
                <w:rFonts w:hint="eastAsia" w:ascii="宋体" w:hAnsi="宋体"/>
                <w:sz w:val="21"/>
                <w:szCs w:val="21"/>
              </w:rPr>
            </w:pPr>
          </w:p>
        </w:tc>
        <w:tc>
          <w:tcPr>
            <w:tcW w:w="1103"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昼间</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土石方</w:t>
            </w:r>
          </w:p>
        </w:tc>
        <w:tc>
          <w:tcPr>
            <w:tcW w:w="3170"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推土机、挖掘机、装载机等</w:t>
            </w:r>
          </w:p>
        </w:tc>
        <w:tc>
          <w:tcPr>
            <w:tcW w:w="1103" w:type="dxa"/>
            <w:noWrap w:val="0"/>
            <w:vAlign w:val="center"/>
          </w:tcPr>
          <w:p>
            <w:pPr>
              <w:spacing w:line="460" w:lineRule="exact"/>
              <w:jc w:val="center"/>
              <w:rPr>
                <w:rFonts w:hint="eastAsia" w:ascii="宋体" w:hAnsi="宋体"/>
                <w:sz w:val="21"/>
                <w:szCs w:val="21"/>
              </w:rPr>
            </w:pPr>
            <w:r>
              <w:rPr>
                <w:rFonts w:hint="eastAsia" w:ascii="宋体" w:hAnsi="宋体"/>
                <w:sz w:val="21"/>
                <w:szCs w:val="21"/>
              </w:rPr>
              <w:t>75</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打  桩</w:t>
            </w:r>
          </w:p>
        </w:tc>
        <w:tc>
          <w:tcPr>
            <w:tcW w:w="3170" w:type="dxa"/>
            <w:noWrap w:val="0"/>
            <w:vAlign w:val="center"/>
          </w:tcPr>
          <w:p>
            <w:pPr>
              <w:spacing w:line="460" w:lineRule="exact"/>
              <w:jc w:val="center"/>
              <w:rPr>
                <w:rFonts w:hint="eastAsia" w:ascii="宋体" w:hAnsi="宋体"/>
                <w:sz w:val="21"/>
                <w:szCs w:val="21"/>
              </w:rPr>
            </w:pPr>
            <w:r>
              <w:rPr>
                <w:rFonts w:hint="eastAsia" w:ascii="宋体" w:hAnsi="宋体"/>
                <w:sz w:val="21"/>
                <w:szCs w:val="21"/>
              </w:rPr>
              <w:t>各种打桩机等</w:t>
            </w:r>
          </w:p>
        </w:tc>
        <w:tc>
          <w:tcPr>
            <w:tcW w:w="1103" w:type="dxa"/>
            <w:noWrap w:val="0"/>
            <w:vAlign w:val="center"/>
          </w:tcPr>
          <w:p>
            <w:pPr>
              <w:spacing w:line="460" w:lineRule="exact"/>
              <w:jc w:val="center"/>
              <w:rPr>
                <w:rFonts w:hint="eastAsia" w:ascii="宋体" w:hAnsi="宋体"/>
                <w:sz w:val="21"/>
                <w:szCs w:val="21"/>
              </w:rPr>
            </w:pPr>
            <w:r>
              <w:rPr>
                <w:rFonts w:hint="eastAsia" w:ascii="宋体" w:hAnsi="宋体"/>
                <w:sz w:val="21"/>
                <w:szCs w:val="21"/>
              </w:rPr>
              <w:t>85</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禁止施工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结  构</w:t>
            </w:r>
          </w:p>
        </w:tc>
        <w:tc>
          <w:tcPr>
            <w:tcW w:w="3170" w:type="dxa"/>
            <w:noWrap w:val="0"/>
            <w:vAlign w:val="center"/>
          </w:tcPr>
          <w:p>
            <w:pPr>
              <w:spacing w:line="460" w:lineRule="exact"/>
              <w:jc w:val="center"/>
              <w:rPr>
                <w:rFonts w:hint="eastAsia" w:ascii="宋体" w:hAnsi="宋体"/>
                <w:sz w:val="21"/>
                <w:szCs w:val="21"/>
              </w:rPr>
            </w:pPr>
            <w:r>
              <w:rPr>
                <w:rFonts w:hint="eastAsia" w:ascii="宋体" w:hAnsi="宋体"/>
                <w:sz w:val="21"/>
                <w:szCs w:val="21"/>
              </w:rPr>
              <w:t>振捣棒、电锯等</w:t>
            </w:r>
          </w:p>
        </w:tc>
        <w:tc>
          <w:tcPr>
            <w:tcW w:w="1103" w:type="dxa"/>
            <w:noWrap w:val="0"/>
            <w:vAlign w:val="center"/>
          </w:tcPr>
          <w:p>
            <w:pPr>
              <w:spacing w:line="460" w:lineRule="exact"/>
              <w:jc w:val="center"/>
              <w:rPr>
                <w:rFonts w:hint="eastAsia" w:ascii="宋体" w:hAnsi="宋体"/>
                <w:sz w:val="21"/>
                <w:szCs w:val="21"/>
              </w:rPr>
            </w:pPr>
            <w:r>
              <w:rPr>
                <w:rFonts w:hint="eastAsia" w:ascii="宋体" w:hAnsi="宋体"/>
                <w:sz w:val="21"/>
                <w:szCs w:val="21"/>
              </w:rPr>
              <w:t>70</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center"/>
          </w:tcPr>
          <w:p>
            <w:pPr>
              <w:spacing w:line="460" w:lineRule="exact"/>
              <w:jc w:val="center"/>
              <w:rPr>
                <w:rFonts w:hint="eastAsia" w:ascii="宋体" w:hAnsi="宋体"/>
                <w:sz w:val="21"/>
                <w:szCs w:val="21"/>
              </w:rPr>
            </w:pPr>
            <w:r>
              <w:rPr>
                <w:rFonts w:hint="eastAsia" w:ascii="宋体" w:hAnsi="宋体"/>
                <w:sz w:val="21"/>
                <w:szCs w:val="21"/>
              </w:rPr>
              <w:t>装  修</w:t>
            </w:r>
          </w:p>
        </w:tc>
        <w:tc>
          <w:tcPr>
            <w:tcW w:w="3170" w:type="dxa"/>
            <w:noWrap w:val="0"/>
            <w:vAlign w:val="center"/>
          </w:tcPr>
          <w:p>
            <w:pPr>
              <w:spacing w:line="460" w:lineRule="exact"/>
              <w:jc w:val="center"/>
              <w:rPr>
                <w:rFonts w:hint="eastAsia" w:ascii="宋体" w:hAnsi="宋体"/>
                <w:sz w:val="21"/>
                <w:szCs w:val="21"/>
              </w:rPr>
            </w:pPr>
            <w:r>
              <w:rPr>
                <w:rFonts w:hint="eastAsia" w:ascii="宋体" w:hAnsi="宋体"/>
                <w:sz w:val="21"/>
                <w:szCs w:val="21"/>
              </w:rPr>
              <w:t>吊车、升降机等</w:t>
            </w:r>
          </w:p>
        </w:tc>
        <w:tc>
          <w:tcPr>
            <w:tcW w:w="1103" w:type="dxa"/>
            <w:noWrap w:val="0"/>
            <w:vAlign w:val="center"/>
          </w:tcPr>
          <w:p>
            <w:pPr>
              <w:spacing w:line="460" w:lineRule="exact"/>
              <w:jc w:val="center"/>
              <w:rPr>
                <w:rFonts w:hint="eastAsia" w:ascii="宋体" w:hAnsi="宋体"/>
                <w:sz w:val="21"/>
                <w:szCs w:val="21"/>
              </w:rPr>
            </w:pPr>
            <w:r>
              <w:rPr>
                <w:rFonts w:hint="eastAsia" w:ascii="宋体" w:hAnsi="宋体"/>
                <w:sz w:val="21"/>
                <w:szCs w:val="21"/>
              </w:rPr>
              <w:t>65</w:t>
            </w:r>
          </w:p>
        </w:tc>
        <w:tc>
          <w:tcPr>
            <w:tcW w:w="1329" w:type="dxa"/>
            <w:noWrap w:val="0"/>
            <w:vAlign w:val="center"/>
          </w:tcPr>
          <w:p>
            <w:pPr>
              <w:spacing w:line="460" w:lineRule="exact"/>
              <w:jc w:val="center"/>
              <w:rPr>
                <w:rFonts w:hint="eastAsia" w:ascii="宋体" w:hAnsi="宋体"/>
                <w:sz w:val="21"/>
                <w:szCs w:val="21"/>
              </w:rPr>
            </w:pPr>
            <w:r>
              <w:rPr>
                <w:rFonts w:hint="eastAsia" w:ascii="宋体" w:hAnsi="宋体"/>
                <w:sz w:val="21"/>
                <w:szCs w:val="21"/>
              </w:rPr>
              <w:t>55</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固体废物：执行《一般工业固体废物贮存、处置场污染控制标准》（GB18599-2001）。</w:t>
      </w:r>
    </w:p>
    <w:p>
      <w:pPr>
        <w:spacing w:before="24" w:beforeLines="10" w:after="24" w:afterLines="10" w:line="360" w:lineRule="auto"/>
        <w:outlineLvl w:val="1"/>
        <w:rPr>
          <w:rFonts w:hint="eastAsia"/>
          <w:b/>
        </w:rPr>
      </w:pPr>
      <w:bookmarkStart w:id="23" w:name="_Toc473281481"/>
      <w:bookmarkStart w:id="24" w:name="_Toc189814123"/>
      <w:bookmarkStart w:id="25" w:name="_Toc175479777"/>
    </w:p>
    <w:p>
      <w:pPr>
        <w:spacing w:before="24" w:beforeLines="10" w:after="24" w:afterLines="10" w:line="360" w:lineRule="auto"/>
        <w:outlineLvl w:val="1"/>
        <w:rPr>
          <w:rFonts w:hint="eastAsia"/>
          <w:b/>
        </w:rPr>
      </w:pPr>
      <w:bookmarkStart w:id="26" w:name="_Toc276372216"/>
      <w:r>
        <w:rPr>
          <w:rFonts w:hint="eastAsia"/>
          <w:b/>
        </w:rPr>
        <w:t>1</w:t>
      </w:r>
      <w:r>
        <w:rPr>
          <w:b/>
        </w:rPr>
        <w:t>.</w:t>
      </w:r>
      <w:bookmarkEnd w:id="23"/>
      <w:bookmarkEnd w:id="24"/>
      <w:bookmarkEnd w:id="25"/>
      <w:bookmarkStart w:id="27" w:name="_Toc175479778"/>
      <w:bookmarkStart w:id="28" w:name="_Toc189814124"/>
      <w:bookmarkStart w:id="29" w:name="_Toc109139972"/>
      <w:bookmarkStart w:id="30" w:name="_Toc473281482"/>
      <w:r>
        <w:rPr>
          <w:rFonts w:hint="eastAsia"/>
          <w:b/>
        </w:rPr>
        <w:t>6 评价等级</w:t>
      </w:r>
      <w:bookmarkEnd w:id="26"/>
      <w:bookmarkEnd w:id="27"/>
      <w:bookmarkEnd w:id="28"/>
      <w:bookmarkEnd w:id="29"/>
      <w:bookmarkEnd w:id="30"/>
    </w:p>
    <w:p>
      <w:pPr>
        <w:spacing w:before="24" w:beforeLines="10" w:after="24" w:afterLines="10" w:line="360" w:lineRule="auto"/>
        <w:rPr>
          <w:rFonts w:hint="eastAsia"/>
          <w:b/>
        </w:rPr>
      </w:pPr>
      <w:r>
        <w:rPr>
          <w:rFonts w:hint="eastAsia"/>
          <w:b/>
        </w:rPr>
        <w:t>1.6.1 大气</w:t>
      </w:r>
    </w:p>
    <w:p>
      <w:pPr>
        <w:spacing w:line="360" w:lineRule="auto"/>
        <w:ind w:firstLine="420" w:firstLineChars="200"/>
        <w:rPr>
          <w:rFonts w:hint="eastAsia"/>
        </w:rPr>
      </w:pPr>
      <w:r>
        <w:t>根据《环境影响评价技术导则大气环境》（HJ/T 2.2－</w:t>
      </w:r>
      <w:r>
        <w:rPr>
          <w:rFonts w:hint="eastAsia"/>
        </w:rPr>
        <w:t>2008</w:t>
      </w:r>
      <w:r>
        <w:t>），</w:t>
      </w:r>
      <w:r>
        <w:rPr>
          <w:rFonts w:hint="eastAsia"/>
        </w:rPr>
        <w:t>大气评价等级的确定需计算</w:t>
      </w:r>
      <w:r>
        <w:t>大气污染物</w:t>
      </w:r>
      <w:r>
        <w:rPr>
          <w:rFonts w:hint="eastAsia"/>
        </w:rPr>
        <w:t>i</w:t>
      </w:r>
      <w:r>
        <w:t>的</w:t>
      </w:r>
      <w:r>
        <w:rPr>
          <w:rFonts w:hint="eastAsia"/>
        </w:rPr>
        <w:t>最大地面浓度占标率</w:t>
      </w:r>
      <w:r>
        <w:t>P</w:t>
      </w:r>
      <w:r>
        <w:rPr>
          <w:vertAlign w:val="subscript"/>
        </w:rPr>
        <w:t>i</w:t>
      </w:r>
      <w:r>
        <w:rPr>
          <w:rFonts w:hint="eastAsia"/>
        </w:rPr>
        <w:t>（第i污染物），及</w:t>
      </w:r>
      <w:r>
        <w:t>大气污染物</w:t>
      </w:r>
      <w:r>
        <w:rPr>
          <w:rFonts w:hint="eastAsia"/>
        </w:rPr>
        <w:t>i地面浓度达标准限值10%时所对应的最远距离D</w:t>
      </w:r>
      <w:r>
        <w:rPr>
          <w:rFonts w:hint="eastAsia"/>
          <w:vertAlign w:val="subscript"/>
        </w:rPr>
        <w:t>10%</w:t>
      </w:r>
      <w:r>
        <w:rPr>
          <w:rFonts w:hint="eastAsia"/>
        </w:rPr>
        <w:t>，其中</w:t>
      </w:r>
      <w:r>
        <w:t>P</w:t>
      </w:r>
      <w:r>
        <w:rPr>
          <w:vertAlign w:val="subscript"/>
        </w:rPr>
        <w:t>i</w:t>
      </w:r>
      <w:r>
        <w:t>定义如下</w:t>
      </w:r>
      <w:r>
        <w:rPr>
          <w:rFonts w:hint="eastAsia"/>
        </w:rPr>
        <w:t>：</w:t>
      </w:r>
    </w:p>
    <w:p>
      <w:pPr>
        <w:spacing w:line="360" w:lineRule="auto"/>
        <w:jc w:val="center"/>
        <w:rPr>
          <w:rFonts w:hint="eastAsia"/>
        </w:rPr>
      </w:pPr>
      <w:r>
        <w:t>P</w:t>
      </w:r>
      <w:r>
        <w:rPr>
          <w:vertAlign w:val="subscript"/>
        </w:rPr>
        <w:t>i</w:t>
      </w:r>
      <w:r>
        <w:t>=</w:t>
      </w:r>
      <w:r>
        <w:rPr>
          <w:rFonts w:hint="eastAsia"/>
        </w:rPr>
        <w:t>C</w:t>
      </w:r>
      <w:r>
        <w:rPr>
          <w:vertAlign w:val="subscript"/>
        </w:rPr>
        <w:t>i</w:t>
      </w:r>
      <w:r>
        <w:t>/C</w:t>
      </w:r>
      <w:r>
        <w:rPr>
          <w:vertAlign w:val="subscript"/>
        </w:rPr>
        <w:t>0i</w:t>
      </w:r>
      <w:r>
        <w:rPr>
          <w:rFonts w:hint="eastAsia" w:ascii="宋体" w:hAnsi="宋体"/>
        </w:rPr>
        <w:t>×</w:t>
      </w:r>
      <w:r>
        <w:t>10</w:t>
      </w:r>
      <w:r>
        <w:rPr>
          <w:rFonts w:hint="eastAsia"/>
        </w:rPr>
        <w:t>0</w:t>
      </w:r>
    </w:p>
    <w:p>
      <w:pPr>
        <w:spacing w:line="360" w:lineRule="auto"/>
        <w:ind w:firstLine="420" w:firstLineChars="200"/>
      </w:pPr>
      <w:r>
        <w:t>式中，P</w:t>
      </w:r>
      <w:r>
        <w:rPr>
          <w:vertAlign w:val="subscript"/>
        </w:rPr>
        <w:t>i</w:t>
      </w:r>
      <w:r>
        <w:t>：第i个污染物的</w:t>
      </w:r>
      <w:r>
        <w:rPr>
          <w:rFonts w:hint="eastAsia"/>
        </w:rPr>
        <w:t>最大地面浓度占标率，%</w:t>
      </w:r>
      <w:r>
        <w:t>；</w:t>
      </w:r>
    </w:p>
    <w:p>
      <w:pPr>
        <w:spacing w:line="360" w:lineRule="auto"/>
        <w:ind w:firstLine="1050" w:firstLineChars="500"/>
      </w:pPr>
      <w:r>
        <w:rPr>
          <w:rFonts w:hint="eastAsia"/>
        </w:rPr>
        <w:t>C</w:t>
      </w:r>
      <w:r>
        <w:rPr>
          <w:vertAlign w:val="subscript"/>
        </w:rPr>
        <w:t>i</w:t>
      </w:r>
      <w:r>
        <w:t>：</w:t>
      </w:r>
      <w:r>
        <w:rPr>
          <w:rFonts w:hint="eastAsia"/>
        </w:rPr>
        <w:t>采用估算模式计算出的</w:t>
      </w:r>
      <w:r>
        <w:t>第i个污染物</w:t>
      </w:r>
      <w:r>
        <w:rPr>
          <w:rFonts w:hint="eastAsia"/>
        </w:rPr>
        <w:t>的最大地面浓度</w:t>
      </w:r>
      <w:r>
        <w:t>，</w:t>
      </w:r>
      <w:r>
        <w:rPr>
          <w:rFonts w:hint="eastAsia"/>
        </w:rPr>
        <w:t>mg/m</w:t>
      </w:r>
      <w:r>
        <w:rPr>
          <w:rFonts w:hint="eastAsia"/>
          <w:vertAlign w:val="superscript"/>
        </w:rPr>
        <w:t>3</w:t>
      </w:r>
      <w:r>
        <w:t>；</w:t>
      </w:r>
    </w:p>
    <w:p>
      <w:pPr>
        <w:spacing w:line="360" w:lineRule="auto"/>
        <w:ind w:firstLine="1050" w:firstLineChars="500"/>
        <w:rPr>
          <w:rFonts w:hint="eastAsia"/>
        </w:rPr>
      </w:pPr>
      <w:r>
        <w:t>C</w:t>
      </w:r>
      <w:r>
        <w:rPr>
          <w:vertAlign w:val="subscript"/>
        </w:rPr>
        <w:t>0i</w:t>
      </w:r>
      <w:r>
        <w:t>：第i个污染物大气环境质量标准（一小时浓度值mg/m</w:t>
      </w:r>
      <w:r>
        <w:rPr>
          <w:vertAlign w:val="superscript"/>
        </w:rPr>
        <w:t>3</w:t>
      </w:r>
      <w:r>
        <w:t>）。</w:t>
      </w:r>
    </w:p>
    <w:p>
      <w:pPr>
        <w:pStyle w:val="28"/>
        <w:ind w:firstLine="480"/>
        <w:rPr>
          <w:rFonts w:hint="eastAsia"/>
        </w:rPr>
      </w:pPr>
      <w:r>
        <w:rPr>
          <w:rFonts w:hint="eastAsia"/>
        </w:rPr>
        <w:t>评价工作等级的判定依据见表1-9。</w:t>
      </w:r>
    </w:p>
    <w:p>
      <w:pPr>
        <w:pStyle w:val="28"/>
        <w:ind w:firstLine="480"/>
        <w:rPr>
          <w:rFonts w:hint="eastAsia"/>
        </w:rPr>
      </w:pPr>
    </w:p>
    <w:p>
      <w:pPr>
        <w:pStyle w:val="28"/>
        <w:ind w:firstLine="480"/>
        <w:rPr>
          <w:rFonts w:hint="eastAsia"/>
        </w:rPr>
      </w:pPr>
    </w:p>
    <w:p>
      <w:pPr>
        <w:pStyle w:val="28"/>
        <w:ind w:firstLine="480"/>
        <w:rPr>
          <w:rFonts w:hint="eastAsia"/>
        </w:rPr>
      </w:pPr>
    </w:p>
    <w:p>
      <w:pPr>
        <w:pStyle w:val="29"/>
        <w:rPr>
          <w:rFonts w:hint="eastAsia" w:ascii="宋体" w:hAnsi="宋体" w:eastAsia="宋体"/>
          <w:b/>
          <w:sz w:val="24"/>
          <w:szCs w:val="24"/>
        </w:rPr>
      </w:pPr>
      <w:r>
        <w:rPr>
          <w:rFonts w:hint="eastAsia" w:ascii="宋体" w:hAnsi="宋体" w:eastAsia="宋体"/>
          <w:b/>
          <w:sz w:val="24"/>
          <w:szCs w:val="24"/>
        </w:rPr>
        <w:t>表1-9   评价工作等级</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063"/>
        <w:gridCol w:w="622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3" w:type="dxa"/>
            <w:noWrap w:val="0"/>
            <w:vAlign w:val="top"/>
          </w:tcPr>
          <w:p>
            <w:pPr>
              <w:adjustRightInd w:val="0"/>
              <w:snapToGrid w:val="0"/>
              <w:ind w:firstLine="360"/>
              <w:rPr>
                <w:szCs w:val="21"/>
              </w:rPr>
            </w:pPr>
            <w:r>
              <w:rPr>
                <w:szCs w:val="21"/>
              </w:rPr>
              <w:t>评价工作等级</w:t>
            </w:r>
          </w:p>
        </w:tc>
        <w:tc>
          <w:tcPr>
            <w:tcW w:w="6223" w:type="dxa"/>
            <w:noWrap w:val="0"/>
            <w:vAlign w:val="top"/>
          </w:tcPr>
          <w:p>
            <w:pPr>
              <w:adjustRightInd w:val="0"/>
              <w:snapToGrid w:val="0"/>
              <w:ind w:firstLine="360"/>
              <w:rPr>
                <w:szCs w:val="21"/>
              </w:rPr>
            </w:pPr>
            <w:r>
              <w:rPr>
                <w:szCs w:val="21"/>
              </w:rPr>
              <w:t>评价工作等级判据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3" w:type="dxa"/>
            <w:noWrap w:val="0"/>
            <w:vAlign w:val="top"/>
          </w:tcPr>
          <w:p>
            <w:pPr>
              <w:adjustRightInd w:val="0"/>
              <w:snapToGrid w:val="0"/>
              <w:ind w:firstLine="360"/>
              <w:rPr>
                <w:szCs w:val="21"/>
              </w:rPr>
            </w:pPr>
            <w:r>
              <w:rPr>
                <w:szCs w:val="21"/>
              </w:rPr>
              <w:t>一级</w:t>
            </w:r>
          </w:p>
        </w:tc>
        <w:tc>
          <w:tcPr>
            <w:tcW w:w="6223" w:type="dxa"/>
            <w:noWrap w:val="0"/>
            <w:vAlign w:val="top"/>
          </w:tcPr>
          <w:p>
            <w:pPr>
              <w:adjustRightInd w:val="0"/>
              <w:snapToGrid w:val="0"/>
              <w:ind w:firstLine="360"/>
              <w:rPr>
                <w:szCs w:val="21"/>
              </w:rPr>
            </w:pPr>
            <w:r>
              <w:rPr>
                <w:szCs w:val="21"/>
              </w:rPr>
              <w:t>Pmax≥80%，且D</w:t>
            </w:r>
            <w:r>
              <w:rPr>
                <w:szCs w:val="21"/>
                <w:vertAlign w:val="subscript"/>
              </w:rPr>
              <w:t>10%</w:t>
            </w:r>
            <w:r>
              <w:rPr>
                <w:szCs w:val="21"/>
              </w:rPr>
              <w:t>≥5km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3" w:type="dxa"/>
            <w:noWrap w:val="0"/>
            <w:vAlign w:val="top"/>
          </w:tcPr>
          <w:p>
            <w:pPr>
              <w:adjustRightInd w:val="0"/>
              <w:snapToGrid w:val="0"/>
              <w:ind w:firstLine="360"/>
              <w:rPr>
                <w:szCs w:val="21"/>
              </w:rPr>
            </w:pPr>
            <w:r>
              <w:rPr>
                <w:szCs w:val="21"/>
              </w:rPr>
              <w:t>二级</w:t>
            </w:r>
          </w:p>
        </w:tc>
        <w:tc>
          <w:tcPr>
            <w:tcW w:w="6223" w:type="dxa"/>
            <w:noWrap w:val="0"/>
            <w:vAlign w:val="top"/>
          </w:tcPr>
          <w:p>
            <w:pPr>
              <w:adjustRightInd w:val="0"/>
              <w:snapToGrid w:val="0"/>
              <w:ind w:firstLine="360"/>
              <w:rPr>
                <w:szCs w:val="21"/>
              </w:rPr>
            </w:pPr>
            <w:r>
              <w:rPr>
                <w:szCs w:val="21"/>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3" w:type="dxa"/>
            <w:noWrap w:val="0"/>
            <w:vAlign w:val="top"/>
          </w:tcPr>
          <w:p>
            <w:pPr>
              <w:adjustRightInd w:val="0"/>
              <w:snapToGrid w:val="0"/>
              <w:ind w:firstLine="360"/>
              <w:rPr>
                <w:szCs w:val="21"/>
              </w:rPr>
            </w:pPr>
            <w:r>
              <w:rPr>
                <w:szCs w:val="21"/>
              </w:rPr>
              <w:t>三级</w:t>
            </w:r>
          </w:p>
        </w:tc>
        <w:tc>
          <w:tcPr>
            <w:tcW w:w="6223" w:type="dxa"/>
            <w:noWrap w:val="0"/>
            <w:vAlign w:val="top"/>
          </w:tcPr>
          <w:p>
            <w:pPr>
              <w:adjustRightInd w:val="0"/>
              <w:snapToGrid w:val="0"/>
              <w:ind w:firstLine="360"/>
              <w:rPr>
                <w:szCs w:val="21"/>
              </w:rPr>
            </w:pPr>
            <w:r>
              <w:rPr>
                <w:szCs w:val="21"/>
              </w:rPr>
              <w:t>Pmax&lt;10%或D</w:t>
            </w:r>
            <w:r>
              <w:rPr>
                <w:szCs w:val="21"/>
                <w:vertAlign w:val="subscript"/>
              </w:rPr>
              <w:t>10%</w:t>
            </w:r>
            <w:r>
              <w:rPr>
                <w:szCs w:val="21"/>
              </w:rPr>
              <w:t>&lt;污染源距厂界最近距离</w:t>
            </w:r>
          </w:p>
        </w:tc>
      </w:tr>
    </w:tbl>
    <w:p>
      <w:pPr>
        <w:pStyle w:val="28"/>
        <w:ind w:firstLine="480"/>
        <w:rPr>
          <w:rFonts w:hint="eastAsia"/>
        </w:rPr>
      </w:pPr>
    </w:p>
    <w:p>
      <w:pPr>
        <w:pStyle w:val="28"/>
        <w:ind w:firstLine="480"/>
        <w:rPr>
          <w:rFonts w:hint="eastAsia"/>
        </w:rPr>
      </w:pPr>
      <w:r>
        <w:rPr>
          <w:rFonts w:hint="eastAsia"/>
        </w:rPr>
        <w:t>搬迁项目废气主要污染物为SO</w:t>
      </w:r>
      <w:r>
        <w:rPr>
          <w:rFonts w:hint="eastAsia"/>
          <w:vertAlign w:val="subscript"/>
        </w:rPr>
        <w:t>2</w:t>
      </w:r>
      <w:r>
        <w:rPr>
          <w:rFonts w:hint="eastAsia"/>
        </w:rPr>
        <w:t>、PM</w:t>
      </w:r>
      <w:r>
        <w:rPr>
          <w:rFonts w:hint="eastAsia"/>
          <w:vertAlign w:val="subscript"/>
        </w:rPr>
        <w:t>10</w:t>
      </w:r>
      <w:r>
        <w:rPr>
          <w:rFonts w:hint="eastAsia"/>
        </w:rPr>
        <w:t>、</w:t>
      </w:r>
      <w:r>
        <w:rPr>
          <w:rFonts w:hint="eastAsia"/>
          <w:szCs w:val="21"/>
        </w:rPr>
        <w:t>NO</w:t>
      </w:r>
      <w:r>
        <w:rPr>
          <w:rFonts w:hint="eastAsia"/>
          <w:szCs w:val="21"/>
          <w:vertAlign w:val="subscript"/>
        </w:rPr>
        <w:t>X</w:t>
      </w:r>
      <w:r>
        <w:rPr>
          <w:rFonts w:hint="eastAsia"/>
          <w:szCs w:val="21"/>
        </w:rPr>
        <w:t>，</w:t>
      </w:r>
      <w:r>
        <w:rPr>
          <w:rFonts w:hint="eastAsia"/>
        </w:rPr>
        <w:t>利用</w:t>
      </w:r>
      <w:r>
        <w:t>SCREEN3</w:t>
      </w:r>
      <w:r>
        <w:rPr>
          <w:rFonts w:hint="eastAsia"/>
        </w:rPr>
        <w:t>估算模式，分别计算每一种污染物的最大地面浓度占标率Pi（第i个污染物），及第i个污染物的地面浓度达标准限值10%时所对应的最远距离D</w:t>
      </w:r>
      <w:r>
        <w:rPr>
          <w:rFonts w:hint="eastAsia"/>
          <w:vertAlign w:val="subscript"/>
        </w:rPr>
        <w:t>10%</w:t>
      </w:r>
      <w:r>
        <w:rPr>
          <w:rFonts w:hint="eastAsia"/>
        </w:rPr>
        <w:t>，估算结果见表1-10。</w:t>
      </w:r>
    </w:p>
    <w:p>
      <w:pPr>
        <w:spacing w:line="360" w:lineRule="auto"/>
        <w:ind w:firstLine="497" w:firstLineChars="237"/>
        <w:rPr>
          <w:rFonts w:hint="eastAsia"/>
        </w:rPr>
      </w:pPr>
      <w:r>
        <w:rPr>
          <w:rFonts w:hint="eastAsia"/>
        </w:rPr>
        <w:t xml:space="preserve">由表1-10可知技改项目建成后，窑尾排气筒尾气 </w:t>
      </w:r>
      <w:r>
        <w:rPr>
          <w:rFonts w:hint="eastAsia"/>
          <w:szCs w:val="21"/>
        </w:rPr>
        <w:t>NO</w:t>
      </w:r>
      <w:r>
        <w:rPr>
          <w:rFonts w:hint="eastAsia"/>
          <w:szCs w:val="21"/>
          <w:vertAlign w:val="subscript"/>
        </w:rPr>
        <w:t>X</w:t>
      </w:r>
      <w:r>
        <w:rPr>
          <w:rFonts w:hint="eastAsia"/>
        </w:rPr>
        <w:t xml:space="preserve"> Pimax 最大，为66.46%，按照评价工作等级划分，确定为二级</w:t>
      </w:r>
      <w:r>
        <w:t>。</w:t>
      </w:r>
    </w:p>
    <w:p>
      <w:pPr>
        <w:spacing w:before="24" w:beforeLines="10" w:after="24" w:afterLines="10" w:line="360" w:lineRule="auto"/>
        <w:rPr>
          <w:rFonts w:hint="eastAsia"/>
          <w:b/>
        </w:rPr>
      </w:pPr>
      <w:r>
        <w:rPr>
          <w:rFonts w:hint="eastAsia"/>
          <w:b/>
        </w:rPr>
        <w:t>1.6.2 地表水</w:t>
      </w:r>
    </w:p>
    <w:p>
      <w:pPr>
        <w:spacing w:line="360" w:lineRule="auto"/>
        <w:ind w:firstLine="420" w:firstLineChars="200"/>
        <w:rPr>
          <w:rFonts w:hint="eastAsia" w:ascii="宋体" w:hAnsi="宋体"/>
        </w:rPr>
      </w:pPr>
      <w:r>
        <w:rPr>
          <w:rFonts w:hint="eastAsia" w:ascii="宋体" w:hAnsi="宋体"/>
        </w:rPr>
        <w:t>技改项目废水排放量52.6</w:t>
      </w:r>
      <w:r>
        <w:rPr>
          <w:rFonts w:ascii="宋体" w:hAnsi="宋体"/>
        </w:rPr>
        <w:t>m</w:t>
      </w:r>
      <w:r>
        <w:rPr>
          <w:rFonts w:ascii="宋体" w:hAnsi="宋体"/>
          <w:vertAlign w:val="superscript"/>
        </w:rPr>
        <w:t>3</w:t>
      </w:r>
      <w:r>
        <w:rPr>
          <w:rFonts w:ascii="宋体" w:hAnsi="宋体"/>
        </w:rPr>
        <w:t>/</w:t>
      </w:r>
      <w:r>
        <w:rPr>
          <w:rFonts w:hint="eastAsia" w:ascii="宋体" w:hAnsi="宋体"/>
        </w:rPr>
        <w:t>d，排放量较小，污水水质复杂程度简单，经处理后达标后，从废水排放口排入厂区北侧无名小河沟，由于该河沟无水域功能，故地表水环境影响仅作定性分析。</w:t>
      </w:r>
    </w:p>
    <w:p>
      <w:pPr>
        <w:spacing w:before="24" w:beforeLines="10" w:after="24" w:afterLines="10" w:line="360" w:lineRule="auto"/>
        <w:rPr>
          <w:rFonts w:hint="eastAsia"/>
          <w:b/>
        </w:rPr>
      </w:pPr>
      <w:r>
        <w:rPr>
          <w:rFonts w:hint="eastAsia"/>
          <w:b/>
        </w:rPr>
        <w:t>1.6.3噪声</w:t>
      </w:r>
    </w:p>
    <w:p>
      <w:pPr>
        <w:pStyle w:val="9"/>
        <w:ind w:firstLine="560" w:firstLineChars="200"/>
        <w:rPr>
          <w:rFonts w:hint="eastAsia" w:ascii="宋体" w:hAnsi="宋体"/>
          <w:sz w:val="24"/>
        </w:rPr>
      </w:pPr>
      <w:r>
        <w:rPr>
          <w:rFonts w:hint="eastAsia" w:ascii="宋体" w:hAnsi="宋体"/>
        </w:rPr>
        <w:t>技改</w:t>
      </w:r>
      <w:r>
        <w:rPr>
          <w:rFonts w:hint="eastAsia" w:ascii="宋体" w:hAnsi="宋体"/>
          <w:sz w:val="24"/>
        </w:rPr>
        <w:t>项目所处的声环境功能区为2类地区，故声环境影响评价等级确定为二级。</w:t>
      </w:r>
    </w:p>
    <w:p>
      <w:pPr>
        <w:spacing w:before="24" w:beforeLines="10" w:after="24" w:afterLines="10" w:line="360" w:lineRule="auto"/>
        <w:outlineLvl w:val="1"/>
        <w:rPr>
          <w:b/>
        </w:rPr>
      </w:pPr>
      <w:bookmarkStart w:id="31" w:name="_Toc179694630"/>
      <w:bookmarkStart w:id="32" w:name="_Toc276372217"/>
      <w:bookmarkStart w:id="33" w:name="_Toc165607338"/>
      <w:bookmarkStart w:id="34" w:name="_Toc473281484"/>
      <w:bookmarkStart w:id="35" w:name="_Toc175479781"/>
      <w:bookmarkStart w:id="36" w:name="_Toc129763683"/>
      <w:bookmarkStart w:id="37" w:name="_Toc189814126"/>
      <w:r>
        <w:rPr>
          <w:b/>
        </w:rPr>
        <w:t>1.</w:t>
      </w:r>
      <w:r>
        <w:rPr>
          <w:rFonts w:hint="eastAsia"/>
          <w:b/>
        </w:rPr>
        <w:t>8</w:t>
      </w:r>
      <w:r>
        <w:rPr>
          <w:b/>
        </w:rPr>
        <w:t xml:space="preserve">  环境影响因子识别和筛选</w:t>
      </w:r>
      <w:bookmarkEnd w:id="31"/>
      <w:bookmarkEnd w:id="32"/>
    </w:p>
    <w:p>
      <w:pPr>
        <w:spacing w:before="24" w:beforeLines="10" w:after="24" w:afterLines="10" w:line="360" w:lineRule="auto"/>
        <w:rPr>
          <w:b/>
        </w:rPr>
      </w:pPr>
      <w:r>
        <w:rPr>
          <w:b/>
        </w:rPr>
        <w:t>1.</w:t>
      </w:r>
      <w:r>
        <w:rPr>
          <w:rFonts w:hint="eastAsia"/>
          <w:b/>
        </w:rPr>
        <w:t>8</w:t>
      </w:r>
      <w:r>
        <w:rPr>
          <w:b/>
        </w:rPr>
        <w:t>.1  环境影响因素分析</w:t>
      </w:r>
    </w:p>
    <w:p>
      <w:pPr>
        <w:pStyle w:val="30"/>
        <w:adjustRightInd/>
        <w:spacing w:line="360" w:lineRule="auto"/>
        <w:ind w:firstLine="480"/>
        <w:rPr>
          <w:rFonts w:ascii="宋体" w:hAnsi="宋体"/>
          <w:kern w:val="2"/>
          <w:sz w:val="24"/>
          <w:szCs w:val="24"/>
        </w:rPr>
      </w:pPr>
      <w:r>
        <w:rPr>
          <w:rFonts w:hint="eastAsia" w:ascii="宋体" w:hAnsi="宋体"/>
          <w:kern w:val="2"/>
          <w:sz w:val="24"/>
          <w:szCs w:val="24"/>
        </w:rPr>
        <w:t>（1）</w:t>
      </w:r>
      <w:r>
        <w:rPr>
          <w:rFonts w:ascii="宋体" w:hAnsi="宋体"/>
          <w:kern w:val="2"/>
          <w:sz w:val="24"/>
          <w:szCs w:val="24"/>
        </w:rPr>
        <w:t>施工期</w:t>
      </w:r>
    </w:p>
    <w:p>
      <w:pPr>
        <w:pStyle w:val="30"/>
        <w:adjustRightInd/>
        <w:spacing w:line="360" w:lineRule="auto"/>
        <w:ind w:firstLine="480"/>
        <w:rPr>
          <w:rFonts w:hint="eastAsia" w:ascii="宋体" w:hAnsi="宋体"/>
          <w:kern w:val="2"/>
          <w:sz w:val="24"/>
          <w:szCs w:val="24"/>
        </w:rPr>
      </w:pPr>
      <w:r>
        <w:rPr>
          <w:rFonts w:hint="eastAsia" w:ascii="宋体" w:hAnsi="宋体"/>
          <w:kern w:val="2"/>
          <w:sz w:val="24"/>
          <w:szCs w:val="24"/>
        </w:rPr>
        <w:t>技改</w:t>
      </w:r>
      <w:r>
        <w:rPr>
          <w:rFonts w:ascii="宋体" w:hAnsi="宋体"/>
          <w:kern w:val="2"/>
          <w:sz w:val="24"/>
          <w:szCs w:val="24"/>
        </w:rPr>
        <w:t>项目施工期主要活动是厂区建设，施工期影响大多为短期的、局部的，施工结束后大部分影响可恢复。对环境的主要影响如下：</w:t>
      </w:r>
    </w:p>
    <w:bookmarkEnd w:id="33"/>
    <w:bookmarkEnd w:id="34"/>
    <w:bookmarkEnd w:id="35"/>
    <w:bookmarkEnd w:id="36"/>
    <w:bookmarkEnd w:id="37"/>
    <w:p>
      <w:pPr>
        <w:pStyle w:val="30"/>
        <w:adjustRightInd/>
        <w:spacing w:line="360" w:lineRule="auto"/>
        <w:ind w:firstLine="540"/>
        <w:rPr>
          <w:rFonts w:ascii="宋体" w:hAnsi="宋体"/>
          <w:kern w:val="2"/>
          <w:sz w:val="24"/>
          <w:szCs w:val="24"/>
        </w:rPr>
      </w:pPr>
      <w:r>
        <w:rPr>
          <w:rFonts w:hint="eastAsia" w:ascii="宋体" w:hAnsi="宋体"/>
          <w:kern w:val="2"/>
          <w:sz w:val="24"/>
          <w:szCs w:val="24"/>
        </w:rPr>
        <w:t>①</w:t>
      </w:r>
      <w:r>
        <w:rPr>
          <w:rFonts w:ascii="宋体" w:hAnsi="宋体"/>
          <w:kern w:val="2"/>
          <w:sz w:val="24"/>
          <w:szCs w:val="24"/>
        </w:rPr>
        <w:t>自然环境影响</w:t>
      </w:r>
    </w:p>
    <w:p>
      <w:pPr>
        <w:pStyle w:val="30"/>
        <w:adjustRightInd/>
        <w:spacing w:line="360" w:lineRule="auto"/>
        <w:ind w:firstLine="540"/>
        <w:rPr>
          <w:rFonts w:ascii="宋体" w:hAnsi="宋体"/>
          <w:kern w:val="2"/>
          <w:sz w:val="24"/>
          <w:szCs w:val="24"/>
        </w:rPr>
      </w:pPr>
      <w:r>
        <w:rPr>
          <w:rFonts w:ascii="宋体" w:hAnsi="宋体"/>
          <w:kern w:val="2"/>
          <w:sz w:val="24"/>
          <w:szCs w:val="24"/>
        </w:rPr>
        <w:t>施工扬尘、施工设备噪声、民工生活废水、建筑弃碴、弃土排放等，造成环境影响。</w:t>
      </w:r>
    </w:p>
    <w:p>
      <w:pPr>
        <w:pStyle w:val="30"/>
        <w:adjustRightInd/>
        <w:spacing w:line="360" w:lineRule="auto"/>
        <w:ind w:firstLine="540"/>
        <w:rPr>
          <w:rFonts w:ascii="宋体" w:hAnsi="宋体"/>
          <w:kern w:val="2"/>
          <w:sz w:val="24"/>
          <w:szCs w:val="24"/>
        </w:rPr>
      </w:pPr>
      <w:r>
        <w:rPr>
          <w:rFonts w:hint="eastAsia" w:ascii="宋体" w:hAnsi="宋体"/>
          <w:kern w:val="2"/>
          <w:sz w:val="24"/>
          <w:szCs w:val="24"/>
        </w:rPr>
        <w:t>②</w:t>
      </w:r>
      <w:r>
        <w:rPr>
          <w:rFonts w:ascii="宋体" w:hAnsi="宋体"/>
          <w:kern w:val="2"/>
          <w:sz w:val="24"/>
          <w:szCs w:val="24"/>
        </w:rPr>
        <w:t>社会环境影响</w:t>
      </w:r>
    </w:p>
    <w:p>
      <w:pPr>
        <w:pStyle w:val="30"/>
        <w:adjustRightInd/>
        <w:spacing w:line="360" w:lineRule="auto"/>
        <w:ind w:firstLine="540"/>
        <w:rPr>
          <w:rFonts w:ascii="宋体" w:hAnsi="宋体"/>
          <w:kern w:val="2"/>
          <w:sz w:val="24"/>
          <w:szCs w:val="24"/>
        </w:rPr>
      </w:pPr>
      <w:r>
        <w:rPr>
          <w:rFonts w:ascii="宋体" w:hAnsi="宋体"/>
          <w:kern w:val="2"/>
          <w:sz w:val="24"/>
          <w:szCs w:val="24"/>
        </w:rPr>
        <w:t>交通运输带来影响。</w:t>
      </w:r>
    </w:p>
    <w:p>
      <w:pPr>
        <w:pStyle w:val="30"/>
        <w:adjustRightInd/>
        <w:spacing w:line="360" w:lineRule="auto"/>
        <w:ind w:firstLine="360" w:firstLineChars="150"/>
        <w:rPr>
          <w:rFonts w:ascii="宋体" w:hAnsi="宋体"/>
          <w:kern w:val="2"/>
          <w:sz w:val="24"/>
          <w:szCs w:val="24"/>
        </w:rPr>
      </w:pPr>
      <w:r>
        <w:rPr>
          <w:rFonts w:hint="eastAsia" w:ascii="宋体" w:hAnsi="宋体"/>
          <w:kern w:val="2"/>
          <w:sz w:val="24"/>
          <w:szCs w:val="24"/>
        </w:rPr>
        <w:t>（2）</w:t>
      </w:r>
      <w:r>
        <w:rPr>
          <w:rFonts w:ascii="宋体" w:hAnsi="宋体"/>
          <w:kern w:val="2"/>
          <w:sz w:val="24"/>
          <w:szCs w:val="24"/>
        </w:rPr>
        <w:t>营运期</w:t>
      </w:r>
    </w:p>
    <w:p>
      <w:pPr>
        <w:pStyle w:val="30"/>
        <w:adjustRightInd/>
        <w:spacing w:line="360" w:lineRule="auto"/>
        <w:ind w:firstLine="480" w:firstLineChars="200"/>
        <w:rPr>
          <w:rFonts w:ascii="宋体" w:hAnsi="宋体"/>
          <w:kern w:val="2"/>
          <w:sz w:val="24"/>
          <w:szCs w:val="24"/>
        </w:rPr>
      </w:pPr>
      <w:r>
        <w:rPr>
          <w:rFonts w:hint="eastAsia" w:ascii="宋体" w:hAnsi="宋体"/>
          <w:kern w:val="2"/>
          <w:sz w:val="24"/>
          <w:szCs w:val="24"/>
        </w:rPr>
        <w:t>①</w:t>
      </w:r>
      <w:r>
        <w:rPr>
          <w:rFonts w:ascii="宋体" w:hAnsi="宋体"/>
          <w:kern w:val="2"/>
          <w:sz w:val="24"/>
          <w:szCs w:val="24"/>
        </w:rPr>
        <w:t>自然环境影响</w:t>
      </w:r>
    </w:p>
    <w:p>
      <w:pPr>
        <w:pStyle w:val="30"/>
        <w:adjustRightInd/>
        <w:spacing w:line="360" w:lineRule="auto"/>
        <w:ind w:firstLine="540"/>
        <w:rPr>
          <w:rFonts w:ascii="宋体" w:hAnsi="宋体"/>
          <w:kern w:val="2"/>
          <w:sz w:val="24"/>
          <w:szCs w:val="24"/>
        </w:rPr>
      </w:pPr>
      <w:r>
        <w:rPr>
          <w:rFonts w:hint="eastAsia" w:ascii="宋体" w:hAnsi="宋体"/>
          <w:kern w:val="2"/>
          <w:sz w:val="24"/>
          <w:szCs w:val="24"/>
        </w:rPr>
        <w:t>◆</w:t>
      </w:r>
      <w:r>
        <w:rPr>
          <w:rFonts w:ascii="宋体" w:hAnsi="宋体"/>
          <w:kern w:val="2"/>
          <w:sz w:val="24"/>
          <w:szCs w:val="24"/>
        </w:rPr>
        <w:t>大气环境影响</w:t>
      </w:r>
    </w:p>
    <w:p>
      <w:pPr>
        <w:pStyle w:val="30"/>
        <w:adjustRightInd/>
        <w:spacing w:line="360" w:lineRule="auto"/>
        <w:ind w:firstLine="540"/>
        <w:rPr>
          <w:rFonts w:ascii="宋体" w:hAnsi="宋体"/>
          <w:kern w:val="2"/>
          <w:sz w:val="24"/>
          <w:szCs w:val="24"/>
        </w:rPr>
      </w:pPr>
      <w:r>
        <w:rPr>
          <w:rFonts w:ascii="宋体" w:hAnsi="宋体"/>
          <w:kern w:val="2"/>
          <w:sz w:val="24"/>
          <w:szCs w:val="24"/>
        </w:rPr>
        <w:t>本项目外排大气污染物包括粉尘、烟尘、SO</w:t>
      </w:r>
      <w:r>
        <w:rPr>
          <w:rFonts w:ascii="宋体" w:hAnsi="宋体"/>
          <w:kern w:val="2"/>
          <w:sz w:val="24"/>
          <w:szCs w:val="24"/>
          <w:vertAlign w:val="subscript"/>
        </w:rPr>
        <w:t>2</w:t>
      </w:r>
      <w:r>
        <w:rPr>
          <w:rFonts w:ascii="宋体" w:hAnsi="宋体"/>
          <w:kern w:val="2"/>
          <w:sz w:val="24"/>
          <w:szCs w:val="24"/>
        </w:rPr>
        <w:t>对大气环境的影响。。</w:t>
      </w:r>
    </w:p>
    <w:p>
      <w:pPr>
        <w:spacing w:line="360" w:lineRule="auto"/>
        <w:ind w:firstLine="420" w:firstLineChars="200"/>
        <w:rPr>
          <w:rFonts w:ascii="宋体" w:hAnsi="宋体"/>
        </w:rPr>
        <w:sectPr>
          <w:pgSz w:w="11906" w:h="16838"/>
          <w:pgMar w:top="1134" w:right="1418" w:bottom="1134" w:left="1418" w:header="851" w:footer="992" w:gutter="0"/>
          <w:paperSrc w:first="20070" w:other="20070"/>
          <w:cols w:space="425" w:num="1"/>
          <w:docGrid w:linePitch="312" w:charSpace="0"/>
        </w:sectPr>
      </w:pPr>
    </w:p>
    <w:p>
      <w:pPr>
        <w:jc w:val="center"/>
        <w:rPr>
          <w:rFonts w:hint="eastAsia"/>
          <w:b/>
        </w:rPr>
      </w:pPr>
      <w:r>
        <w:rPr>
          <w:rFonts w:hint="eastAsia"/>
          <w:b/>
        </w:rPr>
        <w:t>表1-10  估算模式计算结果表</w:t>
      </w:r>
    </w:p>
    <w:tbl>
      <w:tblPr>
        <w:tblStyle w:val="20"/>
        <w:tblW w:w="11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25"/>
        <w:gridCol w:w="799"/>
        <w:gridCol w:w="1265"/>
        <w:gridCol w:w="799"/>
        <w:gridCol w:w="1325"/>
        <w:gridCol w:w="799"/>
        <w:gridCol w:w="1325"/>
        <w:gridCol w:w="799"/>
        <w:gridCol w:w="1265"/>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spacing w:line="240" w:lineRule="exact"/>
              <w:rPr>
                <w:sz w:val="21"/>
                <w:szCs w:val="21"/>
              </w:rPr>
            </w:pPr>
            <w:r>
              <w:rPr>
                <w:sz w:val="21"/>
                <w:szCs w:val="21"/>
              </w:rPr>
              <w:t>产污环节</w:t>
            </w:r>
          </w:p>
        </w:tc>
        <w:tc>
          <w:tcPr>
            <w:tcW w:w="6312" w:type="dxa"/>
            <w:gridSpan w:val="6"/>
            <w:noWrap w:val="0"/>
            <w:vAlign w:val="center"/>
          </w:tcPr>
          <w:p>
            <w:pPr>
              <w:spacing w:line="240" w:lineRule="exact"/>
              <w:rPr>
                <w:spacing w:val="20"/>
                <w:sz w:val="21"/>
                <w:szCs w:val="21"/>
              </w:rPr>
            </w:pPr>
            <w:r>
              <w:rPr>
                <w:spacing w:val="20"/>
                <w:sz w:val="21"/>
                <w:szCs w:val="21"/>
              </w:rPr>
              <w:t>窑尾（D=3.0m）</w:t>
            </w:r>
          </w:p>
        </w:tc>
        <w:tc>
          <w:tcPr>
            <w:tcW w:w="2124" w:type="dxa"/>
            <w:gridSpan w:val="2"/>
            <w:noWrap w:val="0"/>
            <w:vAlign w:val="center"/>
          </w:tcPr>
          <w:p>
            <w:pPr>
              <w:spacing w:line="240" w:lineRule="exact"/>
              <w:rPr>
                <w:spacing w:val="20"/>
                <w:sz w:val="21"/>
                <w:szCs w:val="21"/>
              </w:rPr>
            </w:pPr>
            <w:r>
              <w:rPr>
                <w:spacing w:val="20"/>
                <w:sz w:val="21"/>
                <w:szCs w:val="21"/>
              </w:rPr>
              <w:t>窑头（D=2.5m）</w:t>
            </w:r>
          </w:p>
        </w:tc>
        <w:tc>
          <w:tcPr>
            <w:tcW w:w="2064" w:type="dxa"/>
            <w:gridSpan w:val="2"/>
            <w:noWrap w:val="0"/>
            <w:vAlign w:val="center"/>
          </w:tcPr>
          <w:p>
            <w:pPr>
              <w:spacing w:line="240" w:lineRule="exact"/>
              <w:rPr>
                <w:spacing w:val="20"/>
                <w:sz w:val="21"/>
                <w:szCs w:val="21"/>
              </w:rPr>
            </w:pPr>
            <w:r>
              <w:rPr>
                <w:spacing w:val="20"/>
                <w:sz w:val="21"/>
                <w:szCs w:val="21"/>
              </w:rPr>
              <w:t>水泥磨机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379" w:type="dxa"/>
            <w:vMerge w:val="restart"/>
            <w:noWrap w:val="0"/>
            <w:vAlign w:val="center"/>
          </w:tcPr>
          <w:p>
            <w:pPr>
              <w:spacing w:line="240" w:lineRule="exact"/>
              <w:rPr>
                <w:sz w:val="21"/>
                <w:szCs w:val="21"/>
              </w:rPr>
            </w:pPr>
            <w:r>
              <w:rPr>
                <w:sz w:val="21"/>
                <w:szCs w:val="21"/>
              </w:rPr>
              <w:t>距离中心下风向距离D（m）</w:t>
            </w:r>
          </w:p>
        </w:tc>
        <w:tc>
          <w:tcPr>
            <w:tcW w:w="2124" w:type="dxa"/>
            <w:gridSpan w:val="2"/>
            <w:noWrap w:val="0"/>
            <w:vAlign w:val="center"/>
          </w:tcPr>
          <w:p>
            <w:pPr>
              <w:spacing w:line="240" w:lineRule="exact"/>
              <w:rPr>
                <w:sz w:val="21"/>
                <w:szCs w:val="21"/>
              </w:rPr>
            </w:pPr>
            <w:r>
              <w:rPr>
                <w:sz w:val="21"/>
                <w:szCs w:val="21"/>
              </w:rPr>
              <w:t>SO</w:t>
            </w:r>
            <w:r>
              <w:rPr>
                <w:sz w:val="21"/>
                <w:szCs w:val="21"/>
                <w:vertAlign w:val="subscript"/>
              </w:rPr>
              <w:t>2</w:t>
            </w:r>
          </w:p>
        </w:tc>
        <w:tc>
          <w:tcPr>
            <w:tcW w:w="2064" w:type="dxa"/>
            <w:gridSpan w:val="2"/>
            <w:noWrap w:val="0"/>
            <w:vAlign w:val="center"/>
          </w:tcPr>
          <w:p>
            <w:pPr>
              <w:spacing w:line="240" w:lineRule="exact"/>
              <w:rPr>
                <w:sz w:val="21"/>
                <w:szCs w:val="21"/>
              </w:rPr>
            </w:pPr>
            <w:r>
              <w:rPr>
                <w:sz w:val="21"/>
                <w:szCs w:val="21"/>
              </w:rPr>
              <w:t>NO</w:t>
            </w:r>
            <w:r>
              <w:rPr>
                <w:sz w:val="21"/>
                <w:szCs w:val="21"/>
                <w:vertAlign w:val="subscript"/>
              </w:rPr>
              <w:t>2</w:t>
            </w:r>
          </w:p>
        </w:tc>
        <w:tc>
          <w:tcPr>
            <w:tcW w:w="2124" w:type="dxa"/>
            <w:gridSpan w:val="2"/>
            <w:noWrap w:val="0"/>
            <w:vAlign w:val="center"/>
          </w:tcPr>
          <w:p>
            <w:pPr>
              <w:spacing w:line="240" w:lineRule="exact"/>
              <w:rPr>
                <w:sz w:val="21"/>
                <w:szCs w:val="21"/>
              </w:rPr>
            </w:pPr>
            <w:r>
              <w:rPr>
                <w:sz w:val="21"/>
                <w:szCs w:val="21"/>
              </w:rPr>
              <w:t>PM</w:t>
            </w:r>
            <w:r>
              <w:rPr>
                <w:sz w:val="21"/>
                <w:szCs w:val="21"/>
                <w:vertAlign w:val="subscript"/>
              </w:rPr>
              <w:t>10</w:t>
            </w:r>
          </w:p>
        </w:tc>
        <w:tc>
          <w:tcPr>
            <w:tcW w:w="2124" w:type="dxa"/>
            <w:gridSpan w:val="2"/>
            <w:noWrap w:val="0"/>
            <w:vAlign w:val="center"/>
          </w:tcPr>
          <w:p>
            <w:pPr>
              <w:spacing w:line="240" w:lineRule="exact"/>
              <w:rPr>
                <w:sz w:val="21"/>
                <w:szCs w:val="21"/>
              </w:rPr>
            </w:pPr>
            <w:r>
              <w:rPr>
                <w:sz w:val="21"/>
                <w:szCs w:val="21"/>
              </w:rPr>
              <w:t>PM</w:t>
            </w:r>
            <w:r>
              <w:rPr>
                <w:sz w:val="21"/>
                <w:szCs w:val="21"/>
                <w:vertAlign w:val="subscript"/>
              </w:rPr>
              <w:t>10</w:t>
            </w:r>
          </w:p>
        </w:tc>
        <w:tc>
          <w:tcPr>
            <w:tcW w:w="2064" w:type="dxa"/>
            <w:gridSpan w:val="2"/>
            <w:noWrap w:val="0"/>
            <w:vAlign w:val="center"/>
          </w:tcPr>
          <w:p>
            <w:pPr>
              <w:spacing w:line="240" w:lineRule="exact"/>
              <w:rPr>
                <w:sz w:val="21"/>
                <w:szCs w:val="21"/>
              </w:rPr>
            </w:pPr>
            <w:r>
              <w:rPr>
                <w:sz w:val="21"/>
                <w:szCs w:val="21"/>
              </w:rPr>
              <w:t>PM</w:t>
            </w:r>
            <w:r>
              <w:rPr>
                <w:sz w:val="21"/>
                <w:szCs w:val="21"/>
                <w:vertAlign w:val="subscrip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Merge w:val="continue"/>
            <w:noWrap w:val="0"/>
            <w:vAlign w:val="center"/>
          </w:tcPr>
          <w:p>
            <w:pPr>
              <w:spacing w:line="240" w:lineRule="exact"/>
              <w:rPr>
                <w:sz w:val="21"/>
                <w:szCs w:val="21"/>
              </w:rPr>
            </w:pPr>
          </w:p>
        </w:tc>
        <w:tc>
          <w:tcPr>
            <w:tcW w:w="1325" w:type="dxa"/>
            <w:noWrap w:val="0"/>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noWrap w:val="0"/>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265" w:type="dxa"/>
            <w:noWrap w:val="0"/>
            <w:vAlign w:val="center"/>
          </w:tcPr>
          <w:p>
            <w:pPr>
              <w:spacing w:line="240" w:lineRule="exact"/>
              <w:rPr>
                <w:sz w:val="21"/>
                <w:szCs w:val="21"/>
              </w:rPr>
            </w:pPr>
            <w:r>
              <w:rPr>
                <w:sz w:val="21"/>
                <w:szCs w:val="21"/>
              </w:rPr>
              <w:t>下风向预测浓度</w:t>
            </w:r>
          </w:p>
          <w:p>
            <w:pPr>
              <w:spacing w:line="240" w:lineRule="exact"/>
              <w:rPr>
                <w:sz w:val="21"/>
                <w:szCs w:val="21"/>
              </w:rPr>
            </w:pPr>
            <w:r>
              <w:rPr>
                <w:sz w:val="21"/>
                <w:szCs w:val="21"/>
              </w:rPr>
              <w:t>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noWrap w:val="0"/>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325" w:type="dxa"/>
            <w:noWrap w:val="0"/>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noWrap w:val="0"/>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325" w:type="dxa"/>
            <w:noWrap w:val="0"/>
            <w:vAlign w:val="center"/>
          </w:tcPr>
          <w:p>
            <w:pPr>
              <w:spacing w:line="240" w:lineRule="exact"/>
              <w:rPr>
                <w:sz w:val="21"/>
                <w:szCs w:val="21"/>
              </w:rPr>
            </w:pPr>
            <w:r>
              <w:rPr>
                <w:sz w:val="21"/>
                <w:szCs w:val="21"/>
              </w:rPr>
              <w:t>下风向预测浓度C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noWrap w:val="0"/>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c>
          <w:tcPr>
            <w:tcW w:w="1265" w:type="dxa"/>
            <w:noWrap w:val="0"/>
            <w:vAlign w:val="center"/>
          </w:tcPr>
          <w:p>
            <w:pPr>
              <w:spacing w:line="240" w:lineRule="exact"/>
              <w:rPr>
                <w:sz w:val="21"/>
                <w:szCs w:val="21"/>
              </w:rPr>
            </w:pPr>
            <w:r>
              <w:rPr>
                <w:sz w:val="21"/>
                <w:szCs w:val="21"/>
              </w:rPr>
              <w:t>下风向预测浓度</w:t>
            </w:r>
          </w:p>
          <w:p>
            <w:pPr>
              <w:spacing w:line="240" w:lineRule="exact"/>
              <w:rPr>
                <w:sz w:val="21"/>
                <w:szCs w:val="21"/>
              </w:rPr>
            </w:pPr>
            <w:r>
              <w:rPr>
                <w:sz w:val="21"/>
                <w:szCs w:val="21"/>
              </w:rPr>
              <w:t>C</w:t>
            </w:r>
            <w:r>
              <w:rPr>
                <w:sz w:val="21"/>
                <w:szCs w:val="21"/>
                <w:vertAlign w:val="subscript"/>
              </w:rPr>
              <w:t>il</w:t>
            </w:r>
            <w:r>
              <w:rPr>
                <w:sz w:val="21"/>
                <w:szCs w:val="21"/>
              </w:rPr>
              <w:t>(mg/m</w:t>
            </w:r>
            <w:r>
              <w:rPr>
                <w:sz w:val="21"/>
                <w:szCs w:val="21"/>
                <w:vertAlign w:val="superscript"/>
              </w:rPr>
              <w:t>3</w:t>
            </w:r>
            <w:r>
              <w:rPr>
                <w:sz w:val="21"/>
                <w:szCs w:val="21"/>
              </w:rPr>
              <w:t>)</w:t>
            </w:r>
          </w:p>
        </w:tc>
        <w:tc>
          <w:tcPr>
            <w:tcW w:w="799" w:type="dxa"/>
            <w:noWrap w:val="0"/>
            <w:vAlign w:val="center"/>
          </w:tcPr>
          <w:p>
            <w:pPr>
              <w:spacing w:line="240" w:lineRule="exact"/>
              <w:rPr>
                <w:sz w:val="21"/>
                <w:szCs w:val="21"/>
              </w:rPr>
            </w:pPr>
            <w:r>
              <w:rPr>
                <w:sz w:val="21"/>
                <w:szCs w:val="21"/>
              </w:rPr>
              <w:t>浓度占标率</w:t>
            </w:r>
          </w:p>
          <w:p>
            <w:pPr>
              <w:spacing w:line="240" w:lineRule="exact"/>
              <w:rPr>
                <w:sz w:val="21"/>
                <w:szCs w:val="21"/>
              </w:rPr>
            </w:pPr>
            <w:r>
              <w:rPr>
                <w:sz w:val="21"/>
                <w:szCs w:val="21"/>
              </w:rPr>
              <w:t>P</w:t>
            </w:r>
            <w:r>
              <w:rPr>
                <w:sz w:val="21"/>
                <w:szCs w:val="21"/>
                <w:vertAlign w:val="subscript"/>
              </w:rPr>
              <w:t>il</w:t>
            </w: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500</w:t>
            </w:r>
          </w:p>
        </w:tc>
        <w:tc>
          <w:tcPr>
            <w:tcW w:w="1325" w:type="dxa"/>
            <w:noWrap w:val="0"/>
            <w:vAlign w:val="center"/>
          </w:tcPr>
          <w:p>
            <w:pPr>
              <w:rPr>
                <w:rFonts w:cs="宋体"/>
                <w:sz w:val="21"/>
                <w:szCs w:val="21"/>
              </w:rPr>
            </w:pPr>
            <w:r>
              <w:rPr>
                <w:sz w:val="21"/>
                <w:szCs w:val="21"/>
              </w:rPr>
              <w:t>0.0046</w:t>
            </w:r>
          </w:p>
        </w:tc>
        <w:tc>
          <w:tcPr>
            <w:tcW w:w="799" w:type="dxa"/>
            <w:noWrap w:val="0"/>
            <w:vAlign w:val="center"/>
          </w:tcPr>
          <w:p>
            <w:pPr>
              <w:rPr>
                <w:rFonts w:cs="宋体"/>
                <w:sz w:val="21"/>
                <w:szCs w:val="21"/>
              </w:rPr>
            </w:pPr>
            <w:r>
              <w:rPr>
                <w:sz w:val="21"/>
                <w:szCs w:val="21"/>
              </w:rPr>
              <w:t>0.92</w:t>
            </w:r>
          </w:p>
        </w:tc>
        <w:tc>
          <w:tcPr>
            <w:tcW w:w="1265" w:type="dxa"/>
            <w:noWrap w:val="0"/>
            <w:vAlign w:val="center"/>
          </w:tcPr>
          <w:p>
            <w:pPr>
              <w:rPr>
                <w:rFonts w:cs="宋体"/>
                <w:sz w:val="21"/>
                <w:szCs w:val="21"/>
              </w:rPr>
            </w:pPr>
            <w:r>
              <w:rPr>
                <w:sz w:val="21"/>
                <w:szCs w:val="21"/>
              </w:rPr>
              <w:t>0.0305</w:t>
            </w:r>
          </w:p>
        </w:tc>
        <w:tc>
          <w:tcPr>
            <w:tcW w:w="799" w:type="dxa"/>
            <w:noWrap w:val="0"/>
            <w:vAlign w:val="center"/>
          </w:tcPr>
          <w:p>
            <w:pPr>
              <w:rPr>
                <w:rFonts w:cs="宋体"/>
                <w:sz w:val="21"/>
                <w:szCs w:val="21"/>
              </w:rPr>
            </w:pPr>
            <w:r>
              <w:rPr>
                <w:sz w:val="21"/>
                <w:szCs w:val="21"/>
              </w:rPr>
              <w:t>12.71</w:t>
            </w:r>
          </w:p>
        </w:tc>
        <w:tc>
          <w:tcPr>
            <w:tcW w:w="1325" w:type="dxa"/>
            <w:noWrap w:val="0"/>
            <w:vAlign w:val="center"/>
          </w:tcPr>
          <w:p>
            <w:pPr>
              <w:rPr>
                <w:rFonts w:cs="宋体"/>
                <w:sz w:val="21"/>
                <w:szCs w:val="21"/>
              </w:rPr>
            </w:pPr>
            <w:r>
              <w:rPr>
                <w:sz w:val="21"/>
                <w:szCs w:val="21"/>
              </w:rPr>
              <w:t>0.0013</w:t>
            </w:r>
          </w:p>
        </w:tc>
        <w:tc>
          <w:tcPr>
            <w:tcW w:w="799" w:type="dxa"/>
            <w:noWrap w:val="0"/>
            <w:vAlign w:val="center"/>
          </w:tcPr>
          <w:p>
            <w:pPr>
              <w:rPr>
                <w:rFonts w:cs="宋体"/>
                <w:sz w:val="21"/>
                <w:szCs w:val="21"/>
              </w:rPr>
            </w:pPr>
            <w:r>
              <w:rPr>
                <w:sz w:val="21"/>
                <w:szCs w:val="21"/>
              </w:rPr>
              <w:t>0.29</w:t>
            </w:r>
          </w:p>
        </w:tc>
        <w:tc>
          <w:tcPr>
            <w:tcW w:w="1325" w:type="dxa"/>
            <w:noWrap w:val="0"/>
            <w:vAlign w:val="center"/>
          </w:tcPr>
          <w:p>
            <w:pPr>
              <w:rPr>
                <w:rFonts w:cs="宋体"/>
                <w:sz w:val="21"/>
                <w:szCs w:val="21"/>
              </w:rPr>
            </w:pPr>
            <w:r>
              <w:rPr>
                <w:sz w:val="21"/>
                <w:szCs w:val="21"/>
              </w:rPr>
              <w:t>0.0036</w:t>
            </w:r>
          </w:p>
        </w:tc>
        <w:tc>
          <w:tcPr>
            <w:tcW w:w="799" w:type="dxa"/>
            <w:noWrap w:val="0"/>
            <w:vAlign w:val="center"/>
          </w:tcPr>
          <w:p>
            <w:pPr>
              <w:rPr>
                <w:rFonts w:cs="宋体"/>
                <w:sz w:val="21"/>
                <w:szCs w:val="21"/>
              </w:rPr>
            </w:pPr>
            <w:r>
              <w:rPr>
                <w:sz w:val="21"/>
                <w:szCs w:val="21"/>
              </w:rPr>
              <w:t>0.80</w:t>
            </w:r>
          </w:p>
        </w:tc>
        <w:tc>
          <w:tcPr>
            <w:tcW w:w="1265" w:type="dxa"/>
            <w:noWrap w:val="0"/>
            <w:vAlign w:val="center"/>
          </w:tcPr>
          <w:p>
            <w:pPr>
              <w:rPr>
                <w:rFonts w:cs="宋体"/>
                <w:sz w:val="21"/>
                <w:szCs w:val="21"/>
              </w:rPr>
            </w:pPr>
            <w:r>
              <w:rPr>
                <w:sz w:val="21"/>
                <w:szCs w:val="21"/>
              </w:rPr>
              <w:t>0.0088</w:t>
            </w:r>
          </w:p>
        </w:tc>
        <w:tc>
          <w:tcPr>
            <w:tcW w:w="799" w:type="dxa"/>
            <w:noWrap w:val="0"/>
            <w:vAlign w:val="center"/>
          </w:tcPr>
          <w:p>
            <w:pPr>
              <w:rPr>
                <w:rFonts w:cs="宋体"/>
                <w:sz w:val="21"/>
                <w:szCs w:val="21"/>
              </w:rPr>
            </w:pPr>
            <w:r>
              <w:rPr>
                <w:sz w:val="21"/>
                <w:szCs w:val="21"/>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600</w:t>
            </w:r>
          </w:p>
        </w:tc>
        <w:tc>
          <w:tcPr>
            <w:tcW w:w="1325" w:type="dxa"/>
            <w:noWrap w:val="0"/>
            <w:vAlign w:val="center"/>
          </w:tcPr>
          <w:p>
            <w:pPr>
              <w:rPr>
                <w:rFonts w:cs="宋体"/>
                <w:sz w:val="21"/>
                <w:szCs w:val="21"/>
              </w:rPr>
            </w:pPr>
            <w:r>
              <w:rPr>
                <w:sz w:val="21"/>
                <w:szCs w:val="21"/>
              </w:rPr>
              <w:t>0.0112</w:t>
            </w:r>
          </w:p>
        </w:tc>
        <w:tc>
          <w:tcPr>
            <w:tcW w:w="799" w:type="dxa"/>
            <w:noWrap w:val="0"/>
            <w:vAlign w:val="center"/>
          </w:tcPr>
          <w:p>
            <w:pPr>
              <w:rPr>
                <w:rFonts w:cs="宋体"/>
                <w:sz w:val="21"/>
                <w:szCs w:val="21"/>
              </w:rPr>
            </w:pPr>
            <w:r>
              <w:rPr>
                <w:sz w:val="21"/>
                <w:szCs w:val="21"/>
              </w:rPr>
              <w:t>2.23</w:t>
            </w:r>
          </w:p>
        </w:tc>
        <w:tc>
          <w:tcPr>
            <w:tcW w:w="1265" w:type="dxa"/>
            <w:noWrap w:val="0"/>
            <w:vAlign w:val="center"/>
          </w:tcPr>
          <w:p>
            <w:pPr>
              <w:rPr>
                <w:rFonts w:cs="宋体"/>
                <w:sz w:val="21"/>
                <w:szCs w:val="21"/>
              </w:rPr>
            </w:pPr>
            <w:r>
              <w:rPr>
                <w:sz w:val="21"/>
                <w:szCs w:val="21"/>
              </w:rPr>
              <w:t>0.0740</w:t>
            </w:r>
          </w:p>
        </w:tc>
        <w:tc>
          <w:tcPr>
            <w:tcW w:w="799" w:type="dxa"/>
            <w:noWrap w:val="0"/>
            <w:vAlign w:val="center"/>
          </w:tcPr>
          <w:p>
            <w:pPr>
              <w:rPr>
                <w:rFonts w:cs="宋体"/>
                <w:sz w:val="21"/>
                <w:szCs w:val="21"/>
              </w:rPr>
            </w:pPr>
            <w:r>
              <w:rPr>
                <w:sz w:val="21"/>
                <w:szCs w:val="21"/>
              </w:rPr>
              <w:t>30.85</w:t>
            </w:r>
          </w:p>
        </w:tc>
        <w:tc>
          <w:tcPr>
            <w:tcW w:w="1325" w:type="dxa"/>
            <w:noWrap w:val="0"/>
            <w:vAlign w:val="center"/>
          </w:tcPr>
          <w:p>
            <w:pPr>
              <w:rPr>
                <w:rFonts w:cs="宋体"/>
                <w:sz w:val="21"/>
                <w:szCs w:val="21"/>
              </w:rPr>
            </w:pPr>
            <w:r>
              <w:rPr>
                <w:sz w:val="21"/>
                <w:szCs w:val="21"/>
              </w:rPr>
              <w:t>0.0032</w:t>
            </w:r>
          </w:p>
        </w:tc>
        <w:tc>
          <w:tcPr>
            <w:tcW w:w="799" w:type="dxa"/>
            <w:noWrap w:val="0"/>
            <w:vAlign w:val="center"/>
          </w:tcPr>
          <w:p>
            <w:pPr>
              <w:rPr>
                <w:rFonts w:cs="宋体"/>
                <w:sz w:val="21"/>
                <w:szCs w:val="21"/>
              </w:rPr>
            </w:pPr>
            <w:r>
              <w:rPr>
                <w:sz w:val="21"/>
                <w:szCs w:val="21"/>
              </w:rPr>
              <w:t>0.71</w:t>
            </w:r>
          </w:p>
        </w:tc>
        <w:tc>
          <w:tcPr>
            <w:tcW w:w="1325" w:type="dxa"/>
            <w:noWrap w:val="0"/>
            <w:vAlign w:val="center"/>
          </w:tcPr>
          <w:p>
            <w:pPr>
              <w:rPr>
                <w:rFonts w:cs="宋体"/>
                <w:sz w:val="21"/>
                <w:szCs w:val="21"/>
              </w:rPr>
            </w:pPr>
            <w:r>
              <w:rPr>
                <w:sz w:val="21"/>
                <w:szCs w:val="21"/>
              </w:rPr>
              <w:t>0.0048</w:t>
            </w:r>
          </w:p>
        </w:tc>
        <w:tc>
          <w:tcPr>
            <w:tcW w:w="799" w:type="dxa"/>
            <w:noWrap w:val="0"/>
            <w:vAlign w:val="center"/>
          </w:tcPr>
          <w:p>
            <w:pPr>
              <w:rPr>
                <w:rFonts w:cs="宋体"/>
                <w:sz w:val="21"/>
                <w:szCs w:val="21"/>
              </w:rPr>
            </w:pPr>
            <w:r>
              <w:rPr>
                <w:sz w:val="21"/>
                <w:szCs w:val="21"/>
              </w:rPr>
              <w:t>1.06</w:t>
            </w:r>
          </w:p>
        </w:tc>
        <w:tc>
          <w:tcPr>
            <w:tcW w:w="1265" w:type="dxa"/>
            <w:noWrap w:val="0"/>
            <w:vAlign w:val="center"/>
          </w:tcPr>
          <w:p>
            <w:pPr>
              <w:rPr>
                <w:rFonts w:cs="宋体"/>
                <w:sz w:val="21"/>
                <w:szCs w:val="21"/>
              </w:rPr>
            </w:pPr>
            <w:r>
              <w:rPr>
                <w:sz w:val="21"/>
                <w:szCs w:val="21"/>
              </w:rPr>
              <w:t>0.0085</w:t>
            </w:r>
          </w:p>
        </w:tc>
        <w:tc>
          <w:tcPr>
            <w:tcW w:w="799" w:type="dxa"/>
            <w:noWrap w:val="0"/>
            <w:vAlign w:val="center"/>
          </w:tcPr>
          <w:p>
            <w:pPr>
              <w:rPr>
                <w:rFonts w:cs="宋体"/>
                <w:sz w:val="21"/>
                <w:szCs w:val="21"/>
              </w:rPr>
            </w:pPr>
            <w:r>
              <w:rPr>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26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26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900</w:t>
            </w:r>
          </w:p>
        </w:tc>
        <w:tc>
          <w:tcPr>
            <w:tcW w:w="1325" w:type="dxa"/>
            <w:noWrap w:val="0"/>
            <w:vAlign w:val="center"/>
          </w:tcPr>
          <w:p>
            <w:pPr>
              <w:rPr>
                <w:rFonts w:cs="宋体"/>
                <w:sz w:val="21"/>
                <w:szCs w:val="21"/>
              </w:rPr>
            </w:pPr>
            <w:r>
              <w:rPr>
                <w:sz w:val="21"/>
                <w:szCs w:val="21"/>
              </w:rPr>
              <w:t>0.0222</w:t>
            </w:r>
          </w:p>
        </w:tc>
        <w:tc>
          <w:tcPr>
            <w:tcW w:w="799" w:type="dxa"/>
            <w:noWrap w:val="0"/>
            <w:vAlign w:val="center"/>
          </w:tcPr>
          <w:p>
            <w:pPr>
              <w:rPr>
                <w:rFonts w:cs="宋体"/>
                <w:sz w:val="21"/>
                <w:szCs w:val="21"/>
              </w:rPr>
            </w:pPr>
            <w:r>
              <w:rPr>
                <w:sz w:val="21"/>
                <w:szCs w:val="21"/>
              </w:rPr>
              <w:t>4.43</w:t>
            </w:r>
          </w:p>
        </w:tc>
        <w:tc>
          <w:tcPr>
            <w:tcW w:w="1265" w:type="dxa"/>
            <w:noWrap w:val="0"/>
            <w:vAlign w:val="center"/>
          </w:tcPr>
          <w:p>
            <w:pPr>
              <w:rPr>
                <w:rFonts w:cs="宋体"/>
                <w:sz w:val="21"/>
                <w:szCs w:val="21"/>
              </w:rPr>
            </w:pPr>
            <w:r>
              <w:rPr>
                <w:sz w:val="21"/>
                <w:szCs w:val="21"/>
              </w:rPr>
              <w:t>0.1472</w:t>
            </w:r>
          </w:p>
        </w:tc>
        <w:tc>
          <w:tcPr>
            <w:tcW w:w="799" w:type="dxa"/>
            <w:noWrap w:val="0"/>
            <w:vAlign w:val="center"/>
          </w:tcPr>
          <w:p>
            <w:pPr>
              <w:rPr>
                <w:rFonts w:cs="宋体"/>
                <w:sz w:val="21"/>
                <w:szCs w:val="21"/>
              </w:rPr>
            </w:pPr>
            <w:r>
              <w:rPr>
                <w:sz w:val="21"/>
                <w:szCs w:val="21"/>
              </w:rPr>
              <w:t>61.33</w:t>
            </w:r>
          </w:p>
        </w:tc>
        <w:tc>
          <w:tcPr>
            <w:tcW w:w="1325" w:type="dxa"/>
            <w:noWrap w:val="0"/>
            <w:vAlign w:val="center"/>
          </w:tcPr>
          <w:p>
            <w:pPr>
              <w:rPr>
                <w:rFonts w:cs="宋体"/>
                <w:sz w:val="21"/>
                <w:szCs w:val="21"/>
              </w:rPr>
            </w:pPr>
            <w:r>
              <w:rPr>
                <w:sz w:val="21"/>
                <w:szCs w:val="21"/>
              </w:rPr>
              <w:t>0.0063</w:t>
            </w:r>
          </w:p>
        </w:tc>
        <w:tc>
          <w:tcPr>
            <w:tcW w:w="799" w:type="dxa"/>
            <w:noWrap w:val="0"/>
            <w:vAlign w:val="center"/>
          </w:tcPr>
          <w:p>
            <w:pPr>
              <w:rPr>
                <w:rFonts w:cs="宋体"/>
                <w:sz w:val="21"/>
                <w:szCs w:val="21"/>
              </w:rPr>
            </w:pPr>
            <w:r>
              <w:rPr>
                <w:sz w:val="21"/>
                <w:szCs w:val="21"/>
              </w:rPr>
              <w:t>1.40</w:t>
            </w:r>
          </w:p>
        </w:tc>
        <w:tc>
          <w:tcPr>
            <w:tcW w:w="1325" w:type="dxa"/>
            <w:noWrap w:val="0"/>
            <w:vAlign w:val="center"/>
          </w:tcPr>
          <w:p>
            <w:pPr>
              <w:rPr>
                <w:rFonts w:cs="宋体"/>
                <w:sz w:val="21"/>
                <w:szCs w:val="21"/>
              </w:rPr>
            </w:pPr>
            <w:r>
              <w:rPr>
                <w:sz w:val="21"/>
                <w:szCs w:val="21"/>
              </w:rPr>
              <w:t>0.0063</w:t>
            </w:r>
          </w:p>
        </w:tc>
        <w:tc>
          <w:tcPr>
            <w:tcW w:w="799" w:type="dxa"/>
            <w:noWrap w:val="0"/>
            <w:vAlign w:val="center"/>
          </w:tcPr>
          <w:p>
            <w:pPr>
              <w:rPr>
                <w:rFonts w:cs="宋体"/>
                <w:sz w:val="21"/>
                <w:szCs w:val="21"/>
              </w:rPr>
            </w:pPr>
            <w:r>
              <w:rPr>
                <w:sz w:val="21"/>
                <w:szCs w:val="21"/>
              </w:rPr>
              <w:t>1.41</w:t>
            </w:r>
          </w:p>
        </w:tc>
        <w:tc>
          <w:tcPr>
            <w:tcW w:w="1265" w:type="dxa"/>
            <w:noWrap w:val="0"/>
            <w:vAlign w:val="center"/>
          </w:tcPr>
          <w:p>
            <w:pPr>
              <w:rPr>
                <w:rFonts w:cs="宋体"/>
                <w:sz w:val="21"/>
                <w:szCs w:val="21"/>
              </w:rPr>
            </w:pPr>
            <w:r>
              <w:rPr>
                <w:sz w:val="21"/>
                <w:szCs w:val="21"/>
              </w:rPr>
              <w:t>0.0095</w:t>
            </w:r>
          </w:p>
        </w:tc>
        <w:tc>
          <w:tcPr>
            <w:tcW w:w="799" w:type="dxa"/>
            <w:noWrap w:val="0"/>
            <w:vAlign w:val="center"/>
          </w:tcPr>
          <w:p>
            <w:pPr>
              <w:rPr>
                <w:rFonts w:cs="宋体"/>
                <w:sz w:val="21"/>
                <w:szCs w:val="21"/>
              </w:rPr>
            </w:pPr>
            <w:r>
              <w:rPr>
                <w:sz w:val="21"/>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1000</w:t>
            </w:r>
          </w:p>
        </w:tc>
        <w:tc>
          <w:tcPr>
            <w:tcW w:w="1325" w:type="dxa"/>
            <w:noWrap w:val="0"/>
            <w:vAlign w:val="center"/>
          </w:tcPr>
          <w:p>
            <w:pPr>
              <w:rPr>
                <w:rFonts w:cs="宋体"/>
                <w:sz w:val="21"/>
                <w:szCs w:val="21"/>
              </w:rPr>
            </w:pPr>
            <w:r>
              <w:rPr>
                <w:sz w:val="21"/>
                <w:szCs w:val="21"/>
              </w:rPr>
              <w:t>0.0240</w:t>
            </w:r>
          </w:p>
        </w:tc>
        <w:tc>
          <w:tcPr>
            <w:tcW w:w="799" w:type="dxa"/>
            <w:noWrap w:val="0"/>
            <w:vAlign w:val="center"/>
          </w:tcPr>
          <w:p>
            <w:pPr>
              <w:rPr>
                <w:rFonts w:cs="宋体"/>
                <w:sz w:val="21"/>
                <w:szCs w:val="21"/>
              </w:rPr>
            </w:pPr>
            <w:r>
              <w:rPr>
                <w:sz w:val="21"/>
                <w:szCs w:val="21"/>
              </w:rPr>
              <w:t>4.80</w:t>
            </w:r>
          </w:p>
        </w:tc>
        <w:tc>
          <w:tcPr>
            <w:tcW w:w="1265" w:type="dxa"/>
            <w:noWrap w:val="0"/>
            <w:vAlign w:val="center"/>
          </w:tcPr>
          <w:p>
            <w:pPr>
              <w:rPr>
                <w:rFonts w:cs="宋体"/>
                <w:sz w:val="21"/>
                <w:szCs w:val="21"/>
              </w:rPr>
            </w:pPr>
            <w:r>
              <w:rPr>
                <w:sz w:val="21"/>
                <w:szCs w:val="21"/>
              </w:rPr>
              <w:t>0.1593</w:t>
            </w:r>
          </w:p>
        </w:tc>
        <w:tc>
          <w:tcPr>
            <w:tcW w:w="799" w:type="dxa"/>
            <w:noWrap w:val="0"/>
            <w:vAlign w:val="center"/>
          </w:tcPr>
          <w:p>
            <w:pPr>
              <w:rPr>
                <w:rFonts w:cs="宋体"/>
                <w:sz w:val="21"/>
                <w:szCs w:val="21"/>
              </w:rPr>
            </w:pPr>
            <w:r>
              <w:rPr>
                <w:sz w:val="21"/>
                <w:szCs w:val="21"/>
              </w:rPr>
              <w:t>66.38</w:t>
            </w:r>
          </w:p>
        </w:tc>
        <w:tc>
          <w:tcPr>
            <w:tcW w:w="1325" w:type="dxa"/>
            <w:noWrap w:val="0"/>
            <w:vAlign w:val="center"/>
          </w:tcPr>
          <w:p>
            <w:pPr>
              <w:rPr>
                <w:rFonts w:cs="宋体"/>
                <w:sz w:val="21"/>
                <w:szCs w:val="21"/>
              </w:rPr>
            </w:pPr>
            <w:r>
              <w:rPr>
                <w:sz w:val="21"/>
                <w:szCs w:val="21"/>
              </w:rPr>
              <w:t>0.0068</w:t>
            </w:r>
          </w:p>
        </w:tc>
        <w:tc>
          <w:tcPr>
            <w:tcW w:w="799" w:type="dxa"/>
            <w:noWrap w:val="0"/>
            <w:vAlign w:val="center"/>
          </w:tcPr>
          <w:p>
            <w:pPr>
              <w:rPr>
                <w:rFonts w:cs="宋体"/>
                <w:sz w:val="21"/>
                <w:szCs w:val="21"/>
              </w:rPr>
            </w:pPr>
            <w:r>
              <w:rPr>
                <w:sz w:val="21"/>
                <w:szCs w:val="21"/>
              </w:rPr>
              <w:t>1.52</w:t>
            </w:r>
          </w:p>
        </w:tc>
        <w:tc>
          <w:tcPr>
            <w:tcW w:w="1325" w:type="dxa"/>
            <w:noWrap w:val="0"/>
            <w:vAlign w:val="center"/>
          </w:tcPr>
          <w:p>
            <w:pPr>
              <w:rPr>
                <w:rFonts w:cs="宋体"/>
                <w:sz w:val="21"/>
                <w:szCs w:val="21"/>
              </w:rPr>
            </w:pPr>
            <w:r>
              <w:rPr>
                <w:sz w:val="21"/>
                <w:szCs w:val="21"/>
              </w:rPr>
              <w:t>0.0065</w:t>
            </w:r>
          </w:p>
        </w:tc>
        <w:tc>
          <w:tcPr>
            <w:tcW w:w="799" w:type="dxa"/>
            <w:noWrap w:val="0"/>
            <w:vAlign w:val="center"/>
          </w:tcPr>
          <w:p>
            <w:pPr>
              <w:rPr>
                <w:rFonts w:cs="宋体"/>
                <w:sz w:val="21"/>
                <w:szCs w:val="21"/>
              </w:rPr>
            </w:pPr>
            <w:r>
              <w:rPr>
                <w:sz w:val="21"/>
                <w:szCs w:val="21"/>
              </w:rPr>
              <w:t>1.45</w:t>
            </w:r>
          </w:p>
        </w:tc>
        <w:tc>
          <w:tcPr>
            <w:tcW w:w="1265" w:type="dxa"/>
            <w:noWrap w:val="0"/>
            <w:vAlign w:val="center"/>
          </w:tcPr>
          <w:p>
            <w:pPr>
              <w:rPr>
                <w:rFonts w:cs="宋体"/>
                <w:sz w:val="21"/>
                <w:szCs w:val="21"/>
              </w:rPr>
            </w:pPr>
            <w:r>
              <w:rPr>
                <w:sz w:val="21"/>
                <w:szCs w:val="21"/>
              </w:rPr>
              <w:t>0.0087</w:t>
            </w:r>
          </w:p>
        </w:tc>
        <w:tc>
          <w:tcPr>
            <w:tcW w:w="799" w:type="dxa"/>
            <w:noWrap w:val="0"/>
            <w:vAlign w:val="center"/>
          </w:tcPr>
          <w:p>
            <w:pPr>
              <w:rPr>
                <w:rFonts w:cs="宋体"/>
                <w:sz w:val="21"/>
                <w:szCs w:val="21"/>
              </w:rPr>
            </w:pPr>
            <w:r>
              <w:rPr>
                <w:sz w:val="21"/>
                <w:szCs w:val="21"/>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1100</w:t>
            </w:r>
          </w:p>
        </w:tc>
        <w:tc>
          <w:tcPr>
            <w:tcW w:w="1325" w:type="dxa"/>
            <w:noWrap w:val="0"/>
            <w:vAlign w:val="center"/>
          </w:tcPr>
          <w:p>
            <w:pPr>
              <w:rPr>
                <w:rFonts w:cs="宋体"/>
                <w:sz w:val="21"/>
                <w:szCs w:val="21"/>
              </w:rPr>
            </w:pPr>
            <w:r>
              <w:rPr>
                <w:sz w:val="21"/>
                <w:szCs w:val="21"/>
              </w:rPr>
              <w:t>0.0236</w:t>
            </w:r>
          </w:p>
        </w:tc>
        <w:tc>
          <w:tcPr>
            <w:tcW w:w="799" w:type="dxa"/>
            <w:noWrap w:val="0"/>
            <w:vAlign w:val="center"/>
          </w:tcPr>
          <w:p>
            <w:pPr>
              <w:rPr>
                <w:rFonts w:cs="宋体"/>
                <w:sz w:val="21"/>
                <w:szCs w:val="21"/>
              </w:rPr>
            </w:pPr>
            <w:r>
              <w:rPr>
                <w:sz w:val="21"/>
                <w:szCs w:val="21"/>
              </w:rPr>
              <w:t>4.72</w:t>
            </w:r>
          </w:p>
        </w:tc>
        <w:tc>
          <w:tcPr>
            <w:tcW w:w="1265" w:type="dxa"/>
            <w:noWrap w:val="0"/>
            <w:vAlign w:val="center"/>
          </w:tcPr>
          <w:p>
            <w:pPr>
              <w:rPr>
                <w:rFonts w:cs="宋体"/>
                <w:sz w:val="21"/>
                <w:szCs w:val="21"/>
              </w:rPr>
            </w:pPr>
            <w:r>
              <w:rPr>
                <w:sz w:val="21"/>
                <w:szCs w:val="21"/>
              </w:rPr>
              <w:t>0.1566</w:t>
            </w:r>
          </w:p>
        </w:tc>
        <w:tc>
          <w:tcPr>
            <w:tcW w:w="799" w:type="dxa"/>
            <w:noWrap w:val="0"/>
            <w:vAlign w:val="center"/>
          </w:tcPr>
          <w:p>
            <w:pPr>
              <w:rPr>
                <w:rFonts w:cs="宋体"/>
                <w:sz w:val="21"/>
                <w:szCs w:val="21"/>
              </w:rPr>
            </w:pPr>
            <w:r>
              <w:rPr>
                <w:sz w:val="21"/>
                <w:szCs w:val="21"/>
              </w:rPr>
              <w:t>65.25</w:t>
            </w:r>
          </w:p>
        </w:tc>
        <w:tc>
          <w:tcPr>
            <w:tcW w:w="1325" w:type="dxa"/>
            <w:noWrap w:val="0"/>
            <w:vAlign w:val="center"/>
          </w:tcPr>
          <w:p>
            <w:pPr>
              <w:rPr>
                <w:rFonts w:cs="宋体"/>
                <w:sz w:val="21"/>
                <w:szCs w:val="21"/>
              </w:rPr>
            </w:pPr>
            <w:r>
              <w:rPr>
                <w:sz w:val="21"/>
                <w:szCs w:val="21"/>
              </w:rPr>
              <w:t>0.0067</w:t>
            </w:r>
          </w:p>
        </w:tc>
        <w:tc>
          <w:tcPr>
            <w:tcW w:w="799" w:type="dxa"/>
            <w:noWrap w:val="0"/>
            <w:vAlign w:val="center"/>
          </w:tcPr>
          <w:p>
            <w:pPr>
              <w:rPr>
                <w:rFonts w:cs="宋体"/>
                <w:sz w:val="21"/>
                <w:szCs w:val="21"/>
              </w:rPr>
            </w:pPr>
            <w:r>
              <w:rPr>
                <w:sz w:val="21"/>
                <w:szCs w:val="21"/>
              </w:rPr>
              <w:t>1.49</w:t>
            </w:r>
          </w:p>
        </w:tc>
        <w:tc>
          <w:tcPr>
            <w:tcW w:w="1325" w:type="dxa"/>
            <w:noWrap w:val="0"/>
            <w:vAlign w:val="center"/>
          </w:tcPr>
          <w:p>
            <w:pPr>
              <w:rPr>
                <w:rFonts w:cs="宋体"/>
                <w:sz w:val="21"/>
                <w:szCs w:val="21"/>
              </w:rPr>
            </w:pPr>
            <w:r>
              <w:rPr>
                <w:sz w:val="21"/>
                <w:szCs w:val="21"/>
              </w:rPr>
              <w:t>0.0063</w:t>
            </w:r>
          </w:p>
        </w:tc>
        <w:tc>
          <w:tcPr>
            <w:tcW w:w="799" w:type="dxa"/>
            <w:noWrap w:val="0"/>
            <w:vAlign w:val="center"/>
          </w:tcPr>
          <w:p>
            <w:pPr>
              <w:rPr>
                <w:rFonts w:cs="宋体"/>
                <w:sz w:val="21"/>
                <w:szCs w:val="21"/>
              </w:rPr>
            </w:pPr>
            <w:r>
              <w:rPr>
                <w:sz w:val="21"/>
                <w:szCs w:val="21"/>
              </w:rPr>
              <w:t>1.40</w:t>
            </w:r>
          </w:p>
        </w:tc>
        <w:tc>
          <w:tcPr>
            <w:tcW w:w="1265" w:type="dxa"/>
            <w:noWrap w:val="0"/>
            <w:vAlign w:val="center"/>
          </w:tcPr>
          <w:p>
            <w:pPr>
              <w:rPr>
                <w:rFonts w:cs="宋体"/>
                <w:sz w:val="21"/>
                <w:szCs w:val="21"/>
              </w:rPr>
            </w:pPr>
            <w:r>
              <w:rPr>
                <w:sz w:val="21"/>
                <w:szCs w:val="21"/>
              </w:rPr>
              <w:t>0.0081</w:t>
            </w:r>
          </w:p>
        </w:tc>
        <w:tc>
          <w:tcPr>
            <w:tcW w:w="799" w:type="dxa"/>
            <w:noWrap w:val="0"/>
            <w:vAlign w:val="center"/>
          </w:tcPr>
          <w:p>
            <w:pPr>
              <w:rPr>
                <w:rFonts w:cs="宋体"/>
                <w:sz w:val="21"/>
                <w:szCs w:val="21"/>
              </w:rPr>
            </w:pPr>
            <w:r>
              <w:rPr>
                <w:sz w:val="21"/>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1200</w:t>
            </w:r>
          </w:p>
        </w:tc>
        <w:tc>
          <w:tcPr>
            <w:tcW w:w="1325" w:type="dxa"/>
            <w:noWrap w:val="0"/>
            <w:vAlign w:val="center"/>
          </w:tcPr>
          <w:p>
            <w:pPr>
              <w:rPr>
                <w:rFonts w:cs="宋体"/>
                <w:sz w:val="21"/>
                <w:szCs w:val="21"/>
              </w:rPr>
            </w:pPr>
            <w:r>
              <w:rPr>
                <w:sz w:val="21"/>
                <w:szCs w:val="21"/>
              </w:rPr>
              <w:t>0.0224</w:t>
            </w:r>
          </w:p>
        </w:tc>
        <w:tc>
          <w:tcPr>
            <w:tcW w:w="799" w:type="dxa"/>
            <w:noWrap w:val="0"/>
            <w:vAlign w:val="center"/>
          </w:tcPr>
          <w:p>
            <w:pPr>
              <w:rPr>
                <w:rFonts w:cs="宋体"/>
                <w:sz w:val="21"/>
                <w:szCs w:val="21"/>
              </w:rPr>
            </w:pPr>
            <w:r>
              <w:rPr>
                <w:sz w:val="21"/>
                <w:szCs w:val="21"/>
              </w:rPr>
              <w:t>4.48</w:t>
            </w:r>
          </w:p>
        </w:tc>
        <w:tc>
          <w:tcPr>
            <w:tcW w:w="1265" w:type="dxa"/>
            <w:noWrap w:val="0"/>
            <w:vAlign w:val="center"/>
          </w:tcPr>
          <w:p>
            <w:pPr>
              <w:rPr>
                <w:rFonts w:cs="宋体"/>
                <w:sz w:val="21"/>
                <w:szCs w:val="21"/>
              </w:rPr>
            </w:pPr>
            <w:r>
              <w:rPr>
                <w:sz w:val="21"/>
                <w:szCs w:val="21"/>
              </w:rPr>
              <w:t>0.1489</w:t>
            </w:r>
          </w:p>
        </w:tc>
        <w:tc>
          <w:tcPr>
            <w:tcW w:w="799" w:type="dxa"/>
            <w:noWrap w:val="0"/>
            <w:vAlign w:val="center"/>
          </w:tcPr>
          <w:p>
            <w:pPr>
              <w:rPr>
                <w:rFonts w:cs="宋体"/>
                <w:sz w:val="21"/>
                <w:szCs w:val="21"/>
              </w:rPr>
            </w:pPr>
            <w:r>
              <w:rPr>
                <w:sz w:val="21"/>
                <w:szCs w:val="21"/>
              </w:rPr>
              <w:t>62.04</w:t>
            </w:r>
          </w:p>
        </w:tc>
        <w:tc>
          <w:tcPr>
            <w:tcW w:w="1325" w:type="dxa"/>
            <w:noWrap w:val="0"/>
            <w:vAlign w:val="center"/>
          </w:tcPr>
          <w:p>
            <w:pPr>
              <w:rPr>
                <w:rFonts w:cs="宋体"/>
                <w:sz w:val="21"/>
                <w:szCs w:val="21"/>
              </w:rPr>
            </w:pPr>
            <w:r>
              <w:rPr>
                <w:sz w:val="21"/>
                <w:szCs w:val="21"/>
              </w:rPr>
              <w:t>0.0064</w:t>
            </w:r>
          </w:p>
        </w:tc>
        <w:tc>
          <w:tcPr>
            <w:tcW w:w="799" w:type="dxa"/>
            <w:noWrap w:val="0"/>
            <w:vAlign w:val="center"/>
          </w:tcPr>
          <w:p>
            <w:pPr>
              <w:rPr>
                <w:rFonts w:cs="宋体"/>
                <w:sz w:val="21"/>
                <w:szCs w:val="21"/>
              </w:rPr>
            </w:pPr>
            <w:r>
              <w:rPr>
                <w:sz w:val="21"/>
                <w:szCs w:val="21"/>
              </w:rPr>
              <w:t>1.42</w:t>
            </w:r>
          </w:p>
        </w:tc>
        <w:tc>
          <w:tcPr>
            <w:tcW w:w="1325" w:type="dxa"/>
            <w:noWrap w:val="0"/>
            <w:vAlign w:val="center"/>
          </w:tcPr>
          <w:p>
            <w:pPr>
              <w:rPr>
                <w:rFonts w:cs="宋体"/>
                <w:sz w:val="21"/>
                <w:szCs w:val="21"/>
              </w:rPr>
            </w:pPr>
            <w:r>
              <w:rPr>
                <w:sz w:val="21"/>
                <w:szCs w:val="21"/>
              </w:rPr>
              <w:t>0.0060</w:t>
            </w:r>
          </w:p>
        </w:tc>
        <w:tc>
          <w:tcPr>
            <w:tcW w:w="799" w:type="dxa"/>
            <w:noWrap w:val="0"/>
            <w:vAlign w:val="center"/>
          </w:tcPr>
          <w:p>
            <w:pPr>
              <w:rPr>
                <w:rFonts w:cs="宋体"/>
                <w:sz w:val="21"/>
                <w:szCs w:val="21"/>
              </w:rPr>
            </w:pPr>
            <w:r>
              <w:rPr>
                <w:sz w:val="21"/>
                <w:szCs w:val="21"/>
              </w:rPr>
              <w:t>1.32</w:t>
            </w:r>
          </w:p>
        </w:tc>
        <w:tc>
          <w:tcPr>
            <w:tcW w:w="1265" w:type="dxa"/>
            <w:noWrap w:val="0"/>
            <w:vAlign w:val="center"/>
          </w:tcPr>
          <w:p>
            <w:pPr>
              <w:rPr>
                <w:rFonts w:cs="宋体"/>
                <w:sz w:val="21"/>
                <w:szCs w:val="21"/>
              </w:rPr>
            </w:pPr>
            <w:r>
              <w:rPr>
                <w:sz w:val="21"/>
                <w:szCs w:val="21"/>
              </w:rPr>
              <w:t>0.0075</w:t>
            </w:r>
          </w:p>
        </w:tc>
        <w:tc>
          <w:tcPr>
            <w:tcW w:w="799" w:type="dxa"/>
            <w:noWrap w:val="0"/>
            <w:vAlign w:val="center"/>
          </w:tcPr>
          <w:p>
            <w:pPr>
              <w:rPr>
                <w:rFonts w:cs="宋体"/>
                <w:sz w:val="21"/>
                <w:szCs w:val="21"/>
              </w:rPr>
            </w:pPr>
            <w:r>
              <w:rPr>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26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32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c>
          <w:tcPr>
            <w:tcW w:w="1265" w:type="dxa"/>
            <w:noWrap w:val="0"/>
            <w:vAlign w:val="top"/>
          </w:tcPr>
          <w:p>
            <w:pPr>
              <w:rPr>
                <w:sz w:val="21"/>
                <w:szCs w:val="21"/>
              </w:rPr>
            </w:pPr>
            <w:r>
              <w:rPr>
                <w:sz w:val="21"/>
                <w:szCs w:val="21"/>
              </w:rPr>
              <w:t>…</w:t>
            </w:r>
          </w:p>
        </w:tc>
        <w:tc>
          <w:tcPr>
            <w:tcW w:w="799" w:type="dxa"/>
            <w:noWrap w:val="0"/>
            <w:vAlign w:val="top"/>
          </w:tcPr>
          <w:p>
            <w:pP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4500</w:t>
            </w:r>
          </w:p>
        </w:tc>
        <w:tc>
          <w:tcPr>
            <w:tcW w:w="1325" w:type="dxa"/>
            <w:noWrap w:val="0"/>
            <w:vAlign w:val="center"/>
          </w:tcPr>
          <w:p>
            <w:pPr>
              <w:rPr>
                <w:rFonts w:cs="宋体"/>
                <w:sz w:val="21"/>
                <w:szCs w:val="21"/>
              </w:rPr>
            </w:pPr>
            <w:r>
              <w:rPr>
                <w:sz w:val="21"/>
                <w:szCs w:val="21"/>
              </w:rPr>
              <w:t>0.0103</w:t>
            </w:r>
          </w:p>
        </w:tc>
        <w:tc>
          <w:tcPr>
            <w:tcW w:w="799" w:type="dxa"/>
            <w:noWrap w:val="0"/>
            <w:vAlign w:val="center"/>
          </w:tcPr>
          <w:p>
            <w:pPr>
              <w:rPr>
                <w:rFonts w:cs="宋体"/>
                <w:sz w:val="21"/>
                <w:szCs w:val="21"/>
              </w:rPr>
            </w:pPr>
            <w:r>
              <w:rPr>
                <w:sz w:val="21"/>
                <w:szCs w:val="21"/>
              </w:rPr>
              <w:t>2.05</w:t>
            </w:r>
          </w:p>
        </w:tc>
        <w:tc>
          <w:tcPr>
            <w:tcW w:w="1265" w:type="dxa"/>
            <w:noWrap w:val="0"/>
            <w:vAlign w:val="center"/>
          </w:tcPr>
          <w:p>
            <w:pPr>
              <w:rPr>
                <w:rFonts w:cs="宋体"/>
                <w:sz w:val="21"/>
                <w:szCs w:val="21"/>
              </w:rPr>
            </w:pPr>
            <w:r>
              <w:rPr>
                <w:sz w:val="21"/>
                <w:szCs w:val="21"/>
              </w:rPr>
              <w:t>0.0681</w:t>
            </w:r>
          </w:p>
        </w:tc>
        <w:tc>
          <w:tcPr>
            <w:tcW w:w="799" w:type="dxa"/>
            <w:noWrap w:val="0"/>
            <w:vAlign w:val="center"/>
          </w:tcPr>
          <w:p>
            <w:pPr>
              <w:rPr>
                <w:rFonts w:cs="宋体"/>
                <w:sz w:val="21"/>
                <w:szCs w:val="21"/>
              </w:rPr>
            </w:pPr>
            <w:r>
              <w:rPr>
                <w:sz w:val="21"/>
                <w:szCs w:val="21"/>
              </w:rPr>
              <w:t>28.38</w:t>
            </w:r>
          </w:p>
        </w:tc>
        <w:tc>
          <w:tcPr>
            <w:tcW w:w="1325" w:type="dxa"/>
            <w:noWrap w:val="0"/>
            <w:vAlign w:val="center"/>
          </w:tcPr>
          <w:p>
            <w:pPr>
              <w:rPr>
                <w:rFonts w:cs="宋体"/>
                <w:sz w:val="21"/>
                <w:szCs w:val="21"/>
              </w:rPr>
            </w:pPr>
            <w:r>
              <w:rPr>
                <w:sz w:val="21"/>
                <w:szCs w:val="21"/>
              </w:rPr>
              <w:t>0.0029</w:t>
            </w:r>
          </w:p>
        </w:tc>
        <w:tc>
          <w:tcPr>
            <w:tcW w:w="799" w:type="dxa"/>
            <w:noWrap w:val="0"/>
            <w:vAlign w:val="center"/>
          </w:tcPr>
          <w:p>
            <w:pPr>
              <w:rPr>
                <w:rFonts w:cs="宋体"/>
                <w:sz w:val="21"/>
                <w:szCs w:val="21"/>
              </w:rPr>
            </w:pPr>
            <w:r>
              <w:rPr>
                <w:sz w:val="21"/>
                <w:szCs w:val="21"/>
              </w:rPr>
              <w:t>0.65</w:t>
            </w:r>
          </w:p>
        </w:tc>
        <w:tc>
          <w:tcPr>
            <w:tcW w:w="1325" w:type="dxa"/>
            <w:noWrap w:val="0"/>
            <w:vAlign w:val="center"/>
          </w:tcPr>
          <w:p>
            <w:pPr>
              <w:rPr>
                <w:rFonts w:cs="宋体"/>
                <w:sz w:val="21"/>
                <w:szCs w:val="21"/>
              </w:rPr>
            </w:pPr>
            <w:r>
              <w:rPr>
                <w:sz w:val="21"/>
                <w:szCs w:val="21"/>
              </w:rPr>
              <w:t>0.0028</w:t>
            </w:r>
          </w:p>
        </w:tc>
        <w:tc>
          <w:tcPr>
            <w:tcW w:w="799" w:type="dxa"/>
            <w:noWrap w:val="0"/>
            <w:vAlign w:val="center"/>
          </w:tcPr>
          <w:p>
            <w:pPr>
              <w:rPr>
                <w:rFonts w:cs="宋体"/>
                <w:sz w:val="21"/>
                <w:szCs w:val="21"/>
              </w:rPr>
            </w:pPr>
            <w:r>
              <w:rPr>
                <w:sz w:val="21"/>
                <w:szCs w:val="21"/>
              </w:rPr>
              <w:t>0.61</w:t>
            </w:r>
          </w:p>
        </w:tc>
        <w:tc>
          <w:tcPr>
            <w:tcW w:w="1265" w:type="dxa"/>
            <w:noWrap w:val="0"/>
            <w:vAlign w:val="center"/>
          </w:tcPr>
          <w:p>
            <w:pPr>
              <w:rPr>
                <w:rFonts w:cs="宋体"/>
                <w:sz w:val="21"/>
                <w:szCs w:val="21"/>
              </w:rPr>
            </w:pPr>
            <w:r>
              <w:rPr>
                <w:sz w:val="21"/>
                <w:szCs w:val="21"/>
              </w:rPr>
              <w:t>0.0044</w:t>
            </w:r>
          </w:p>
        </w:tc>
        <w:tc>
          <w:tcPr>
            <w:tcW w:w="799" w:type="dxa"/>
            <w:noWrap w:val="0"/>
            <w:vAlign w:val="center"/>
          </w:tcPr>
          <w:p>
            <w:pPr>
              <w:rPr>
                <w:rFonts w:cs="宋体"/>
                <w:sz w:val="21"/>
                <w:szCs w:val="21"/>
              </w:rPr>
            </w:pPr>
            <w:r>
              <w:rPr>
                <w:sz w:val="21"/>
                <w:szCs w:val="21"/>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5000</w:t>
            </w:r>
          </w:p>
        </w:tc>
        <w:tc>
          <w:tcPr>
            <w:tcW w:w="1325" w:type="dxa"/>
            <w:noWrap w:val="0"/>
            <w:vAlign w:val="center"/>
          </w:tcPr>
          <w:p>
            <w:pPr>
              <w:rPr>
                <w:rFonts w:cs="宋体"/>
                <w:sz w:val="21"/>
                <w:szCs w:val="21"/>
              </w:rPr>
            </w:pPr>
            <w:r>
              <w:rPr>
                <w:sz w:val="21"/>
                <w:szCs w:val="21"/>
              </w:rPr>
              <w:t>0.0094</w:t>
            </w:r>
          </w:p>
        </w:tc>
        <w:tc>
          <w:tcPr>
            <w:tcW w:w="799" w:type="dxa"/>
            <w:noWrap w:val="0"/>
            <w:vAlign w:val="center"/>
          </w:tcPr>
          <w:p>
            <w:pPr>
              <w:rPr>
                <w:rFonts w:cs="宋体"/>
                <w:sz w:val="21"/>
                <w:szCs w:val="21"/>
              </w:rPr>
            </w:pPr>
            <w:r>
              <w:rPr>
                <w:sz w:val="21"/>
                <w:szCs w:val="21"/>
              </w:rPr>
              <w:t>1.89</w:t>
            </w:r>
          </w:p>
        </w:tc>
        <w:tc>
          <w:tcPr>
            <w:tcW w:w="1265" w:type="dxa"/>
            <w:noWrap w:val="0"/>
            <w:vAlign w:val="center"/>
          </w:tcPr>
          <w:p>
            <w:pPr>
              <w:rPr>
                <w:rFonts w:cs="宋体"/>
                <w:sz w:val="21"/>
                <w:szCs w:val="21"/>
              </w:rPr>
            </w:pPr>
            <w:r>
              <w:rPr>
                <w:sz w:val="21"/>
                <w:szCs w:val="21"/>
              </w:rPr>
              <w:t>0.0627</w:t>
            </w:r>
          </w:p>
        </w:tc>
        <w:tc>
          <w:tcPr>
            <w:tcW w:w="799" w:type="dxa"/>
            <w:noWrap w:val="0"/>
            <w:vAlign w:val="center"/>
          </w:tcPr>
          <w:p>
            <w:pPr>
              <w:rPr>
                <w:rFonts w:cs="宋体"/>
                <w:sz w:val="21"/>
                <w:szCs w:val="21"/>
              </w:rPr>
            </w:pPr>
            <w:r>
              <w:rPr>
                <w:sz w:val="21"/>
                <w:szCs w:val="21"/>
              </w:rPr>
              <w:t>26.13</w:t>
            </w:r>
          </w:p>
        </w:tc>
        <w:tc>
          <w:tcPr>
            <w:tcW w:w="1325" w:type="dxa"/>
            <w:noWrap w:val="0"/>
            <w:vAlign w:val="center"/>
          </w:tcPr>
          <w:p>
            <w:pPr>
              <w:rPr>
                <w:rFonts w:cs="宋体"/>
                <w:sz w:val="21"/>
                <w:szCs w:val="21"/>
              </w:rPr>
            </w:pPr>
            <w:r>
              <w:rPr>
                <w:sz w:val="21"/>
                <w:szCs w:val="21"/>
              </w:rPr>
              <w:t>0.0027</w:t>
            </w:r>
          </w:p>
        </w:tc>
        <w:tc>
          <w:tcPr>
            <w:tcW w:w="799" w:type="dxa"/>
            <w:noWrap w:val="0"/>
            <w:vAlign w:val="center"/>
          </w:tcPr>
          <w:p>
            <w:pPr>
              <w:rPr>
                <w:rFonts w:cs="宋体"/>
                <w:sz w:val="21"/>
                <w:szCs w:val="21"/>
              </w:rPr>
            </w:pPr>
            <w:r>
              <w:rPr>
                <w:sz w:val="21"/>
                <w:szCs w:val="21"/>
              </w:rPr>
              <w:t>0.60</w:t>
            </w:r>
          </w:p>
        </w:tc>
        <w:tc>
          <w:tcPr>
            <w:tcW w:w="1325" w:type="dxa"/>
            <w:noWrap w:val="0"/>
            <w:vAlign w:val="center"/>
          </w:tcPr>
          <w:p>
            <w:pPr>
              <w:rPr>
                <w:rFonts w:cs="宋体"/>
                <w:sz w:val="21"/>
                <w:szCs w:val="21"/>
              </w:rPr>
            </w:pPr>
            <w:r>
              <w:rPr>
                <w:sz w:val="21"/>
                <w:szCs w:val="21"/>
              </w:rPr>
              <w:t>0.0025</w:t>
            </w:r>
          </w:p>
        </w:tc>
        <w:tc>
          <w:tcPr>
            <w:tcW w:w="799" w:type="dxa"/>
            <w:noWrap w:val="0"/>
            <w:vAlign w:val="center"/>
          </w:tcPr>
          <w:p>
            <w:pPr>
              <w:rPr>
                <w:rFonts w:cs="宋体"/>
                <w:sz w:val="21"/>
                <w:szCs w:val="21"/>
              </w:rPr>
            </w:pPr>
            <w:r>
              <w:rPr>
                <w:sz w:val="21"/>
                <w:szCs w:val="21"/>
              </w:rPr>
              <w:t>0.56</w:t>
            </w:r>
          </w:p>
        </w:tc>
        <w:tc>
          <w:tcPr>
            <w:tcW w:w="1265" w:type="dxa"/>
            <w:noWrap w:val="0"/>
            <w:vAlign w:val="center"/>
          </w:tcPr>
          <w:p>
            <w:pPr>
              <w:rPr>
                <w:rFonts w:cs="宋体"/>
                <w:sz w:val="21"/>
                <w:szCs w:val="21"/>
              </w:rPr>
            </w:pPr>
            <w:r>
              <w:rPr>
                <w:sz w:val="21"/>
                <w:szCs w:val="21"/>
              </w:rPr>
              <w:t>0.0045</w:t>
            </w:r>
          </w:p>
        </w:tc>
        <w:tc>
          <w:tcPr>
            <w:tcW w:w="799" w:type="dxa"/>
            <w:noWrap w:val="0"/>
            <w:vAlign w:val="center"/>
          </w:tcPr>
          <w:p>
            <w:pPr>
              <w:rPr>
                <w:rFonts w:cs="宋体"/>
                <w:sz w:val="21"/>
                <w:szCs w:val="21"/>
              </w:rPr>
            </w:pPr>
            <w:r>
              <w:rPr>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rFonts w:cs="宋体"/>
                <w:sz w:val="21"/>
                <w:szCs w:val="21"/>
              </w:rPr>
              <w:t>…</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spacing w:line="240" w:lineRule="exact"/>
              <w:rPr>
                <w:sz w:val="21"/>
                <w:szCs w:val="21"/>
              </w:rPr>
            </w:pPr>
            <w:r>
              <w:rPr>
                <w:rFonts w:cs="宋体"/>
                <w:sz w:val="21"/>
                <w:szCs w:val="21"/>
              </w:rPr>
              <w:t>…</w:t>
            </w:r>
          </w:p>
        </w:tc>
        <w:tc>
          <w:tcPr>
            <w:tcW w:w="799" w:type="dxa"/>
            <w:noWrap w:val="0"/>
            <w:vAlign w:val="center"/>
          </w:tcPr>
          <w:p>
            <w:pPr>
              <w:spacing w:line="240" w:lineRule="exact"/>
              <w:rPr>
                <w:sz w:val="21"/>
                <w:szCs w:val="21"/>
              </w:rPr>
            </w:pPr>
            <w:r>
              <w:rPr>
                <w:rFonts w:cs="宋体"/>
                <w:sz w:val="21"/>
                <w:szCs w:val="21"/>
              </w:rPr>
              <w:t>…</w:t>
            </w:r>
          </w:p>
        </w:tc>
        <w:tc>
          <w:tcPr>
            <w:tcW w:w="1325" w:type="dxa"/>
            <w:noWrap w:val="0"/>
            <w:vAlign w:val="center"/>
          </w:tcPr>
          <w:p>
            <w:pPr>
              <w:spacing w:line="240" w:lineRule="exact"/>
              <w:rPr>
                <w:sz w:val="21"/>
                <w:szCs w:val="21"/>
              </w:rPr>
            </w:pPr>
            <w:r>
              <w:rPr>
                <w:rFonts w:cs="宋体"/>
                <w:sz w:val="21"/>
                <w:szCs w:val="21"/>
              </w:rPr>
              <w:t>…</w:t>
            </w:r>
          </w:p>
        </w:tc>
        <w:tc>
          <w:tcPr>
            <w:tcW w:w="799" w:type="dxa"/>
            <w:noWrap w:val="0"/>
            <w:vAlign w:val="center"/>
          </w:tcPr>
          <w:p>
            <w:pPr>
              <w:spacing w:line="240" w:lineRule="exact"/>
              <w:rPr>
                <w:sz w:val="21"/>
                <w:szCs w:val="21"/>
              </w:rPr>
            </w:pPr>
            <w:r>
              <w:rPr>
                <w:rFonts w:cs="宋体"/>
                <w:sz w:val="21"/>
                <w:szCs w:val="21"/>
              </w:rPr>
              <w:t>…</w:t>
            </w:r>
          </w:p>
        </w:tc>
        <w:tc>
          <w:tcPr>
            <w:tcW w:w="1325" w:type="dxa"/>
            <w:noWrap w:val="0"/>
            <w:vAlign w:val="center"/>
          </w:tcPr>
          <w:p>
            <w:pPr>
              <w:spacing w:line="240" w:lineRule="exact"/>
              <w:rPr>
                <w:sz w:val="21"/>
                <w:szCs w:val="21"/>
              </w:rPr>
            </w:pPr>
            <w:r>
              <w:rPr>
                <w:rFonts w:cs="宋体"/>
                <w:sz w:val="21"/>
                <w:szCs w:val="21"/>
              </w:rPr>
              <w:t>…</w:t>
            </w:r>
          </w:p>
        </w:tc>
        <w:tc>
          <w:tcPr>
            <w:tcW w:w="799" w:type="dxa"/>
            <w:noWrap w:val="0"/>
            <w:vAlign w:val="center"/>
          </w:tcPr>
          <w:p>
            <w:pPr>
              <w:spacing w:line="240" w:lineRule="exact"/>
              <w:rPr>
                <w:sz w:val="21"/>
                <w:szCs w:val="21"/>
              </w:rPr>
            </w:pPr>
            <w:r>
              <w:rPr>
                <w:rFonts w:cs="宋体"/>
                <w:sz w:val="21"/>
                <w:szCs w:val="21"/>
              </w:rPr>
              <w:t>…</w:t>
            </w:r>
          </w:p>
        </w:tc>
        <w:tc>
          <w:tcPr>
            <w:tcW w:w="1265" w:type="dxa"/>
            <w:noWrap w:val="0"/>
            <w:vAlign w:val="center"/>
          </w:tcPr>
          <w:p>
            <w:pPr>
              <w:spacing w:line="240" w:lineRule="exact"/>
              <w:rPr>
                <w:sz w:val="21"/>
                <w:szCs w:val="21"/>
              </w:rPr>
            </w:pPr>
            <w:r>
              <w:rPr>
                <w:rFonts w:cs="宋体"/>
                <w:sz w:val="21"/>
                <w:szCs w:val="21"/>
              </w:rPr>
              <w:t>…</w:t>
            </w:r>
          </w:p>
        </w:tc>
        <w:tc>
          <w:tcPr>
            <w:tcW w:w="799" w:type="dxa"/>
            <w:noWrap w:val="0"/>
            <w:vAlign w:val="center"/>
          </w:tcPr>
          <w:p>
            <w:pPr>
              <w:spacing w:line="240" w:lineRule="exact"/>
              <w:rPr>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15000</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sz w:val="21"/>
                <w:szCs w:val="21"/>
              </w:rPr>
              <w:t>0.0343</w:t>
            </w:r>
          </w:p>
        </w:tc>
        <w:tc>
          <w:tcPr>
            <w:tcW w:w="799" w:type="dxa"/>
            <w:noWrap w:val="0"/>
            <w:vAlign w:val="center"/>
          </w:tcPr>
          <w:p>
            <w:pPr>
              <w:rPr>
                <w:rFonts w:cs="宋体"/>
                <w:sz w:val="21"/>
                <w:szCs w:val="21"/>
              </w:rPr>
            </w:pPr>
            <w:r>
              <w:rPr>
                <w:sz w:val="21"/>
                <w:szCs w:val="21"/>
              </w:rPr>
              <w:t>14.28</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20000</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sz w:val="21"/>
                <w:szCs w:val="21"/>
              </w:rPr>
              <w:t>0.0266</w:t>
            </w:r>
          </w:p>
        </w:tc>
        <w:tc>
          <w:tcPr>
            <w:tcW w:w="799" w:type="dxa"/>
            <w:noWrap w:val="0"/>
            <w:vAlign w:val="center"/>
          </w:tcPr>
          <w:p>
            <w:pPr>
              <w:rPr>
                <w:rFonts w:cs="宋体"/>
                <w:sz w:val="21"/>
                <w:szCs w:val="21"/>
              </w:rPr>
            </w:pPr>
            <w:r>
              <w:rPr>
                <w:sz w:val="21"/>
                <w:szCs w:val="21"/>
              </w:rPr>
              <w:t>11.10</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rPr>
                <w:rFonts w:cs="宋体"/>
                <w:sz w:val="21"/>
                <w:szCs w:val="21"/>
              </w:rPr>
            </w:pPr>
            <w:r>
              <w:rPr>
                <w:sz w:val="21"/>
                <w:szCs w:val="21"/>
              </w:rPr>
              <w:t>25000</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sz w:val="21"/>
                <w:szCs w:val="21"/>
              </w:rPr>
              <w:t>0.0219</w:t>
            </w:r>
          </w:p>
        </w:tc>
        <w:tc>
          <w:tcPr>
            <w:tcW w:w="799" w:type="dxa"/>
            <w:noWrap w:val="0"/>
            <w:vAlign w:val="center"/>
          </w:tcPr>
          <w:p>
            <w:pPr>
              <w:rPr>
                <w:rFonts w:cs="宋体"/>
                <w:sz w:val="21"/>
                <w:szCs w:val="21"/>
              </w:rPr>
            </w:pPr>
            <w:r>
              <w:rPr>
                <w:sz w:val="21"/>
                <w:szCs w:val="21"/>
              </w:rPr>
              <w:t>9.13</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32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c>
          <w:tcPr>
            <w:tcW w:w="1265" w:type="dxa"/>
            <w:noWrap w:val="0"/>
            <w:vAlign w:val="center"/>
          </w:tcPr>
          <w:p>
            <w:pPr>
              <w:rPr>
                <w:rFonts w:cs="宋体"/>
                <w:sz w:val="21"/>
                <w:szCs w:val="21"/>
              </w:rPr>
            </w:pPr>
            <w:r>
              <w:rPr>
                <w:rFonts w:cs="宋体"/>
                <w:sz w:val="21"/>
                <w:szCs w:val="21"/>
              </w:rPr>
              <w:t>/</w:t>
            </w:r>
          </w:p>
        </w:tc>
        <w:tc>
          <w:tcPr>
            <w:tcW w:w="799" w:type="dxa"/>
            <w:noWrap w:val="0"/>
            <w:vAlign w:val="center"/>
          </w:tcPr>
          <w:p>
            <w:pPr>
              <w:rPr>
                <w:rFonts w:cs="宋体"/>
                <w:sz w:val="21"/>
                <w:szCs w:val="21"/>
              </w:rPr>
            </w:pPr>
            <w:r>
              <w:rPr>
                <w:rFonts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spacing w:line="240" w:lineRule="exact"/>
              <w:rPr>
                <w:sz w:val="21"/>
                <w:szCs w:val="21"/>
              </w:rPr>
            </w:pPr>
            <w:r>
              <w:rPr>
                <w:sz w:val="21"/>
                <w:szCs w:val="21"/>
              </w:rPr>
              <w:t>下风向最大浓度</w:t>
            </w:r>
          </w:p>
        </w:tc>
        <w:tc>
          <w:tcPr>
            <w:tcW w:w="1325" w:type="dxa"/>
            <w:noWrap w:val="0"/>
            <w:vAlign w:val="center"/>
          </w:tcPr>
          <w:p>
            <w:pPr>
              <w:spacing w:line="240" w:lineRule="exact"/>
              <w:rPr>
                <w:sz w:val="21"/>
                <w:szCs w:val="21"/>
              </w:rPr>
            </w:pPr>
            <w:r>
              <w:rPr>
                <w:sz w:val="21"/>
                <w:szCs w:val="21"/>
              </w:rPr>
              <w:t>0.024</w:t>
            </w:r>
          </w:p>
        </w:tc>
        <w:tc>
          <w:tcPr>
            <w:tcW w:w="799" w:type="dxa"/>
            <w:noWrap w:val="0"/>
            <w:vAlign w:val="center"/>
          </w:tcPr>
          <w:p>
            <w:pPr>
              <w:spacing w:line="240" w:lineRule="exact"/>
              <w:rPr>
                <w:sz w:val="21"/>
                <w:szCs w:val="21"/>
              </w:rPr>
            </w:pPr>
            <w:r>
              <w:rPr>
                <w:sz w:val="21"/>
                <w:szCs w:val="21"/>
              </w:rPr>
              <w:t>4.8%</w:t>
            </w:r>
          </w:p>
        </w:tc>
        <w:tc>
          <w:tcPr>
            <w:tcW w:w="1265" w:type="dxa"/>
            <w:noWrap w:val="0"/>
            <w:vAlign w:val="center"/>
          </w:tcPr>
          <w:p>
            <w:pPr>
              <w:spacing w:line="240" w:lineRule="exact"/>
              <w:rPr>
                <w:sz w:val="21"/>
                <w:szCs w:val="21"/>
              </w:rPr>
            </w:pPr>
            <w:r>
              <w:rPr>
                <w:sz w:val="21"/>
                <w:szCs w:val="21"/>
              </w:rPr>
              <w:t>0.1595</w:t>
            </w:r>
          </w:p>
        </w:tc>
        <w:tc>
          <w:tcPr>
            <w:tcW w:w="799" w:type="dxa"/>
            <w:noWrap w:val="0"/>
            <w:vAlign w:val="center"/>
          </w:tcPr>
          <w:p>
            <w:pPr>
              <w:spacing w:line="240" w:lineRule="exact"/>
              <w:rPr>
                <w:sz w:val="21"/>
                <w:szCs w:val="21"/>
              </w:rPr>
            </w:pPr>
            <w:r>
              <w:rPr>
                <w:sz w:val="21"/>
                <w:szCs w:val="21"/>
              </w:rPr>
              <w:t>66.46</w:t>
            </w:r>
          </w:p>
        </w:tc>
        <w:tc>
          <w:tcPr>
            <w:tcW w:w="1325" w:type="dxa"/>
            <w:noWrap w:val="0"/>
            <w:vAlign w:val="center"/>
          </w:tcPr>
          <w:p>
            <w:pPr>
              <w:spacing w:line="240" w:lineRule="exact"/>
              <w:rPr>
                <w:sz w:val="21"/>
                <w:szCs w:val="21"/>
              </w:rPr>
            </w:pPr>
            <w:r>
              <w:rPr>
                <w:sz w:val="21"/>
                <w:szCs w:val="21"/>
              </w:rPr>
              <w:t>0.0068</w:t>
            </w:r>
          </w:p>
        </w:tc>
        <w:tc>
          <w:tcPr>
            <w:tcW w:w="799" w:type="dxa"/>
            <w:noWrap w:val="0"/>
            <w:vAlign w:val="center"/>
          </w:tcPr>
          <w:p>
            <w:pPr>
              <w:spacing w:line="240" w:lineRule="exact"/>
              <w:rPr>
                <w:sz w:val="21"/>
                <w:szCs w:val="21"/>
              </w:rPr>
            </w:pPr>
            <w:r>
              <w:rPr>
                <w:sz w:val="21"/>
                <w:szCs w:val="21"/>
              </w:rPr>
              <w:t>1.51</w:t>
            </w:r>
          </w:p>
        </w:tc>
        <w:tc>
          <w:tcPr>
            <w:tcW w:w="1325" w:type="dxa"/>
            <w:noWrap w:val="0"/>
            <w:vAlign w:val="center"/>
          </w:tcPr>
          <w:p>
            <w:pPr>
              <w:spacing w:line="240" w:lineRule="exact"/>
              <w:rPr>
                <w:sz w:val="21"/>
                <w:szCs w:val="21"/>
              </w:rPr>
            </w:pPr>
            <w:r>
              <w:rPr>
                <w:sz w:val="21"/>
                <w:szCs w:val="21"/>
              </w:rPr>
              <w:t>0.0065</w:t>
            </w:r>
          </w:p>
        </w:tc>
        <w:tc>
          <w:tcPr>
            <w:tcW w:w="799" w:type="dxa"/>
            <w:noWrap w:val="0"/>
            <w:vAlign w:val="center"/>
          </w:tcPr>
          <w:p>
            <w:pPr>
              <w:spacing w:line="240" w:lineRule="exact"/>
              <w:rPr>
                <w:sz w:val="21"/>
                <w:szCs w:val="21"/>
              </w:rPr>
            </w:pPr>
            <w:r>
              <w:rPr>
                <w:sz w:val="21"/>
                <w:szCs w:val="21"/>
              </w:rPr>
              <w:t>1.44</w:t>
            </w:r>
          </w:p>
        </w:tc>
        <w:tc>
          <w:tcPr>
            <w:tcW w:w="1265" w:type="dxa"/>
            <w:noWrap w:val="0"/>
            <w:vAlign w:val="center"/>
          </w:tcPr>
          <w:p>
            <w:pPr>
              <w:spacing w:line="240" w:lineRule="exact"/>
              <w:rPr>
                <w:sz w:val="21"/>
                <w:szCs w:val="21"/>
              </w:rPr>
            </w:pPr>
            <w:r>
              <w:rPr>
                <w:sz w:val="21"/>
                <w:szCs w:val="21"/>
              </w:rPr>
              <w:t>0.0104</w:t>
            </w:r>
          </w:p>
        </w:tc>
        <w:tc>
          <w:tcPr>
            <w:tcW w:w="799" w:type="dxa"/>
            <w:noWrap w:val="0"/>
            <w:vAlign w:val="center"/>
          </w:tcPr>
          <w:p>
            <w:pPr>
              <w:spacing w:line="240" w:lineRule="exact"/>
              <w:rPr>
                <w:sz w:val="21"/>
                <w:szCs w:val="21"/>
              </w:rPr>
            </w:pPr>
            <w:r>
              <w:rPr>
                <w:sz w:val="21"/>
                <w:szCs w:val="21"/>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noWrap w:val="0"/>
            <w:vAlign w:val="center"/>
          </w:tcPr>
          <w:p>
            <w:pPr>
              <w:spacing w:line="240" w:lineRule="exact"/>
              <w:rPr>
                <w:sz w:val="21"/>
                <w:szCs w:val="21"/>
              </w:rPr>
            </w:pPr>
            <w:r>
              <w:rPr>
                <w:sz w:val="21"/>
                <w:szCs w:val="21"/>
              </w:rPr>
              <w:t>浓度占标准10%距源最远距离D</w:t>
            </w:r>
            <w:r>
              <w:rPr>
                <w:sz w:val="21"/>
                <w:szCs w:val="21"/>
                <w:vertAlign w:val="subscript"/>
              </w:rPr>
              <w:t>10%</w:t>
            </w:r>
            <w:r>
              <w:rPr>
                <w:sz w:val="21"/>
                <w:szCs w:val="21"/>
              </w:rPr>
              <w:t>（Km）</w:t>
            </w:r>
          </w:p>
        </w:tc>
        <w:tc>
          <w:tcPr>
            <w:tcW w:w="2124" w:type="dxa"/>
            <w:gridSpan w:val="2"/>
            <w:noWrap w:val="0"/>
            <w:vAlign w:val="center"/>
          </w:tcPr>
          <w:p>
            <w:pPr>
              <w:spacing w:line="240" w:lineRule="exact"/>
              <w:rPr>
                <w:sz w:val="21"/>
                <w:szCs w:val="21"/>
              </w:rPr>
            </w:pPr>
            <w:r>
              <w:rPr>
                <w:sz w:val="21"/>
                <w:szCs w:val="21"/>
              </w:rPr>
              <w:t>/</w:t>
            </w:r>
          </w:p>
        </w:tc>
        <w:tc>
          <w:tcPr>
            <w:tcW w:w="2064" w:type="dxa"/>
            <w:gridSpan w:val="2"/>
            <w:noWrap w:val="0"/>
            <w:vAlign w:val="center"/>
          </w:tcPr>
          <w:p>
            <w:pPr>
              <w:spacing w:line="240" w:lineRule="exact"/>
              <w:rPr>
                <w:sz w:val="21"/>
                <w:szCs w:val="21"/>
              </w:rPr>
            </w:pPr>
            <w:r>
              <w:rPr>
                <w:sz w:val="21"/>
                <w:szCs w:val="21"/>
              </w:rPr>
              <w:t>23</w:t>
            </w:r>
          </w:p>
        </w:tc>
        <w:tc>
          <w:tcPr>
            <w:tcW w:w="2124" w:type="dxa"/>
            <w:gridSpan w:val="2"/>
            <w:noWrap w:val="0"/>
            <w:vAlign w:val="center"/>
          </w:tcPr>
          <w:p>
            <w:pPr>
              <w:spacing w:line="240" w:lineRule="exact"/>
              <w:rPr>
                <w:sz w:val="21"/>
                <w:szCs w:val="21"/>
              </w:rPr>
            </w:pPr>
            <w:r>
              <w:rPr>
                <w:sz w:val="21"/>
                <w:szCs w:val="21"/>
              </w:rPr>
              <w:t>/</w:t>
            </w:r>
          </w:p>
        </w:tc>
        <w:tc>
          <w:tcPr>
            <w:tcW w:w="2124" w:type="dxa"/>
            <w:gridSpan w:val="2"/>
            <w:noWrap w:val="0"/>
            <w:vAlign w:val="center"/>
          </w:tcPr>
          <w:p>
            <w:pPr>
              <w:spacing w:line="240" w:lineRule="exact"/>
              <w:rPr>
                <w:sz w:val="21"/>
                <w:szCs w:val="21"/>
              </w:rPr>
            </w:pPr>
            <w:r>
              <w:rPr>
                <w:sz w:val="21"/>
                <w:szCs w:val="21"/>
              </w:rPr>
              <w:t>/</w:t>
            </w:r>
          </w:p>
        </w:tc>
        <w:tc>
          <w:tcPr>
            <w:tcW w:w="2064" w:type="dxa"/>
            <w:gridSpan w:val="2"/>
            <w:noWrap w:val="0"/>
            <w:vAlign w:val="center"/>
          </w:tcPr>
          <w:p>
            <w:pPr>
              <w:spacing w:line="240" w:lineRule="exact"/>
              <w:rPr>
                <w:sz w:val="21"/>
                <w:szCs w:val="21"/>
              </w:rPr>
            </w:pPr>
            <w:r>
              <w:rPr>
                <w:sz w:val="21"/>
                <w:szCs w:val="21"/>
              </w:rPr>
              <w:t>/</w:t>
            </w:r>
          </w:p>
        </w:tc>
      </w:tr>
    </w:tbl>
    <w:p>
      <w:pPr>
        <w:rPr>
          <w:rFonts w:hint="eastAsia"/>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ascii="宋体" w:hAnsi="宋体"/>
        </w:rPr>
        <w:sectPr>
          <w:pgSz w:w="16838" w:h="11906" w:orient="landscape"/>
          <w:pgMar w:top="1134" w:right="1418" w:bottom="1418" w:left="1418" w:header="851" w:footer="992" w:gutter="0"/>
          <w:paperSrc w:first="20070" w:other="20070"/>
          <w:cols w:space="425" w:num="1"/>
          <w:docGrid w:linePitch="312" w:charSpace="0"/>
        </w:sectPr>
      </w:pPr>
    </w:p>
    <w:p>
      <w:pPr>
        <w:pStyle w:val="30"/>
        <w:adjustRightInd/>
        <w:spacing w:line="360" w:lineRule="auto"/>
        <w:ind w:firstLine="480" w:firstLineChars="200"/>
        <w:rPr>
          <w:rFonts w:ascii="宋体" w:hAnsi="宋体"/>
          <w:kern w:val="2"/>
          <w:sz w:val="24"/>
          <w:szCs w:val="24"/>
        </w:rPr>
      </w:pPr>
      <w:r>
        <w:rPr>
          <w:rFonts w:hint="eastAsia" w:ascii="宋体" w:hAnsi="宋体"/>
          <w:kern w:val="2"/>
          <w:sz w:val="24"/>
          <w:szCs w:val="24"/>
        </w:rPr>
        <w:t>◆技改</w:t>
      </w:r>
      <w:r>
        <w:rPr>
          <w:rFonts w:ascii="宋体" w:hAnsi="宋体"/>
          <w:kern w:val="2"/>
          <w:sz w:val="24"/>
          <w:szCs w:val="24"/>
        </w:rPr>
        <w:t>项目外排废水</w:t>
      </w:r>
      <w:r>
        <w:rPr>
          <w:rFonts w:hint="eastAsia" w:ascii="宋体" w:hAnsi="宋体"/>
          <w:kern w:val="2"/>
          <w:sz w:val="24"/>
          <w:szCs w:val="24"/>
        </w:rPr>
        <w:t>主要为生活辅助设施废水</w:t>
      </w:r>
      <w:r>
        <w:rPr>
          <w:rFonts w:ascii="宋体" w:hAnsi="宋体"/>
          <w:kern w:val="2"/>
          <w:sz w:val="24"/>
          <w:szCs w:val="24"/>
        </w:rPr>
        <w:t>，</w:t>
      </w:r>
      <w:r>
        <w:rPr>
          <w:rFonts w:hint="eastAsia" w:ascii="宋体" w:hAnsi="宋体"/>
          <w:kern w:val="2"/>
          <w:sz w:val="24"/>
          <w:szCs w:val="24"/>
        </w:rPr>
        <w:t>对区域地表水不会造成影响</w:t>
      </w:r>
      <w:r>
        <w:rPr>
          <w:rFonts w:ascii="宋体" w:hAnsi="宋体"/>
          <w:kern w:val="2"/>
          <w:sz w:val="24"/>
          <w:szCs w:val="24"/>
        </w:rPr>
        <w:t>。</w:t>
      </w:r>
    </w:p>
    <w:p>
      <w:pPr>
        <w:pStyle w:val="30"/>
        <w:adjustRightInd/>
        <w:spacing w:line="360" w:lineRule="auto"/>
        <w:ind w:firstLine="480" w:firstLineChars="200"/>
        <w:rPr>
          <w:rFonts w:hint="eastAsia" w:ascii="宋体" w:hAnsi="宋体"/>
          <w:kern w:val="2"/>
          <w:sz w:val="24"/>
          <w:szCs w:val="24"/>
        </w:rPr>
      </w:pPr>
      <w:r>
        <w:rPr>
          <w:rFonts w:hint="eastAsia" w:ascii="宋体" w:hAnsi="宋体"/>
          <w:kern w:val="2"/>
          <w:sz w:val="24"/>
          <w:szCs w:val="24"/>
        </w:rPr>
        <w:t>◆技改</w:t>
      </w:r>
      <w:r>
        <w:rPr>
          <w:rFonts w:ascii="宋体" w:hAnsi="宋体"/>
          <w:kern w:val="2"/>
          <w:sz w:val="24"/>
          <w:szCs w:val="24"/>
        </w:rPr>
        <w:t>项目磨机、风机、破碎机、空压机等噪声设备对厂区周围声环境的影响</w:t>
      </w:r>
    </w:p>
    <w:p>
      <w:pPr>
        <w:pStyle w:val="30"/>
        <w:adjustRightInd/>
        <w:spacing w:line="360" w:lineRule="auto"/>
        <w:ind w:firstLine="480" w:firstLineChars="200"/>
        <w:rPr>
          <w:rFonts w:ascii="宋体" w:hAnsi="宋体"/>
          <w:kern w:val="2"/>
          <w:sz w:val="24"/>
          <w:szCs w:val="24"/>
        </w:rPr>
      </w:pPr>
      <w:r>
        <w:rPr>
          <w:rFonts w:hint="eastAsia" w:ascii="宋体" w:hAnsi="宋体"/>
          <w:kern w:val="2"/>
          <w:sz w:val="24"/>
          <w:szCs w:val="24"/>
        </w:rPr>
        <w:t>②</w:t>
      </w:r>
      <w:r>
        <w:rPr>
          <w:rFonts w:ascii="宋体" w:hAnsi="宋体"/>
          <w:kern w:val="2"/>
          <w:sz w:val="24"/>
          <w:szCs w:val="24"/>
        </w:rPr>
        <w:t>生态环境影响</w:t>
      </w:r>
    </w:p>
    <w:p>
      <w:pPr>
        <w:pStyle w:val="30"/>
        <w:adjustRightInd/>
        <w:spacing w:line="360" w:lineRule="auto"/>
        <w:ind w:firstLine="540"/>
        <w:rPr>
          <w:rFonts w:hint="eastAsia" w:ascii="宋体" w:hAnsi="宋体"/>
          <w:kern w:val="2"/>
          <w:sz w:val="24"/>
          <w:szCs w:val="24"/>
        </w:rPr>
      </w:pPr>
      <w:r>
        <w:rPr>
          <w:rFonts w:ascii="宋体" w:hAnsi="宋体"/>
          <w:kern w:val="2"/>
          <w:sz w:val="24"/>
          <w:szCs w:val="24"/>
        </w:rPr>
        <w:t>生态环境影响主要表现在</w:t>
      </w:r>
      <w:r>
        <w:rPr>
          <w:rFonts w:hint="eastAsia" w:ascii="宋体" w:hAnsi="宋体"/>
          <w:kern w:val="2"/>
          <w:sz w:val="24"/>
          <w:szCs w:val="24"/>
        </w:rPr>
        <w:t>SO</w:t>
      </w:r>
      <w:r>
        <w:rPr>
          <w:rFonts w:hint="eastAsia" w:ascii="宋体" w:hAnsi="宋体"/>
          <w:kern w:val="2"/>
          <w:sz w:val="24"/>
          <w:szCs w:val="24"/>
          <w:vertAlign w:val="subscript"/>
        </w:rPr>
        <w:t>2</w:t>
      </w:r>
      <w:r>
        <w:rPr>
          <w:rFonts w:hint="eastAsia" w:ascii="宋体" w:hAnsi="宋体"/>
          <w:kern w:val="2"/>
          <w:sz w:val="24"/>
          <w:szCs w:val="24"/>
        </w:rPr>
        <w:t>对周边</w:t>
      </w:r>
      <w:r>
        <w:rPr>
          <w:rFonts w:ascii="宋体" w:hAnsi="宋体"/>
          <w:kern w:val="2"/>
          <w:sz w:val="24"/>
          <w:szCs w:val="24"/>
        </w:rPr>
        <w:t>植被和</w:t>
      </w:r>
      <w:r>
        <w:rPr>
          <w:rFonts w:hint="eastAsia" w:ascii="宋体" w:hAnsi="宋体"/>
          <w:kern w:val="2"/>
          <w:sz w:val="24"/>
          <w:szCs w:val="24"/>
        </w:rPr>
        <w:t>农作物的影响、区域景观的影响。</w:t>
      </w:r>
    </w:p>
    <w:p>
      <w:pPr>
        <w:pStyle w:val="30"/>
        <w:adjustRightInd/>
        <w:spacing w:line="360" w:lineRule="auto"/>
        <w:ind w:firstLine="540"/>
        <w:rPr>
          <w:rFonts w:ascii="宋体" w:hAnsi="宋体"/>
          <w:kern w:val="2"/>
          <w:sz w:val="24"/>
          <w:szCs w:val="24"/>
        </w:rPr>
      </w:pPr>
      <w:r>
        <w:rPr>
          <w:rFonts w:hint="eastAsia" w:ascii="宋体" w:hAnsi="宋体"/>
          <w:kern w:val="2"/>
          <w:sz w:val="24"/>
          <w:szCs w:val="24"/>
        </w:rPr>
        <w:t>③</w:t>
      </w:r>
      <w:r>
        <w:rPr>
          <w:rFonts w:ascii="宋体" w:hAnsi="宋体"/>
          <w:kern w:val="2"/>
          <w:sz w:val="24"/>
          <w:szCs w:val="24"/>
        </w:rPr>
        <w:t>社会环境影响</w:t>
      </w:r>
    </w:p>
    <w:p>
      <w:pPr>
        <w:pStyle w:val="30"/>
        <w:adjustRightInd/>
        <w:spacing w:line="360" w:lineRule="auto"/>
        <w:ind w:firstLine="540"/>
        <w:rPr>
          <w:rFonts w:ascii="宋体" w:hAnsi="宋体"/>
          <w:kern w:val="2"/>
          <w:sz w:val="24"/>
          <w:szCs w:val="24"/>
        </w:rPr>
      </w:pPr>
      <w:r>
        <w:rPr>
          <w:rFonts w:ascii="宋体" w:hAnsi="宋体"/>
          <w:kern w:val="2"/>
          <w:sz w:val="24"/>
          <w:szCs w:val="24"/>
        </w:rPr>
        <w:t>项目建成后，</w:t>
      </w:r>
      <w:r>
        <w:rPr>
          <w:rFonts w:hint="eastAsia" w:ascii="宋体" w:hAnsi="宋体"/>
          <w:kern w:val="2"/>
          <w:sz w:val="24"/>
          <w:szCs w:val="24"/>
        </w:rPr>
        <w:t>区域经济发展、就业、居民收入等</w:t>
      </w:r>
      <w:r>
        <w:rPr>
          <w:rFonts w:ascii="宋体" w:hAnsi="宋体"/>
          <w:kern w:val="2"/>
          <w:sz w:val="24"/>
          <w:szCs w:val="24"/>
        </w:rPr>
        <w:t>。</w:t>
      </w:r>
    </w:p>
    <w:p>
      <w:pPr>
        <w:spacing w:before="24" w:beforeLines="10" w:after="24" w:afterLines="10" w:line="360" w:lineRule="auto"/>
        <w:rPr>
          <w:b/>
        </w:rPr>
      </w:pPr>
      <w:r>
        <w:rPr>
          <w:b/>
        </w:rPr>
        <w:t>1.</w:t>
      </w:r>
      <w:r>
        <w:rPr>
          <w:rFonts w:hint="eastAsia"/>
          <w:b/>
        </w:rPr>
        <w:t>8</w:t>
      </w:r>
      <w:r>
        <w:rPr>
          <w:b/>
        </w:rPr>
        <w:t>.2  环境影响因子识别和筛选</w:t>
      </w:r>
    </w:p>
    <w:p>
      <w:pPr>
        <w:pStyle w:val="30"/>
        <w:adjustRightInd/>
        <w:spacing w:line="360" w:lineRule="auto"/>
        <w:ind w:firstLine="420"/>
        <w:rPr>
          <w:rFonts w:ascii="宋体" w:hAnsi="宋体"/>
          <w:kern w:val="2"/>
          <w:sz w:val="24"/>
          <w:szCs w:val="24"/>
        </w:rPr>
      </w:pPr>
      <w:r>
        <w:rPr>
          <w:rFonts w:ascii="宋体" w:hAnsi="宋体"/>
          <w:kern w:val="2"/>
          <w:sz w:val="24"/>
          <w:szCs w:val="24"/>
        </w:rPr>
        <w:t>环境影响因子识别和筛选见表1-</w:t>
      </w:r>
      <w:r>
        <w:rPr>
          <w:rFonts w:hint="eastAsia" w:ascii="宋体" w:hAnsi="宋体"/>
          <w:kern w:val="2"/>
          <w:sz w:val="24"/>
          <w:szCs w:val="24"/>
        </w:rPr>
        <w:t>11</w:t>
      </w:r>
      <w:r>
        <w:rPr>
          <w:rFonts w:ascii="宋体" w:hAnsi="宋体"/>
          <w:kern w:val="2"/>
          <w:sz w:val="24"/>
          <w:szCs w:val="24"/>
        </w:rPr>
        <w:t>。</w:t>
      </w:r>
    </w:p>
    <w:p>
      <w:pPr>
        <w:jc w:val="center"/>
        <w:rPr>
          <w:b/>
        </w:rPr>
      </w:pPr>
      <w:r>
        <w:rPr>
          <w:rFonts w:hint="eastAsia"/>
          <w:b/>
        </w:rPr>
        <w:t>表1-11  环境影响因子识别筛选表</w:t>
      </w:r>
    </w:p>
    <w:tbl>
      <w:tblPr>
        <w:tblStyle w:val="20"/>
        <w:tblW w:w="92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673"/>
        <w:gridCol w:w="663"/>
        <w:gridCol w:w="550"/>
        <w:gridCol w:w="618"/>
        <w:gridCol w:w="600"/>
        <w:gridCol w:w="533"/>
        <w:gridCol w:w="550"/>
        <w:gridCol w:w="553"/>
        <w:gridCol w:w="618"/>
        <w:gridCol w:w="533"/>
        <w:gridCol w:w="6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restart"/>
            <w:tcBorders>
              <w:top w:val="single" w:color="auto" w:sz="4" w:space="0"/>
              <w:left w:val="single" w:color="auto" w:sz="4" w:space="0"/>
            </w:tcBorders>
            <w:noWrap w:val="0"/>
            <w:vAlign w:val="center"/>
          </w:tcPr>
          <w:p>
            <w:pPr>
              <w:pStyle w:val="30"/>
              <w:spacing w:line="400" w:lineRule="atLeast"/>
              <w:ind w:left="-63" w:leftChars="-30" w:right="-63" w:rightChars="-30"/>
              <w:rPr>
                <w:sz w:val="21"/>
                <w:szCs w:val="21"/>
              </w:rPr>
            </w:pPr>
            <w:r>
              <w:rPr>
                <w:rFonts w:hint="eastAsia"/>
                <w:sz w:val="21"/>
                <w:szCs w:val="21"/>
              </w:rPr>
              <w:t>时段</w:t>
            </w:r>
          </w:p>
        </w:tc>
        <w:tc>
          <w:tcPr>
            <w:tcW w:w="2673" w:type="dxa"/>
            <w:vMerge w:val="restart"/>
            <w:tcBorders>
              <w:top w:val="single" w:color="auto" w:sz="4" w:space="0"/>
              <w:tl2br w:val="single" w:color="auto" w:sz="4" w:space="0"/>
            </w:tcBorders>
            <w:noWrap w:val="0"/>
            <w:vAlign w:val="top"/>
          </w:tcPr>
          <w:p>
            <w:pPr>
              <w:pStyle w:val="30"/>
              <w:spacing w:line="400" w:lineRule="atLeast"/>
              <w:ind w:left="-63" w:leftChars="-30" w:right="-63" w:rightChars="-30" w:firstLine="420"/>
              <w:jc w:val="right"/>
              <w:rPr>
                <w:sz w:val="21"/>
                <w:szCs w:val="21"/>
              </w:rPr>
            </w:pPr>
            <w:r>
              <w:rPr>
                <w:rFonts w:hint="eastAsia"/>
                <w:sz w:val="21"/>
                <w:szCs w:val="21"/>
              </w:rPr>
              <w:t>环境因子</w:t>
            </w:r>
          </w:p>
          <w:p>
            <w:pPr>
              <w:pStyle w:val="30"/>
              <w:spacing w:line="400" w:lineRule="atLeast"/>
              <w:ind w:left="-63" w:leftChars="-30" w:right="-63" w:rightChars="-30" w:firstLine="420"/>
              <w:rPr>
                <w:sz w:val="21"/>
                <w:szCs w:val="21"/>
              </w:rPr>
            </w:pPr>
          </w:p>
          <w:p>
            <w:pPr>
              <w:pStyle w:val="30"/>
              <w:spacing w:line="400" w:lineRule="atLeast"/>
              <w:ind w:left="-63" w:leftChars="-30" w:right="-63" w:rightChars="-30" w:firstLine="420"/>
              <w:rPr>
                <w:sz w:val="21"/>
                <w:szCs w:val="21"/>
              </w:rPr>
            </w:pPr>
            <w:r>
              <w:rPr>
                <w:rFonts w:hint="eastAsia"/>
                <w:sz w:val="21"/>
                <w:szCs w:val="21"/>
              </w:rPr>
              <w:t>设施</w:t>
            </w:r>
          </w:p>
        </w:tc>
        <w:tc>
          <w:tcPr>
            <w:tcW w:w="1831" w:type="dxa"/>
            <w:gridSpan w:val="3"/>
            <w:tcBorders>
              <w:top w:val="single" w:color="auto" w:sz="4" w:space="0"/>
            </w:tcBorders>
            <w:noWrap w:val="0"/>
            <w:vAlign w:val="center"/>
          </w:tcPr>
          <w:p>
            <w:pPr>
              <w:pStyle w:val="30"/>
              <w:spacing w:line="400" w:lineRule="atLeast"/>
              <w:ind w:left="-63" w:leftChars="-30" w:right="-63" w:rightChars="-30" w:firstLine="420"/>
              <w:jc w:val="center"/>
              <w:rPr>
                <w:sz w:val="21"/>
                <w:szCs w:val="21"/>
              </w:rPr>
            </w:pPr>
            <w:r>
              <w:rPr>
                <w:rFonts w:hint="eastAsia"/>
                <w:sz w:val="21"/>
                <w:szCs w:val="21"/>
              </w:rPr>
              <w:t>生态环境</w:t>
            </w:r>
          </w:p>
        </w:tc>
        <w:tc>
          <w:tcPr>
            <w:tcW w:w="2236" w:type="dxa"/>
            <w:gridSpan w:val="4"/>
            <w:tcBorders>
              <w:top w:val="single" w:color="auto" w:sz="4" w:space="0"/>
            </w:tcBorders>
            <w:noWrap w:val="0"/>
            <w:vAlign w:val="center"/>
          </w:tcPr>
          <w:p>
            <w:pPr>
              <w:pStyle w:val="30"/>
              <w:spacing w:line="400" w:lineRule="atLeast"/>
              <w:ind w:left="-63" w:leftChars="-30" w:right="-63" w:rightChars="-30" w:firstLine="420"/>
              <w:jc w:val="center"/>
              <w:rPr>
                <w:sz w:val="21"/>
                <w:szCs w:val="21"/>
              </w:rPr>
            </w:pPr>
            <w:r>
              <w:rPr>
                <w:rFonts w:hint="eastAsia"/>
                <w:sz w:val="21"/>
                <w:szCs w:val="21"/>
              </w:rPr>
              <w:t>自然环境</w:t>
            </w:r>
          </w:p>
        </w:tc>
        <w:tc>
          <w:tcPr>
            <w:tcW w:w="1769" w:type="dxa"/>
            <w:gridSpan w:val="3"/>
            <w:tcBorders>
              <w:top w:val="single" w:color="auto" w:sz="4" w:space="0"/>
              <w:right w:val="single" w:color="auto" w:sz="4" w:space="0"/>
            </w:tcBorders>
            <w:noWrap w:val="0"/>
            <w:vAlign w:val="center"/>
          </w:tcPr>
          <w:p>
            <w:pPr>
              <w:pStyle w:val="30"/>
              <w:spacing w:line="400" w:lineRule="atLeast"/>
              <w:ind w:left="-63" w:leftChars="-30" w:right="-63" w:rightChars="-30" w:firstLine="420"/>
              <w:jc w:val="center"/>
              <w:rPr>
                <w:sz w:val="21"/>
                <w:szCs w:val="21"/>
              </w:rPr>
            </w:pPr>
            <w:r>
              <w:rPr>
                <w:rFonts w:hint="eastAsia"/>
                <w:sz w:val="21"/>
                <w:szCs w:val="21"/>
              </w:rPr>
              <w:t>社会经济环境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continue"/>
            <w:tcBorders>
              <w:left w:val="single" w:color="auto" w:sz="4" w:space="0"/>
            </w:tcBorders>
            <w:noWrap w:val="0"/>
            <w:vAlign w:val="top"/>
          </w:tcPr>
          <w:p>
            <w:pPr>
              <w:pStyle w:val="30"/>
              <w:spacing w:line="400" w:lineRule="atLeast"/>
              <w:ind w:left="-63" w:leftChars="-30" w:right="-63" w:rightChars="-30" w:firstLine="420"/>
              <w:rPr>
                <w:sz w:val="21"/>
                <w:szCs w:val="21"/>
              </w:rPr>
            </w:pPr>
          </w:p>
        </w:tc>
        <w:tc>
          <w:tcPr>
            <w:tcW w:w="2673" w:type="dxa"/>
            <w:vMerge w:val="continue"/>
            <w:tcBorders>
              <w:tl2br w:val="single" w:color="auto" w:sz="4" w:space="0"/>
            </w:tcBorders>
            <w:noWrap w:val="0"/>
            <w:vAlign w:val="top"/>
          </w:tcPr>
          <w:p>
            <w:pPr>
              <w:pStyle w:val="30"/>
              <w:spacing w:line="400" w:lineRule="atLeast"/>
              <w:ind w:left="-63" w:leftChars="-30" w:right="-63" w:rightChars="-30" w:firstLine="420"/>
              <w:rPr>
                <w:sz w:val="21"/>
                <w:szCs w:val="21"/>
              </w:rPr>
            </w:pPr>
          </w:p>
        </w:tc>
        <w:tc>
          <w:tcPr>
            <w:tcW w:w="663" w:type="dxa"/>
            <w:noWrap w:val="0"/>
            <w:vAlign w:val="center"/>
          </w:tcPr>
          <w:p>
            <w:pPr>
              <w:pStyle w:val="30"/>
              <w:spacing w:line="0" w:lineRule="atLeast"/>
              <w:ind w:left="-30" w:right="-63" w:rightChars="-30"/>
              <w:jc w:val="center"/>
              <w:rPr>
                <w:sz w:val="21"/>
                <w:szCs w:val="21"/>
              </w:rPr>
            </w:pPr>
            <w:r>
              <w:rPr>
                <w:rFonts w:hint="eastAsia"/>
                <w:sz w:val="21"/>
                <w:szCs w:val="21"/>
              </w:rPr>
              <w:t>植</w:t>
            </w:r>
          </w:p>
          <w:p>
            <w:pPr>
              <w:pStyle w:val="30"/>
              <w:spacing w:line="0" w:lineRule="atLeast"/>
              <w:ind w:left="-63" w:leftChars="-30" w:right="-63" w:rightChars="-30" w:firstLine="105" w:firstLineChars="50"/>
              <w:jc w:val="center"/>
              <w:rPr>
                <w:sz w:val="21"/>
                <w:szCs w:val="21"/>
              </w:rPr>
            </w:pPr>
            <w:r>
              <w:rPr>
                <w:rFonts w:hint="eastAsia"/>
                <w:sz w:val="21"/>
                <w:szCs w:val="21"/>
              </w:rPr>
              <w:t>物</w:t>
            </w:r>
          </w:p>
        </w:tc>
        <w:tc>
          <w:tcPr>
            <w:tcW w:w="550" w:type="dxa"/>
            <w:noWrap w:val="0"/>
            <w:vAlign w:val="center"/>
          </w:tcPr>
          <w:p>
            <w:pPr>
              <w:pStyle w:val="30"/>
              <w:spacing w:line="0" w:lineRule="atLeast"/>
              <w:ind w:left="-63" w:leftChars="-30" w:right="-63" w:rightChars="-30"/>
              <w:jc w:val="center"/>
              <w:rPr>
                <w:sz w:val="21"/>
                <w:szCs w:val="21"/>
              </w:rPr>
            </w:pPr>
            <w:r>
              <w:rPr>
                <w:rFonts w:hint="eastAsia"/>
                <w:sz w:val="21"/>
                <w:szCs w:val="21"/>
              </w:rPr>
              <w:t>水</w:t>
            </w:r>
          </w:p>
          <w:p>
            <w:pPr>
              <w:pStyle w:val="30"/>
              <w:spacing w:line="0" w:lineRule="atLeast"/>
              <w:ind w:left="-63" w:leftChars="-30" w:right="-63" w:rightChars="-30"/>
              <w:jc w:val="center"/>
              <w:rPr>
                <w:sz w:val="21"/>
                <w:szCs w:val="21"/>
              </w:rPr>
            </w:pPr>
            <w:r>
              <w:rPr>
                <w:rFonts w:hint="eastAsia"/>
                <w:sz w:val="21"/>
                <w:szCs w:val="21"/>
              </w:rPr>
              <w:t>土</w:t>
            </w:r>
          </w:p>
          <w:p>
            <w:pPr>
              <w:pStyle w:val="30"/>
              <w:spacing w:line="0" w:lineRule="atLeast"/>
              <w:ind w:left="-63" w:leftChars="-30" w:right="-63" w:rightChars="-30"/>
              <w:jc w:val="center"/>
              <w:rPr>
                <w:sz w:val="21"/>
                <w:szCs w:val="21"/>
              </w:rPr>
            </w:pPr>
            <w:r>
              <w:rPr>
                <w:rFonts w:hint="eastAsia"/>
                <w:sz w:val="21"/>
                <w:szCs w:val="21"/>
              </w:rPr>
              <w:t>流</w:t>
            </w:r>
          </w:p>
          <w:p>
            <w:pPr>
              <w:pStyle w:val="30"/>
              <w:spacing w:line="0" w:lineRule="atLeast"/>
              <w:ind w:left="-63" w:leftChars="-30" w:right="-63" w:rightChars="-30"/>
              <w:jc w:val="center"/>
              <w:rPr>
                <w:sz w:val="21"/>
                <w:szCs w:val="21"/>
              </w:rPr>
            </w:pPr>
            <w:r>
              <w:rPr>
                <w:rFonts w:hint="eastAsia"/>
                <w:sz w:val="21"/>
                <w:szCs w:val="21"/>
              </w:rPr>
              <w:t>失</w:t>
            </w:r>
          </w:p>
        </w:tc>
        <w:tc>
          <w:tcPr>
            <w:tcW w:w="618" w:type="dxa"/>
            <w:noWrap w:val="0"/>
            <w:vAlign w:val="center"/>
          </w:tcPr>
          <w:p>
            <w:pPr>
              <w:pStyle w:val="30"/>
              <w:spacing w:line="0" w:lineRule="atLeast"/>
              <w:ind w:left="-63" w:leftChars="-30" w:right="-63" w:rightChars="-30"/>
              <w:jc w:val="center"/>
              <w:rPr>
                <w:sz w:val="21"/>
                <w:szCs w:val="21"/>
              </w:rPr>
            </w:pPr>
            <w:r>
              <w:rPr>
                <w:rFonts w:hint="eastAsia"/>
                <w:sz w:val="21"/>
                <w:szCs w:val="21"/>
              </w:rPr>
              <w:t>景</w:t>
            </w:r>
          </w:p>
          <w:p>
            <w:pPr>
              <w:pStyle w:val="30"/>
              <w:spacing w:line="0" w:lineRule="atLeast"/>
              <w:ind w:left="-63" w:leftChars="-30" w:right="-63" w:rightChars="-30"/>
              <w:jc w:val="center"/>
              <w:rPr>
                <w:sz w:val="21"/>
                <w:szCs w:val="21"/>
              </w:rPr>
            </w:pPr>
            <w:r>
              <w:rPr>
                <w:rFonts w:hint="eastAsia"/>
                <w:sz w:val="21"/>
                <w:szCs w:val="21"/>
              </w:rPr>
              <w:t>观</w:t>
            </w:r>
          </w:p>
        </w:tc>
        <w:tc>
          <w:tcPr>
            <w:tcW w:w="600" w:type="dxa"/>
            <w:noWrap w:val="0"/>
            <w:vAlign w:val="center"/>
          </w:tcPr>
          <w:p>
            <w:pPr>
              <w:pStyle w:val="30"/>
              <w:spacing w:line="0" w:lineRule="atLeast"/>
              <w:ind w:left="-63" w:leftChars="-30" w:right="-63" w:rightChars="-30"/>
              <w:jc w:val="center"/>
              <w:rPr>
                <w:sz w:val="21"/>
                <w:szCs w:val="21"/>
              </w:rPr>
            </w:pPr>
            <w:r>
              <w:rPr>
                <w:rFonts w:hint="eastAsia"/>
                <w:sz w:val="21"/>
                <w:szCs w:val="21"/>
              </w:rPr>
              <w:t>噪</w:t>
            </w:r>
          </w:p>
          <w:p>
            <w:pPr>
              <w:pStyle w:val="30"/>
              <w:spacing w:line="0" w:lineRule="atLeast"/>
              <w:ind w:left="-63" w:leftChars="-30" w:right="-63" w:rightChars="-30"/>
              <w:jc w:val="center"/>
              <w:rPr>
                <w:sz w:val="21"/>
                <w:szCs w:val="21"/>
              </w:rPr>
            </w:pPr>
            <w:r>
              <w:rPr>
                <w:rFonts w:hint="eastAsia"/>
                <w:sz w:val="21"/>
                <w:szCs w:val="21"/>
              </w:rPr>
              <w:t>声</w:t>
            </w:r>
          </w:p>
        </w:tc>
        <w:tc>
          <w:tcPr>
            <w:tcW w:w="533" w:type="dxa"/>
            <w:noWrap w:val="0"/>
            <w:vAlign w:val="center"/>
          </w:tcPr>
          <w:p>
            <w:pPr>
              <w:pStyle w:val="30"/>
              <w:spacing w:line="0" w:lineRule="atLeast"/>
              <w:ind w:left="-63" w:leftChars="-30" w:right="-63" w:rightChars="-30"/>
              <w:jc w:val="center"/>
              <w:rPr>
                <w:sz w:val="21"/>
                <w:szCs w:val="21"/>
              </w:rPr>
            </w:pPr>
            <w:r>
              <w:rPr>
                <w:rFonts w:hint="eastAsia"/>
                <w:sz w:val="21"/>
                <w:szCs w:val="21"/>
              </w:rPr>
              <w:t>水</w:t>
            </w:r>
          </w:p>
          <w:p>
            <w:pPr>
              <w:pStyle w:val="30"/>
              <w:spacing w:line="0" w:lineRule="atLeast"/>
              <w:ind w:left="-63" w:leftChars="-30" w:right="-63" w:rightChars="-30"/>
              <w:jc w:val="center"/>
              <w:rPr>
                <w:sz w:val="21"/>
                <w:szCs w:val="21"/>
              </w:rPr>
            </w:pPr>
            <w:r>
              <w:rPr>
                <w:rFonts w:hint="eastAsia"/>
                <w:sz w:val="21"/>
                <w:szCs w:val="21"/>
              </w:rPr>
              <w:t>体</w:t>
            </w:r>
          </w:p>
        </w:tc>
        <w:tc>
          <w:tcPr>
            <w:tcW w:w="550" w:type="dxa"/>
            <w:noWrap w:val="0"/>
            <w:vAlign w:val="center"/>
          </w:tcPr>
          <w:p>
            <w:pPr>
              <w:pStyle w:val="30"/>
              <w:spacing w:line="0" w:lineRule="atLeast"/>
              <w:ind w:left="-63" w:leftChars="-30" w:right="-63" w:rightChars="-30"/>
              <w:jc w:val="center"/>
              <w:rPr>
                <w:sz w:val="21"/>
                <w:szCs w:val="21"/>
              </w:rPr>
            </w:pPr>
            <w:r>
              <w:rPr>
                <w:rFonts w:hint="eastAsia"/>
                <w:sz w:val="21"/>
                <w:szCs w:val="21"/>
              </w:rPr>
              <w:t>大</w:t>
            </w:r>
          </w:p>
          <w:p>
            <w:pPr>
              <w:pStyle w:val="30"/>
              <w:spacing w:line="0" w:lineRule="atLeast"/>
              <w:ind w:left="-63" w:leftChars="-30" w:right="-63" w:rightChars="-30"/>
              <w:jc w:val="center"/>
              <w:rPr>
                <w:sz w:val="21"/>
                <w:szCs w:val="21"/>
              </w:rPr>
            </w:pPr>
            <w:r>
              <w:rPr>
                <w:rFonts w:hint="eastAsia"/>
                <w:sz w:val="21"/>
                <w:szCs w:val="21"/>
              </w:rPr>
              <w:t>气</w:t>
            </w:r>
          </w:p>
        </w:tc>
        <w:tc>
          <w:tcPr>
            <w:tcW w:w="553" w:type="dxa"/>
            <w:noWrap w:val="0"/>
            <w:vAlign w:val="center"/>
          </w:tcPr>
          <w:p>
            <w:pPr>
              <w:pStyle w:val="30"/>
              <w:spacing w:line="0" w:lineRule="atLeast"/>
              <w:ind w:left="-63" w:leftChars="-30" w:right="-63" w:rightChars="-30"/>
              <w:jc w:val="center"/>
              <w:rPr>
                <w:sz w:val="21"/>
                <w:szCs w:val="21"/>
              </w:rPr>
            </w:pPr>
            <w:r>
              <w:rPr>
                <w:rFonts w:hint="eastAsia"/>
                <w:sz w:val="21"/>
                <w:szCs w:val="21"/>
              </w:rPr>
              <w:t>固</w:t>
            </w:r>
          </w:p>
          <w:p>
            <w:pPr>
              <w:pStyle w:val="30"/>
              <w:spacing w:line="0" w:lineRule="atLeast"/>
              <w:ind w:left="-63" w:leftChars="-30" w:right="-63" w:rightChars="-30"/>
              <w:jc w:val="center"/>
              <w:rPr>
                <w:sz w:val="21"/>
                <w:szCs w:val="21"/>
              </w:rPr>
            </w:pPr>
            <w:r>
              <w:rPr>
                <w:rFonts w:hint="eastAsia"/>
                <w:sz w:val="21"/>
                <w:szCs w:val="21"/>
              </w:rPr>
              <w:t>废</w:t>
            </w:r>
          </w:p>
          <w:p>
            <w:pPr>
              <w:pStyle w:val="30"/>
              <w:spacing w:line="0" w:lineRule="atLeast"/>
              <w:ind w:left="-63" w:leftChars="-30" w:right="-63" w:rightChars="-30"/>
              <w:jc w:val="center"/>
              <w:rPr>
                <w:sz w:val="21"/>
                <w:szCs w:val="21"/>
              </w:rPr>
            </w:pPr>
            <w:r>
              <w:rPr>
                <w:rFonts w:hint="eastAsia"/>
                <w:sz w:val="21"/>
                <w:szCs w:val="21"/>
              </w:rPr>
              <w:t>物</w:t>
            </w:r>
          </w:p>
        </w:tc>
        <w:tc>
          <w:tcPr>
            <w:tcW w:w="618" w:type="dxa"/>
            <w:noWrap w:val="0"/>
            <w:vAlign w:val="center"/>
          </w:tcPr>
          <w:p>
            <w:pPr>
              <w:pStyle w:val="30"/>
              <w:spacing w:line="0" w:lineRule="atLeast"/>
              <w:ind w:left="-63" w:leftChars="-30" w:right="-63" w:rightChars="-30"/>
              <w:jc w:val="center"/>
              <w:rPr>
                <w:sz w:val="21"/>
                <w:szCs w:val="21"/>
              </w:rPr>
            </w:pPr>
            <w:r>
              <w:rPr>
                <w:rFonts w:hint="eastAsia"/>
                <w:sz w:val="21"/>
                <w:szCs w:val="21"/>
              </w:rPr>
              <w:t>工</w:t>
            </w:r>
          </w:p>
          <w:p>
            <w:pPr>
              <w:pStyle w:val="30"/>
              <w:spacing w:line="0" w:lineRule="atLeast"/>
              <w:ind w:left="-63" w:leftChars="-30" w:right="-63" w:rightChars="-30"/>
              <w:jc w:val="center"/>
              <w:rPr>
                <w:sz w:val="21"/>
                <w:szCs w:val="21"/>
              </w:rPr>
            </w:pPr>
            <w:r>
              <w:rPr>
                <w:rFonts w:hint="eastAsia"/>
                <w:sz w:val="21"/>
                <w:szCs w:val="21"/>
              </w:rPr>
              <w:t>业</w:t>
            </w:r>
          </w:p>
        </w:tc>
        <w:tc>
          <w:tcPr>
            <w:tcW w:w="533" w:type="dxa"/>
            <w:noWrap w:val="0"/>
            <w:vAlign w:val="center"/>
          </w:tcPr>
          <w:p>
            <w:pPr>
              <w:pStyle w:val="30"/>
              <w:spacing w:line="0" w:lineRule="atLeast"/>
              <w:ind w:left="-63" w:leftChars="-30" w:right="-63" w:rightChars="-30"/>
              <w:jc w:val="center"/>
              <w:rPr>
                <w:sz w:val="21"/>
                <w:szCs w:val="21"/>
              </w:rPr>
            </w:pPr>
            <w:r>
              <w:rPr>
                <w:rFonts w:hint="eastAsia"/>
                <w:sz w:val="21"/>
                <w:szCs w:val="21"/>
              </w:rPr>
              <w:t>农</w:t>
            </w:r>
          </w:p>
          <w:p>
            <w:pPr>
              <w:pStyle w:val="30"/>
              <w:spacing w:line="0" w:lineRule="atLeast"/>
              <w:ind w:left="-63" w:leftChars="-30" w:right="-63" w:rightChars="-30"/>
              <w:jc w:val="center"/>
              <w:rPr>
                <w:sz w:val="21"/>
                <w:szCs w:val="21"/>
              </w:rPr>
            </w:pPr>
            <w:r>
              <w:rPr>
                <w:rFonts w:hint="eastAsia"/>
                <w:sz w:val="21"/>
                <w:szCs w:val="21"/>
              </w:rPr>
              <w:t>业</w:t>
            </w:r>
          </w:p>
        </w:tc>
        <w:tc>
          <w:tcPr>
            <w:tcW w:w="618" w:type="dxa"/>
            <w:tcBorders>
              <w:right w:val="single" w:color="auto" w:sz="4" w:space="0"/>
            </w:tcBorders>
            <w:noWrap w:val="0"/>
            <w:vAlign w:val="center"/>
          </w:tcPr>
          <w:p>
            <w:pPr>
              <w:pStyle w:val="30"/>
              <w:spacing w:line="0" w:lineRule="atLeast"/>
              <w:ind w:left="-63" w:leftChars="-30" w:right="-63" w:rightChars="-30"/>
              <w:jc w:val="center"/>
              <w:rPr>
                <w:sz w:val="21"/>
                <w:szCs w:val="21"/>
              </w:rPr>
            </w:pPr>
            <w:r>
              <w:rPr>
                <w:rFonts w:hint="eastAsia"/>
                <w:sz w:val="21"/>
                <w:szCs w:val="21"/>
              </w:rPr>
              <w:t>人均收入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dxa"/>
            <w:tcBorders>
              <w:lef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施工期</w:t>
            </w:r>
          </w:p>
        </w:tc>
        <w:tc>
          <w:tcPr>
            <w:tcW w:w="2673" w:type="dxa"/>
            <w:noWrap w:val="0"/>
            <w:vAlign w:val="center"/>
          </w:tcPr>
          <w:p>
            <w:pPr>
              <w:pStyle w:val="30"/>
              <w:spacing w:line="400" w:lineRule="atLeast"/>
              <w:ind w:left="-63" w:leftChars="-30" w:right="-63" w:rightChars="-30"/>
              <w:jc w:val="center"/>
              <w:rPr>
                <w:sz w:val="21"/>
                <w:szCs w:val="21"/>
              </w:rPr>
            </w:pPr>
            <w:r>
              <w:rPr>
                <w:rFonts w:hint="eastAsia"/>
                <w:sz w:val="21"/>
                <w:szCs w:val="21"/>
              </w:rPr>
              <w:t>厂区及其它设施建设</w:t>
            </w:r>
          </w:p>
        </w:tc>
        <w:tc>
          <w:tcPr>
            <w:tcW w:w="663"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50" w:type="dxa"/>
            <w:noWrap w:val="0"/>
            <w:vAlign w:val="center"/>
          </w:tcPr>
          <w:p>
            <w:pPr>
              <w:pStyle w:val="30"/>
              <w:spacing w:line="400" w:lineRule="atLeast"/>
              <w:ind w:left="-63" w:leftChars="-30" w:right="-63" w:rightChars="-30"/>
              <w:jc w:val="center"/>
              <w:rPr>
                <w:sz w:val="21"/>
                <w:szCs w:val="21"/>
              </w:rPr>
            </w:pPr>
            <w:r>
              <w:rPr>
                <w:rFonts w:hint="eastAsia"/>
                <w:sz w:val="21"/>
                <w:szCs w:val="21"/>
              </w:rPr>
              <w:t>-1R</w:t>
            </w: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+2R</w:t>
            </w:r>
          </w:p>
        </w:tc>
        <w:tc>
          <w:tcPr>
            <w:tcW w:w="600" w:type="dxa"/>
            <w:noWrap w:val="0"/>
            <w:vAlign w:val="center"/>
          </w:tcPr>
          <w:p>
            <w:pPr>
              <w:pStyle w:val="30"/>
              <w:spacing w:line="400" w:lineRule="atLeast"/>
              <w:ind w:left="-63" w:leftChars="-30" w:right="-63" w:rightChars="-30"/>
              <w:jc w:val="center"/>
              <w:rPr>
                <w:sz w:val="21"/>
                <w:szCs w:val="21"/>
              </w:rPr>
            </w:pPr>
            <w:r>
              <w:rPr>
                <w:rFonts w:hint="eastAsia"/>
                <w:sz w:val="21"/>
                <w:szCs w:val="21"/>
              </w:rPr>
              <w:t>-3R</w:t>
            </w:r>
          </w:p>
        </w:tc>
        <w:tc>
          <w:tcPr>
            <w:tcW w:w="533"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50" w:type="dxa"/>
            <w:noWrap w:val="0"/>
            <w:vAlign w:val="center"/>
          </w:tcPr>
          <w:p>
            <w:pPr>
              <w:pStyle w:val="30"/>
              <w:spacing w:line="400" w:lineRule="atLeast"/>
              <w:ind w:left="-63" w:leftChars="-30" w:right="-63" w:rightChars="-30"/>
              <w:jc w:val="center"/>
              <w:rPr>
                <w:sz w:val="21"/>
                <w:szCs w:val="21"/>
              </w:rPr>
            </w:pPr>
            <w:r>
              <w:rPr>
                <w:rFonts w:hint="eastAsia"/>
                <w:sz w:val="21"/>
                <w:szCs w:val="21"/>
              </w:rPr>
              <w:t>-2L</w:t>
            </w:r>
          </w:p>
        </w:tc>
        <w:tc>
          <w:tcPr>
            <w:tcW w:w="553"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+3R</w:t>
            </w:r>
          </w:p>
        </w:tc>
        <w:tc>
          <w:tcPr>
            <w:tcW w:w="533"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618" w:type="dxa"/>
            <w:tcBorders>
              <w:righ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restart"/>
            <w:tcBorders>
              <w:lef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营运期</w:t>
            </w:r>
          </w:p>
        </w:tc>
        <w:tc>
          <w:tcPr>
            <w:tcW w:w="2673" w:type="dxa"/>
            <w:noWrap w:val="0"/>
            <w:vAlign w:val="center"/>
          </w:tcPr>
          <w:p>
            <w:pPr>
              <w:pStyle w:val="30"/>
              <w:spacing w:line="400" w:lineRule="atLeast"/>
              <w:ind w:left="-63" w:leftChars="-30" w:right="-63" w:rightChars="-30"/>
              <w:jc w:val="center"/>
              <w:rPr>
                <w:sz w:val="21"/>
                <w:szCs w:val="21"/>
              </w:rPr>
            </w:pPr>
            <w:r>
              <w:rPr>
                <w:rFonts w:hint="eastAsia"/>
                <w:sz w:val="21"/>
                <w:szCs w:val="21"/>
              </w:rPr>
              <w:t>水泥熟料生产线</w:t>
            </w:r>
          </w:p>
        </w:tc>
        <w:tc>
          <w:tcPr>
            <w:tcW w:w="663" w:type="dxa"/>
            <w:noWrap w:val="0"/>
            <w:vAlign w:val="center"/>
          </w:tcPr>
          <w:p>
            <w:pPr>
              <w:pStyle w:val="30"/>
              <w:spacing w:line="400" w:lineRule="atLeast"/>
              <w:ind w:left="-63" w:leftChars="-30" w:right="-63" w:rightChars="-30"/>
              <w:jc w:val="center"/>
              <w:rPr>
                <w:sz w:val="21"/>
                <w:szCs w:val="21"/>
              </w:rPr>
            </w:pPr>
          </w:p>
        </w:tc>
        <w:tc>
          <w:tcPr>
            <w:tcW w:w="550" w:type="dxa"/>
            <w:noWrap w:val="0"/>
            <w:vAlign w:val="center"/>
          </w:tcPr>
          <w:p>
            <w:pPr>
              <w:pStyle w:val="30"/>
              <w:spacing w:line="400" w:lineRule="atLeast"/>
              <w:ind w:left="-63" w:leftChars="-30" w:right="-63" w:rightChars="-30"/>
              <w:jc w:val="center"/>
              <w:rPr>
                <w:sz w:val="21"/>
                <w:szCs w:val="21"/>
              </w:rPr>
            </w:pP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600"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33"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50" w:type="dxa"/>
            <w:noWrap w:val="0"/>
            <w:vAlign w:val="center"/>
          </w:tcPr>
          <w:p>
            <w:pPr>
              <w:pStyle w:val="30"/>
              <w:spacing w:line="400" w:lineRule="atLeast"/>
              <w:ind w:left="-63" w:leftChars="-30" w:right="-63" w:rightChars="-30"/>
              <w:jc w:val="center"/>
              <w:rPr>
                <w:sz w:val="21"/>
                <w:szCs w:val="21"/>
              </w:rPr>
            </w:pPr>
            <w:r>
              <w:rPr>
                <w:rFonts w:hint="eastAsia"/>
                <w:sz w:val="21"/>
                <w:szCs w:val="21"/>
              </w:rPr>
              <w:t>-2L</w:t>
            </w:r>
          </w:p>
        </w:tc>
        <w:tc>
          <w:tcPr>
            <w:tcW w:w="553" w:type="dxa"/>
            <w:noWrap w:val="0"/>
            <w:vAlign w:val="center"/>
          </w:tcPr>
          <w:p>
            <w:pPr>
              <w:pStyle w:val="30"/>
              <w:spacing w:line="400" w:lineRule="atLeast"/>
              <w:ind w:left="-63" w:leftChars="-30" w:right="-63" w:rightChars="-30"/>
              <w:jc w:val="center"/>
              <w:rPr>
                <w:sz w:val="21"/>
                <w:szCs w:val="21"/>
              </w:rPr>
            </w:pPr>
            <w:r>
              <w:rPr>
                <w:rFonts w:hint="eastAsia"/>
                <w:sz w:val="21"/>
                <w:szCs w:val="21"/>
              </w:rPr>
              <w:t>-2L</w:t>
            </w: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noWrap w:val="0"/>
            <w:vAlign w:val="center"/>
          </w:tcPr>
          <w:p>
            <w:pPr>
              <w:pStyle w:val="30"/>
              <w:spacing w:line="400" w:lineRule="atLeast"/>
              <w:ind w:left="-63" w:leftChars="-30" w:right="-63" w:rightChars="-30"/>
              <w:jc w:val="center"/>
              <w:rPr>
                <w:sz w:val="21"/>
                <w:szCs w:val="21"/>
              </w:rPr>
            </w:pPr>
          </w:p>
        </w:tc>
        <w:tc>
          <w:tcPr>
            <w:tcW w:w="618" w:type="dxa"/>
            <w:tcBorders>
              <w:righ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continue"/>
            <w:tcBorders>
              <w:left w:val="single" w:color="auto" w:sz="4" w:space="0"/>
            </w:tcBorders>
            <w:noWrap w:val="0"/>
            <w:vAlign w:val="center"/>
          </w:tcPr>
          <w:p>
            <w:pPr>
              <w:pStyle w:val="30"/>
              <w:spacing w:line="400" w:lineRule="atLeast"/>
              <w:ind w:left="-63" w:leftChars="-30" w:right="-63" w:rightChars="-30"/>
              <w:jc w:val="center"/>
              <w:rPr>
                <w:sz w:val="21"/>
                <w:szCs w:val="21"/>
              </w:rPr>
            </w:pPr>
          </w:p>
        </w:tc>
        <w:tc>
          <w:tcPr>
            <w:tcW w:w="2673" w:type="dxa"/>
            <w:noWrap w:val="0"/>
            <w:vAlign w:val="center"/>
          </w:tcPr>
          <w:p>
            <w:pPr>
              <w:pStyle w:val="30"/>
              <w:spacing w:line="400" w:lineRule="atLeast"/>
              <w:ind w:left="-63" w:leftChars="-30" w:right="-63" w:rightChars="-30"/>
              <w:jc w:val="center"/>
              <w:rPr>
                <w:sz w:val="21"/>
                <w:szCs w:val="21"/>
              </w:rPr>
            </w:pPr>
            <w:r>
              <w:rPr>
                <w:rFonts w:hint="eastAsia"/>
                <w:sz w:val="21"/>
                <w:szCs w:val="21"/>
              </w:rPr>
              <w:t>磨机、泵房等辅助工程</w:t>
            </w:r>
          </w:p>
        </w:tc>
        <w:tc>
          <w:tcPr>
            <w:tcW w:w="663" w:type="dxa"/>
            <w:noWrap w:val="0"/>
            <w:vAlign w:val="center"/>
          </w:tcPr>
          <w:p>
            <w:pPr>
              <w:pStyle w:val="30"/>
              <w:spacing w:line="400" w:lineRule="atLeast"/>
              <w:ind w:left="-63" w:leftChars="-30" w:right="-63" w:rightChars="-30"/>
              <w:jc w:val="center"/>
              <w:rPr>
                <w:sz w:val="21"/>
                <w:szCs w:val="21"/>
              </w:rPr>
            </w:pPr>
          </w:p>
        </w:tc>
        <w:tc>
          <w:tcPr>
            <w:tcW w:w="550" w:type="dxa"/>
            <w:noWrap w:val="0"/>
            <w:vAlign w:val="center"/>
          </w:tcPr>
          <w:p>
            <w:pPr>
              <w:pStyle w:val="30"/>
              <w:spacing w:line="400" w:lineRule="atLeast"/>
              <w:ind w:left="-63" w:leftChars="-30" w:right="-63" w:rightChars="-30"/>
              <w:jc w:val="center"/>
              <w:rPr>
                <w:sz w:val="21"/>
                <w:szCs w:val="21"/>
              </w:rPr>
            </w:pP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600"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50"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53" w:type="dxa"/>
            <w:noWrap w:val="0"/>
            <w:vAlign w:val="center"/>
          </w:tcPr>
          <w:p>
            <w:pPr>
              <w:pStyle w:val="30"/>
              <w:spacing w:line="400" w:lineRule="atLeast"/>
              <w:ind w:left="-63" w:leftChars="-30" w:right="-63" w:rightChars="-30"/>
              <w:jc w:val="center"/>
              <w:rPr>
                <w:sz w:val="21"/>
                <w:szCs w:val="21"/>
              </w:rPr>
            </w:pP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noWrap w:val="0"/>
            <w:vAlign w:val="center"/>
          </w:tcPr>
          <w:p>
            <w:pPr>
              <w:pStyle w:val="30"/>
              <w:spacing w:line="400" w:lineRule="atLeast"/>
              <w:ind w:left="-63" w:leftChars="-30" w:right="-63" w:rightChars="-30"/>
              <w:jc w:val="center"/>
              <w:rPr>
                <w:sz w:val="21"/>
                <w:szCs w:val="21"/>
              </w:rPr>
            </w:pPr>
          </w:p>
        </w:tc>
        <w:tc>
          <w:tcPr>
            <w:tcW w:w="618" w:type="dxa"/>
            <w:tcBorders>
              <w:righ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continue"/>
            <w:tcBorders>
              <w:left w:val="single" w:color="auto" w:sz="4" w:space="0"/>
            </w:tcBorders>
            <w:noWrap w:val="0"/>
            <w:vAlign w:val="center"/>
          </w:tcPr>
          <w:p>
            <w:pPr>
              <w:pStyle w:val="30"/>
              <w:spacing w:line="400" w:lineRule="atLeast"/>
              <w:ind w:left="-63" w:leftChars="-30" w:right="-63" w:rightChars="-30"/>
              <w:jc w:val="center"/>
              <w:rPr>
                <w:sz w:val="21"/>
                <w:szCs w:val="21"/>
              </w:rPr>
            </w:pPr>
          </w:p>
        </w:tc>
        <w:tc>
          <w:tcPr>
            <w:tcW w:w="2673" w:type="dxa"/>
            <w:noWrap w:val="0"/>
            <w:vAlign w:val="center"/>
          </w:tcPr>
          <w:p>
            <w:pPr>
              <w:pStyle w:val="30"/>
              <w:spacing w:line="400" w:lineRule="atLeast"/>
              <w:ind w:left="-63" w:leftChars="-30" w:right="-63" w:rightChars="-30"/>
              <w:jc w:val="center"/>
              <w:rPr>
                <w:sz w:val="21"/>
                <w:szCs w:val="21"/>
              </w:rPr>
            </w:pPr>
            <w:r>
              <w:rPr>
                <w:rFonts w:hint="eastAsia"/>
                <w:sz w:val="21"/>
                <w:szCs w:val="21"/>
              </w:rPr>
              <w:t>供水、供电、供气设施</w:t>
            </w:r>
          </w:p>
        </w:tc>
        <w:tc>
          <w:tcPr>
            <w:tcW w:w="663" w:type="dxa"/>
            <w:noWrap w:val="0"/>
            <w:vAlign w:val="center"/>
          </w:tcPr>
          <w:p>
            <w:pPr>
              <w:pStyle w:val="30"/>
              <w:spacing w:line="400" w:lineRule="atLeast"/>
              <w:ind w:left="-63" w:leftChars="-30" w:right="-63" w:rightChars="-30"/>
              <w:jc w:val="center"/>
              <w:rPr>
                <w:sz w:val="21"/>
                <w:szCs w:val="21"/>
              </w:rPr>
            </w:pPr>
          </w:p>
        </w:tc>
        <w:tc>
          <w:tcPr>
            <w:tcW w:w="550" w:type="dxa"/>
            <w:noWrap w:val="0"/>
            <w:vAlign w:val="center"/>
          </w:tcPr>
          <w:p>
            <w:pPr>
              <w:pStyle w:val="30"/>
              <w:spacing w:line="400" w:lineRule="atLeast"/>
              <w:ind w:left="-63" w:leftChars="-30" w:right="-63" w:rightChars="-30"/>
              <w:jc w:val="center"/>
              <w:rPr>
                <w:sz w:val="21"/>
                <w:szCs w:val="21"/>
              </w:rPr>
            </w:pP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600"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50" w:type="dxa"/>
            <w:noWrap w:val="0"/>
            <w:vAlign w:val="center"/>
          </w:tcPr>
          <w:p>
            <w:pPr>
              <w:pStyle w:val="30"/>
              <w:spacing w:line="400" w:lineRule="atLeast"/>
              <w:ind w:left="-63" w:leftChars="-30" w:right="-63" w:rightChars="-30"/>
              <w:jc w:val="center"/>
              <w:rPr>
                <w:sz w:val="21"/>
                <w:szCs w:val="21"/>
              </w:rPr>
            </w:pPr>
          </w:p>
        </w:tc>
        <w:tc>
          <w:tcPr>
            <w:tcW w:w="553" w:type="dxa"/>
            <w:noWrap w:val="0"/>
            <w:vAlign w:val="center"/>
          </w:tcPr>
          <w:p>
            <w:pPr>
              <w:pStyle w:val="30"/>
              <w:spacing w:line="400" w:lineRule="atLeast"/>
              <w:ind w:left="-63" w:leftChars="-30" w:right="-63" w:rightChars="-30"/>
              <w:jc w:val="center"/>
              <w:rPr>
                <w:sz w:val="21"/>
                <w:szCs w:val="21"/>
              </w:rPr>
            </w:pPr>
          </w:p>
        </w:tc>
        <w:tc>
          <w:tcPr>
            <w:tcW w:w="618" w:type="dxa"/>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noWrap w:val="0"/>
            <w:vAlign w:val="center"/>
          </w:tcPr>
          <w:p>
            <w:pPr>
              <w:pStyle w:val="30"/>
              <w:spacing w:line="400" w:lineRule="atLeast"/>
              <w:ind w:left="-63" w:leftChars="-30" w:right="-63" w:rightChars="-30"/>
              <w:jc w:val="center"/>
              <w:rPr>
                <w:sz w:val="21"/>
                <w:szCs w:val="21"/>
              </w:rPr>
            </w:pPr>
          </w:p>
        </w:tc>
        <w:tc>
          <w:tcPr>
            <w:tcW w:w="618" w:type="dxa"/>
            <w:tcBorders>
              <w:righ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777" w:type="dxa"/>
            <w:vMerge w:val="continue"/>
            <w:tcBorders>
              <w:left w:val="single" w:color="auto" w:sz="4" w:space="0"/>
              <w:bottom w:val="single" w:color="auto" w:sz="4" w:space="0"/>
            </w:tcBorders>
            <w:noWrap w:val="0"/>
            <w:vAlign w:val="center"/>
          </w:tcPr>
          <w:p>
            <w:pPr>
              <w:pStyle w:val="30"/>
              <w:spacing w:line="400" w:lineRule="atLeast"/>
              <w:ind w:left="-63" w:leftChars="-30" w:right="-63" w:rightChars="-30"/>
              <w:jc w:val="center"/>
              <w:rPr>
                <w:sz w:val="21"/>
                <w:szCs w:val="21"/>
              </w:rPr>
            </w:pPr>
          </w:p>
        </w:tc>
        <w:tc>
          <w:tcPr>
            <w:tcW w:w="2673"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储运设施</w:t>
            </w:r>
          </w:p>
        </w:tc>
        <w:tc>
          <w:tcPr>
            <w:tcW w:w="663" w:type="dxa"/>
            <w:tcBorders>
              <w:bottom w:val="single" w:color="auto" w:sz="4" w:space="0"/>
            </w:tcBorders>
            <w:noWrap w:val="0"/>
            <w:vAlign w:val="center"/>
          </w:tcPr>
          <w:p>
            <w:pPr>
              <w:pStyle w:val="30"/>
              <w:spacing w:line="400" w:lineRule="atLeast"/>
              <w:ind w:left="-63" w:leftChars="-30" w:right="-63" w:rightChars="-30"/>
              <w:jc w:val="center"/>
              <w:rPr>
                <w:sz w:val="21"/>
                <w:szCs w:val="21"/>
              </w:rPr>
            </w:pPr>
          </w:p>
        </w:tc>
        <w:tc>
          <w:tcPr>
            <w:tcW w:w="550" w:type="dxa"/>
            <w:tcBorders>
              <w:bottom w:val="single" w:color="auto" w:sz="4" w:space="0"/>
            </w:tcBorders>
            <w:noWrap w:val="0"/>
            <w:vAlign w:val="center"/>
          </w:tcPr>
          <w:p>
            <w:pPr>
              <w:pStyle w:val="30"/>
              <w:spacing w:line="400" w:lineRule="atLeast"/>
              <w:ind w:left="-63" w:leftChars="-30" w:right="-63" w:rightChars="-30"/>
              <w:jc w:val="center"/>
              <w:rPr>
                <w:sz w:val="21"/>
                <w:szCs w:val="21"/>
              </w:rPr>
            </w:pPr>
          </w:p>
        </w:tc>
        <w:tc>
          <w:tcPr>
            <w:tcW w:w="618"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600"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-3R</w:t>
            </w:r>
          </w:p>
        </w:tc>
        <w:tc>
          <w:tcPr>
            <w:tcW w:w="533"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-1L</w:t>
            </w:r>
          </w:p>
        </w:tc>
        <w:tc>
          <w:tcPr>
            <w:tcW w:w="550"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-1R</w:t>
            </w:r>
          </w:p>
        </w:tc>
        <w:tc>
          <w:tcPr>
            <w:tcW w:w="553"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-1R</w:t>
            </w:r>
          </w:p>
        </w:tc>
        <w:tc>
          <w:tcPr>
            <w:tcW w:w="618" w:type="dxa"/>
            <w:tcBorders>
              <w:bottom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+3L</w:t>
            </w:r>
          </w:p>
        </w:tc>
        <w:tc>
          <w:tcPr>
            <w:tcW w:w="533" w:type="dxa"/>
            <w:tcBorders>
              <w:bottom w:val="single" w:color="auto" w:sz="4" w:space="0"/>
            </w:tcBorders>
            <w:noWrap w:val="0"/>
            <w:vAlign w:val="center"/>
          </w:tcPr>
          <w:p>
            <w:pPr>
              <w:pStyle w:val="30"/>
              <w:spacing w:line="400" w:lineRule="atLeast"/>
              <w:ind w:left="-63" w:leftChars="-30" w:right="-63" w:rightChars="-30"/>
              <w:jc w:val="center"/>
              <w:rPr>
                <w:sz w:val="21"/>
                <w:szCs w:val="21"/>
              </w:rPr>
            </w:pPr>
          </w:p>
        </w:tc>
        <w:tc>
          <w:tcPr>
            <w:tcW w:w="618" w:type="dxa"/>
            <w:tcBorders>
              <w:bottom w:val="single" w:color="auto" w:sz="4" w:space="0"/>
              <w:right w:val="single" w:color="auto" w:sz="4" w:space="0"/>
            </w:tcBorders>
            <w:noWrap w:val="0"/>
            <w:vAlign w:val="center"/>
          </w:tcPr>
          <w:p>
            <w:pPr>
              <w:pStyle w:val="30"/>
              <w:spacing w:line="400" w:lineRule="atLeast"/>
              <w:ind w:left="-63" w:leftChars="-30" w:right="-63" w:rightChars="-30"/>
              <w:jc w:val="center"/>
              <w:rPr>
                <w:sz w:val="21"/>
                <w:szCs w:val="21"/>
              </w:rPr>
            </w:pPr>
            <w:r>
              <w:rPr>
                <w:rFonts w:hint="eastAsia"/>
                <w:sz w:val="21"/>
                <w:szCs w:val="21"/>
              </w:rPr>
              <w:t>+3L</w:t>
            </w:r>
          </w:p>
        </w:tc>
      </w:tr>
    </w:tbl>
    <w:p>
      <w:pPr>
        <w:pStyle w:val="30"/>
        <w:adjustRightInd/>
        <w:spacing w:line="300" w:lineRule="atLeast"/>
        <w:ind w:firstLine="420"/>
        <w:rPr>
          <w:rFonts w:hint="eastAsia"/>
          <w:sz w:val="21"/>
        </w:rPr>
      </w:pPr>
      <w:r>
        <w:rPr>
          <w:rFonts w:hint="eastAsia"/>
          <w:sz w:val="21"/>
        </w:rPr>
        <w:t>注：表中1、2、3表示影响程度大、中、小，R、L表示可逆或不可逆，+、-表示有利或不利影响。</w:t>
      </w:r>
    </w:p>
    <w:p>
      <w:pPr>
        <w:pStyle w:val="30"/>
        <w:adjustRightInd/>
        <w:spacing w:line="300" w:lineRule="atLeast"/>
        <w:ind w:firstLine="420"/>
        <w:rPr>
          <w:sz w:val="21"/>
        </w:rPr>
      </w:pPr>
    </w:p>
    <w:p>
      <w:pPr>
        <w:spacing w:before="24" w:beforeLines="10" w:after="24" w:afterLines="10" w:line="360" w:lineRule="auto"/>
        <w:outlineLvl w:val="1"/>
        <w:rPr>
          <w:b/>
        </w:rPr>
      </w:pPr>
      <w:bookmarkStart w:id="38" w:name="_Toc179694631"/>
      <w:bookmarkStart w:id="39" w:name="_Toc276372218"/>
      <w:r>
        <w:rPr>
          <w:b/>
        </w:rPr>
        <w:t>1.</w:t>
      </w:r>
      <w:r>
        <w:rPr>
          <w:rFonts w:hint="eastAsia"/>
          <w:b/>
        </w:rPr>
        <w:t>9</w:t>
      </w:r>
      <w:r>
        <w:rPr>
          <w:b/>
        </w:rPr>
        <w:t xml:space="preserve"> 评价范围、评价时段及评价因子</w:t>
      </w:r>
      <w:bookmarkEnd w:id="38"/>
      <w:bookmarkEnd w:id="39"/>
    </w:p>
    <w:p>
      <w:pPr>
        <w:spacing w:before="24" w:beforeLines="10" w:after="24" w:afterLines="10" w:line="360" w:lineRule="auto"/>
        <w:rPr>
          <w:rFonts w:hint="eastAsia"/>
          <w:b/>
        </w:rPr>
      </w:pPr>
      <w:r>
        <w:rPr>
          <w:b/>
        </w:rPr>
        <w:t>1.</w:t>
      </w:r>
      <w:r>
        <w:rPr>
          <w:rFonts w:hint="eastAsia"/>
          <w:b/>
        </w:rPr>
        <w:t>9</w:t>
      </w:r>
      <w:r>
        <w:rPr>
          <w:b/>
        </w:rPr>
        <w:t xml:space="preserve">.1 </w:t>
      </w:r>
      <w:r>
        <w:rPr>
          <w:rFonts w:hint="eastAsia"/>
          <w:b/>
        </w:rPr>
        <w:t>评价范围</w:t>
      </w:r>
    </w:p>
    <w:p>
      <w:pPr>
        <w:pStyle w:val="9"/>
        <w:ind w:firstLine="480" w:firstLineChars="200"/>
        <w:rPr>
          <w:rFonts w:hint="eastAsia" w:ascii="宋体" w:hAnsi="宋体"/>
          <w:sz w:val="24"/>
        </w:rPr>
      </w:pPr>
      <w:r>
        <w:rPr>
          <w:rFonts w:hint="eastAsia" w:ascii="宋体" w:hAnsi="宋体"/>
          <w:sz w:val="24"/>
        </w:rPr>
        <w:t>（1）环境空气：水泥厂区以水泥装置窑尾排气筒为中心，主导风向为主轴的17</w:t>
      </w:r>
      <w:r>
        <w:rPr>
          <w:rFonts w:ascii="宋体" w:hAnsi="宋体"/>
          <w:sz w:val="24"/>
        </w:rPr>
        <w:t>km×</w:t>
      </w:r>
      <w:r>
        <w:rPr>
          <w:rFonts w:hint="eastAsia" w:ascii="宋体" w:hAnsi="宋体"/>
          <w:sz w:val="24"/>
        </w:rPr>
        <w:t>14</w:t>
      </w:r>
      <w:r>
        <w:rPr>
          <w:rFonts w:ascii="宋体" w:hAnsi="宋体"/>
          <w:sz w:val="24"/>
        </w:rPr>
        <w:t>km</w:t>
      </w:r>
      <w:r>
        <w:rPr>
          <w:rFonts w:hint="eastAsia" w:ascii="宋体" w:hAnsi="宋体"/>
          <w:sz w:val="24"/>
        </w:rPr>
        <w:t>矩形区域，详见图1.1。</w:t>
      </w:r>
    </w:p>
    <w:p>
      <w:pPr>
        <w:pStyle w:val="9"/>
        <w:ind w:firstLine="480" w:firstLineChars="200"/>
        <w:rPr>
          <w:rFonts w:hint="eastAsia" w:ascii="宋体" w:hAnsi="宋体"/>
          <w:sz w:val="24"/>
        </w:rPr>
      </w:pPr>
      <w:r>
        <w:rPr>
          <w:rFonts w:hint="eastAsia" w:ascii="宋体" w:hAnsi="宋体"/>
          <w:sz w:val="24"/>
        </w:rPr>
        <w:t>（2）地表水：排污口处至无名小河沟下游1000</w:t>
      </w:r>
      <w:r>
        <w:rPr>
          <w:rFonts w:ascii="宋体" w:hAnsi="宋体"/>
          <w:sz w:val="24"/>
        </w:rPr>
        <w:t>m</w:t>
      </w:r>
      <w:r>
        <w:rPr>
          <w:rFonts w:hint="eastAsia" w:ascii="宋体" w:hAnsi="宋体"/>
          <w:sz w:val="24"/>
        </w:rPr>
        <w:t>的河段。</w:t>
      </w:r>
    </w:p>
    <w:p>
      <w:pPr>
        <w:spacing w:line="360" w:lineRule="auto"/>
        <w:ind w:firstLine="420" w:firstLineChars="200"/>
        <w:outlineLvl w:val="2"/>
        <w:rPr>
          <w:rFonts w:hint="eastAsia" w:eastAsia="黑体"/>
          <w:sz w:val="28"/>
        </w:rPr>
      </w:pPr>
      <w:r>
        <w:rPr>
          <w:rFonts w:hint="eastAsia" w:ascii="宋体" w:hAnsi="宋体"/>
        </w:rPr>
        <w:t>（3）噪 声：水泥厂区厂界及厂界外200</w:t>
      </w:r>
      <w:r>
        <w:rPr>
          <w:rFonts w:ascii="宋体" w:hAnsi="宋体"/>
        </w:rPr>
        <w:t>m</w:t>
      </w:r>
      <w:r>
        <w:rPr>
          <w:rFonts w:hint="eastAsia" w:ascii="宋体" w:hAnsi="宋体"/>
        </w:rPr>
        <w:t>。</w:t>
      </w:r>
    </w:p>
    <w:p>
      <w:pPr>
        <w:spacing w:before="24" w:beforeLines="10" w:after="24" w:afterLines="10" w:line="360" w:lineRule="auto"/>
        <w:rPr>
          <w:b/>
        </w:rPr>
      </w:pPr>
      <w:r>
        <w:rPr>
          <w:rFonts w:hint="eastAsia"/>
          <w:b/>
        </w:rPr>
        <w:t>1.9.2</w:t>
      </w:r>
      <w:r>
        <w:rPr>
          <w:b/>
        </w:rPr>
        <w:t>评价时段</w:t>
      </w:r>
    </w:p>
    <w:p>
      <w:pPr>
        <w:spacing w:line="360" w:lineRule="auto"/>
        <w:ind w:firstLine="420" w:firstLineChars="200"/>
        <w:rPr>
          <w:rFonts w:ascii="宋体" w:hAnsi="宋体"/>
        </w:rPr>
      </w:pPr>
      <w:r>
        <w:rPr>
          <w:rFonts w:ascii="宋体" w:hAnsi="宋体"/>
        </w:rPr>
        <w:t>评价时段分为施工期和营运期。</w:t>
      </w:r>
    </w:p>
    <w:p>
      <w:pPr>
        <w:spacing w:before="24" w:beforeLines="10" w:after="24" w:afterLines="10" w:line="360" w:lineRule="auto"/>
        <w:rPr>
          <w:b/>
        </w:rPr>
      </w:pPr>
      <w:r>
        <w:rPr>
          <w:rFonts w:hint="eastAsia"/>
          <w:b/>
        </w:rPr>
        <w:t xml:space="preserve">1.9.3 </w:t>
      </w:r>
      <w:r>
        <w:rPr>
          <w:b/>
        </w:rPr>
        <w:t xml:space="preserve">评价因子  </w:t>
      </w:r>
    </w:p>
    <w:p>
      <w:pPr>
        <w:spacing w:line="360" w:lineRule="auto"/>
        <w:ind w:firstLine="420" w:firstLineChars="200"/>
        <w:rPr>
          <w:rFonts w:hint="eastAsia" w:ascii="宋体" w:hAnsi="宋体"/>
        </w:rPr>
      </w:pPr>
      <w:r>
        <w:rPr>
          <w:rFonts w:hint="eastAsia" w:ascii="宋体" w:hAnsi="宋体"/>
        </w:rPr>
        <w:t>（1）现状评价因子</w:t>
      </w:r>
    </w:p>
    <w:p>
      <w:pPr>
        <w:spacing w:line="360" w:lineRule="auto"/>
        <w:ind w:firstLine="420" w:firstLineChars="200"/>
        <w:rPr>
          <w:rFonts w:hint="eastAsia" w:ascii="宋体" w:hAnsi="宋体"/>
        </w:rPr>
      </w:pPr>
      <w:r>
        <w:rPr>
          <w:rFonts w:hint="eastAsia" w:ascii="宋体" w:hAnsi="宋体"/>
        </w:rPr>
        <w:t>环境空气： PM</w:t>
      </w:r>
      <w:r>
        <w:rPr>
          <w:rFonts w:hint="eastAsia" w:ascii="宋体" w:hAnsi="宋体"/>
          <w:vertAlign w:val="subscript"/>
        </w:rPr>
        <w:t>10</w:t>
      </w:r>
      <w:r>
        <w:rPr>
          <w:rFonts w:hint="eastAsia" w:ascii="宋体" w:hAnsi="宋体"/>
        </w:rPr>
        <w:t>、TSP、SO</w:t>
      </w:r>
      <w:r>
        <w:rPr>
          <w:rFonts w:hint="eastAsia" w:ascii="宋体" w:hAnsi="宋体"/>
          <w:vertAlign w:val="subscript"/>
        </w:rPr>
        <w:t>2</w:t>
      </w:r>
      <w:r>
        <w:rPr>
          <w:rFonts w:hint="eastAsia" w:ascii="宋体" w:hAnsi="宋体"/>
        </w:rPr>
        <w:t>、NO</w:t>
      </w:r>
      <w:r>
        <w:rPr>
          <w:rFonts w:hint="eastAsia" w:ascii="宋体" w:hAnsi="宋体"/>
          <w:vertAlign w:val="subscript"/>
        </w:rPr>
        <w:t>2</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地表水：</w:t>
      </w:r>
      <w:r>
        <w:rPr>
          <w:rFonts w:ascii="宋体" w:hAnsi="宋体"/>
        </w:rPr>
        <w:t>pH</w:t>
      </w:r>
      <w:r>
        <w:rPr>
          <w:rFonts w:hint="eastAsia" w:ascii="宋体" w:hAnsi="宋体"/>
        </w:rPr>
        <w:t>、</w:t>
      </w:r>
      <w:r>
        <w:rPr>
          <w:rFonts w:ascii="宋体" w:hAnsi="宋体"/>
        </w:rPr>
        <w:t>DO</w:t>
      </w:r>
      <w:r>
        <w:rPr>
          <w:rFonts w:hint="eastAsia" w:ascii="宋体" w:hAnsi="宋体"/>
        </w:rPr>
        <w:t>、</w:t>
      </w:r>
      <w:r>
        <w:rPr>
          <w:rFonts w:ascii="宋体" w:hAnsi="宋体"/>
        </w:rPr>
        <w:t>COD</w:t>
      </w:r>
      <w:r>
        <w:rPr>
          <w:rFonts w:hint="eastAsia" w:ascii="宋体" w:hAnsi="宋体"/>
        </w:rPr>
        <w:t>、</w:t>
      </w:r>
      <w:r>
        <w:rPr>
          <w:rFonts w:ascii="宋体" w:hAnsi="宋体"/>
        </w:rPr>
        <w:t>BOD</w:t>
      </w:r>
      <w:r>
        <w:rPr>
          <w:rFonts w:ascii="宋体" w:hAnsi="宋体"/>
          <w:vertAlign w:val="subscript"/>
        </w:rPr>
        <w:t>5</w:t>
      </w:r>
      <w:r>
        <w:rPr>
          <w:rFonts w:hint="eastAsia" w:ascii="宋体" w:hAnsi="宋体"/>
        </w:rPr>
        <w:t>、NH</w:t>
      </w:r>
      <w:r>
        <w:rPr>
          <w:rFonts w:hint="eastAsia" w:ascii="宋体" w:hAnsi="宋体"/>
          <w:vertAlign w:val="subscript"/>
        </w:rPr>
        <w:t>3</w:t>
      </w:r>
      <w:r>
        <w:rPr>
          <w:rFonts w:hint="eastAsia" w:ascii="宋体" w:hAnsi="宋体"/>
        </w:rPr>
        <w:t>-N、TP、石油类。</w:t>
      </w:r>
    </w:p>
    <w:p>
      <w:pPr>
        <w:spacing w:line="360" w:lineRule="auto"/>
        <w:ind w:firstLine="420" w:firstLineChars="200"/>
        <w:rPr>
          <w:rFonts w:hint="eastAsia" w:ascii="宋体" w:hAnsi="宋体"/>
        </w:rPr>
      </w:pPr>
      <w:r>
        <w:rPr>
          <w:rFonts w:hint="eastAsia" w:ascii="宋体" w:hAnsi="宋体"/>
        </w:rPr>
        <w:t>声环境：噪声等效</w:t>
      </w:r>
      <w:r>
        <w:rPr>
          <w:rFonts w:ascii="宋体" w:hAnsi="宋体"/>
        </w:rPr>
        <w:t>A</w:t>
      </w:r>
      <w:r>
        <w:rPr>
          <w:rFonts w:hint="eastAsia" w:ascii="宋体" w:hAnsi="宋体"/>
        </w:rPr>
        <w:t>声级。</w:t>
      </w:r>
    </w:p>
    <w:p>
      <w:pPr>
        <w:spacing w:line="360" w:lineRule="auto"/>
        <w:ind w:firstLine="315" w:firstLineChars="150"/>
        <w:rPr>
          <w:rFonts w:ascii="宋体" w:hAnsi="宋体"/>
        </w:rPr>
      </w:pPr>
      <w:r>
        <w:rPr>
          <w:rFonts w:hint="eastAsia" w:ascii="宋体" w:hAnsi="宋体"/>
        </w:rPr>
        <w:t>（2）</w:t>
      </w:r>
      <w:r>
        <w:rPr>
          <w:rFonts w:ascii="宋体" w:hAnsi="宋体"/>
        </w:rPr>
        <w:t>影响评价因子</w:t>
      </w:r>
    </w:p>
    <w:p>
      <w:pPr>
        <w:spacing w:line="360" w:lineRule="auto"/>
        <w:ind w:firstLine="420" w:firstLineChars="200"/>
        <w:rPr>
          <w:rFonts w:ascii="宋体" w:hAnsi="宋体"/>
        </w:rPr>
      </w:pPr>
      <w:r>
        <w:rPr>
          <w:rFonts w:ascii="宋体" w:hAnsi="宋体"/>
        </w:rPr>
        <w:t>空气环境：PM</w:t>
      </w:r>
      <w:r>
        <w:rPr>
          <w:rFonts w:ascii="宋体" w:hAnsi="宋体"/>
          <w:vertAlign w:val="subscript"/>
        </w:rPr>
        <w:t>10</w:t>
      </w:r>
      <w:r>
        <w:rPr>
          <w:rFonts w:hint="eastAsia" w:ascii="宋体" w:hAnsi="宋体"/>
        </w:rPr>
        <w:t>、NO</w:t>
      </w:r>
      <w:r>
        <w:rPr>
          <w:rFonts w:hint="eastAsia" w:ascii="宋体" w:hAnsi="宋体"/>
          <w:vertAlign w:val="subscript"/>
        </w:rPr>
        <w:t>2</w:t>
      </w:r>
      <w:r>
        <w:rPr>
          <w:rFonts w:hint="eastAsia" w:ascii="宋体" w:hAnsi="宋体"/>
        </w:rPr>
        <w:t>、</w:t>
      </w:r>
      <w:r>
        <w:rPr>
          <w:rFonts w:ascii="宋体" w:hAnsi="宋体"/>
        </w:rPr>
        <w:t>TSP、SO</w:t>
      </w:r>
      <w:r>
        <w:rPr>
          <w:rFonts w:ascii="宋体" w:hAnsi="宋体"/>
          <w:vertAlign w:val="subscript"/>
        </w:rPr>
        <w:t>2</w:t>
      </w:r>
    </w:p>
    <w:p>
      <w:pPr>
        <w:spacing w:line="360" w:lineRule="auto"/>
        <w:ind w:firstLine="420" w:firstLineChars="200"/>
        <w:rPr>
          <w:rFonts w:ascii="宋体" w:hAnsi="宋体"/>
        </w:rPr>
      </w:pPr>
      <w:r>
        <w:rPr>
          <w:rFonts w:ascii="宋体" w:hAnsi="宋体"/>
        </w:rPr>
        <w:t>地</w:t>
      </w:r>
      <w:r>
        <w:rPr>
          <w:rFonts w:hint="eastAsia" w:ascii="宋体" w:hAnsi="宋体"/>
        </w:rPr>
        <w:t>表</w:t>
      </w:r>
      <w:r>
        <w:rPr>
          <w:rFonts w:ascii="宋体" w:hAnsi="宋体"/>
        </w:rPr>
        <w:t>水环境：COD</w:t>
      </w:r>
      <w:r>
        <w:rPr>
          <w:rFonts w:hint="eastAsia" w:ascii="宋体" w:hAnsi="宋体"/>
        </w:rPr>
        <w:t>cr</w:t>
      </w:r>
    </w:p>
    <w:p>
      <w:pPr>
        <w:spacing w:line="360" w:lineRule="auto"/>
        <w:ind w:firstLine="420" w:firstLineChars="200"/>
        <w:rPr>
          <w:rFonts w:ascii="宋体" w:hAnsi="宋体"/>
        </w:rPr>
      </w:pPr>
      <w:r>
        <w:rPr>
          <w:rFonts w:ascii="宋体" w:hAnsi="宋体"/>
        </w:rPr>
        <w:t>声环境：厂界噪声、敏感点环境噪声</w:t>
      </w:r>
    </w:p>
    <w:p>
      <w:pPr>
        <w:pStyle w:val="30"/>
        <w:adjustRightInd/>
        <w:spacing w:line="360" w:lineRule="auto"/>
        <w:ind w:firstLine="480"/>
        <w:rPr>
          <w:rFonts w:ascii="宋体" w:hAnsi="宋体"/>
          <w:kern w:val="2"/>
          <w:sz w:val="24"/>
          <w:szCs w:val="24"/>
        </w:rPr>
      </w:pPr>
      <w:r>
        <w:rPr>
          <w:rFonts w:ascii="宋体" w:hAnsi="宋体"/>
          <w:kern w:val="2"/>
          <w:sz w:val="24"/>
          <w:szCs w:val="24"/>
        </w:rPr>
        <w:t>生态环境：</w:t>
      </w:r>
      <w:r>
        <w:rPr>
          <w:rFonts w:hint="eastAsia" w:ascii="宋体" w:hAnsi="宋体"/>
          <w:kern w:val="2"/>
          <w:sz w:val="24"/>
          <w:szCs w:val="24"/>
        </w:rPr>
        <w:t>水泥生产对周边农作物</w:t>
      </w:r>
      <w:r>
        <w:rPr>
          <w:rFonts w:ascii="宋体" w:hAnsi="宋体"/>
          <w:kern w:val="2"/>
          <w:sz w:val="24"/>
          <w:szCs w:val="24"/>
        </w:rPr>
        <w:t>的影响。</w:t>
      </w:r>
    </w:p>
    <w:p>
      <w:pPr>
        <w:spacing w:line="360" w:lineRule="auto"/>
        <w:ind w:firstLine="420" w:firstLineChars="200"/>
        <w:rPr>
          <w:rFonts w:hint="eastAsia" w:ascii="宋体" w:hAnsi="宋体"/>
        </w:rPr>
      </w:pPr>
      <w:r>
        <w:rPr>
          <w:rFonts w:hint="eastAsia" w:ascii="宋体" w:hAnsi="宋体"/>
        </w:rPr>
        <w:t>固体废物：废水处理污泥、生活垃圾、除尘灰。</w:t>
      </w:r>
    </w:p>
    <w:p>
      <w:pPr>
        <w:spacing w:before="24" w:beforeLines="10" w:after="24" w:afterLines="10" w:line="360" w:lineRule="auto"/>
        <w:outlineLvl w:val="1"/>
        <w:rPr>
          <w:rFonts w:hint="eastAsia"/>
          <w:b/>
        </w:rPr>
      </w:pPr>
      <w:bookmarkStart w:id="40" w:name="_Toc174241338"/>
      <w:bookmarkStart w:id="41" w:name="_Toc150759609"/>
      <w:bookmarkStart w:id="42" w:name="_Toc155859711"/>
      <w:bookmarkStart w:id="43" w:name="_Toc276372219"/>
      <w:bookmarkStart w:id="44" w:name="_Toc473281485"/>
      <w:bookmarkStart w:id="45" w:name="_Toc189814127"/>
      <w:r>
        <w:rPr>
          <w:b/>
        </w:rPr>
        <w:t>1.</w:t>
      </w:r>
      <w:r>
        <w:rPr>
          <w:rFonts w:hint="eastAsia"/>
          <w:b/>
        </w:rPr>
        <w:t>10污染控制目标及环境</w:t>
      </w:r>
      <w:bookmarkEnd w:id="40"/>
      <w:bookmarkEnd w:id="41"/>
      <w:bookmarkEnd w:id="42"/>
      <w:r>
        <w:rPr>
          <w:rFonts w:hint="eastAsia"/>
          <w:b/>
        </w:rPr>
        <w:t>敏感点</w:t>
      </w:r>
      <w:bookmarkEnd w:id="43"/>
      <w:bookmarkEnd w:id="44"/>
      <w:bookmarkEnd w:id="45"/>
    </w:p>
    <w:p>
      <w:pPr>
        <w:spacing w:line="360" w:lineRule="auto"/>
        <w:rPr>
          <w:rFonts w:hint="eastAsia"/>
          <w:b/>
          <w:bCs/>
          <w:szCs w:val="20"/>
        </w:rPr>
      </w:pPr>
      <w:bookmarkStart w:id="46" w:name="_Toc150759610"/>
      <w:bookmarkStart w:id="47" w:name="_Toc155859712"/>
      <w:r>
        <w:rPr>
          <w:rFonts w:hint="eastAsia"/>
          <w:b/>
          <w:bCs/>
          <w:szCs w:val="20"/>
        </w:rPr>
        <w:t>1.10.1污染控制目标</w:t>
      </w:r>
      <w:bookmarkEnd w:id="46"/>
      <w:bookmarkEnd w:id="47"/>
    </w:p>
    <w:p>
      <w:pPr>
        <w:spacing w:line="360" w:lineRule="auto"/>
        <w:ind w:firstLine="420" w:firstLineChars="200"/>
        <w:rPr>
          <w:rFonts w:hint="eastAsia" w:ascii="宋体" w:hAnsi="宋体"/>
        </w:rPr>
      </w:pPr>
      <w:r>
        <w:rPr>
          <w:rFonts w:hint="eastAsia" w:ascii="宋体" w:hAnsi="宋体"/>
        </w:rPr>
        <w:t>（1）污染物实现达标排放（废气、废水、厂界噪声、粉尘），符合“总量控制”要求。</w:t>
      </w:r>
    </w:p>
    <w:p>
      <w:pPr>
        <w:spacing w:line="360" w:lineRule="auto"/>
        <w:ind w:firstLine="420" w:firstLineChars="200"/>
        <w:rPr>
          <w:rFonts w:hint="eastAsia" w:ascii="宋体" w:hAnsi="宋体"/>
        </w:rPr>
      </w:pPr>
      <w:r>
        <w:rPr>
          <w:rFonts w:hint="eastAsia" w:ascii="宋体" w:hAnsi="宋体"/>
        </w:rPr>
        <w:t>（2）技改项目建成后环境空气、环境噪声、地表水质量维持在现状水平的基础上，能有所改善。</w:t>
      </w:r>
    </w:p>
    <w:p>
      <w:pPr>
        <w:spacing w:line="360" w:lineRule="auto"/>
        <w:ind w:firstLine="420" w:firstLineChars="200"/>
        <w:rPr>
          <w:rFonts w:hint="eastAsia" w:ascii="宋体" w:hAnsi="宋体"/>
        </w:rPr>
      </w:pPr>
      <w:r>
        <w:rPr>
          <w:rFonts w:hint="eastAsia" w:ascii="宋体" w:hAnsi="宋体"/>
        </w:rPr>
        <w:t>（3）坚持清洁生产和循环经济的原则，符合清洁生产的总体要求。</w:t>
      </w:r>
    </w:p>
    <w:p>
      <w:pPr>
        <w:spacing w:line="360" w:lineRule="auto"/>
        <w:ind w:firstLine="420" w:firstLineChars="200"/>
        <w:rPr>
          <w:rFonts w:hint="eastAsia" w:ascii="宋体" w:hAnsi="宋体"/>
        </w:rPr>
      </w:pPr>
      <w:r>
        <w:rPr>
          <w:rFonts w:hint="eastAsia" w:ascii="宋体" w:hAnsi="宋体"/>
        </w:rPr>
        <w:t>（4）非正常工况时，不对周围农作物产生危害等恶性事故。</w:t>
      </w:r>
    </w:p>
    <w:p>
      <w:pPr>
        <w:spacing w:line="360" w:lineRule="auto"/>
        <w:rPr>
          <w:rFonts w:hint="eastAsia"/>
          <w:b/>
          <w:bCs/>
          <w:szCs w:val="20"/>
        </w:rPr>
      </w:pPr>
      <w:bookmarkStart w:id="48" w:name="_Toc150759611"/>
      <w:bookmarkStart w:id="49" w:name="_Toc155859713"/>
      <w:r>
        <w:rPr>
          <w:rFonts w:hint="eastAsia"/>
          <w:b/>
          <w:bCs/>
          <w:szCs w:val="20"/>
        </w:rPr>
        <w:t>1.10.2 环境保护目标</w:t>
      </w:r>
      <w:bookmarkEnd w:id="48"/>
      <w:bookmarkEnd w:id="49"/>
    </w:p>
    <w:p>
      <w:pPr>
        <w:spacing w:line="360" w:lineRule="auto"/>
        <w:ind w:firstLine="420" w:firstLineChars="200"/>
        <w:rPr>
          <w:rFonts w:hint="eastAsia" w:ascii="宋体" w:hAnsi="宋体"/>
        </w:rPr>
      </w:pPr>
      <w:r>
        <w:rPr>
          <w:rFonts w:hint="eastAsia" w:ascii="宋体" w:hAnsi="宋体"/>
        </w:rPr>
        <w:t>评价区域内无风景名胜区、自然保护区、野生珍稀动植物等环境敏感区域。</w:t>
      </w:r>
    </w:p>
    <w:p>
      <w:pPr>
        <w:spacing w:line="360" w:lineRule="auto"/>
        <w:ind w:firstLine="420" w:firstLineChars="200"/>
        <w:rPr>
          <w:rFonts w:hint="eastAsia" w:ascii="宋体" w:hAnsi="宋体"/>
        </w:rPr>
      </w:pPr>
      <w:r>
        <w:rPr>
          <w:rFonts w:hint="eastAsia" w:ascii="宋体" w:hAnsi="宋体"/>
        </w:rPr>
        <w:t>以评价区域内的文物保护单位、学校、医院、居民、农户及周围农作物等为主要保护目标，环境敏感目标见表1-12和图1.1。</w:t>
      </w:r>
    </w:p>
    <w:p>
      <w:pPr>
        <w:pStyle w:val="31"/>
        <w:spacing w:line="480" w:lineRule="exact"/>
        <w:ind w:firstLine="0" w:firstLineChars="0"/>
        <w:jc w:val="center"/>
        <w:rPr>
          <w:rFonts w:hint="eastAsia"/>
          <w:b/>
          <w:color w:val="auto"/>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13"/>
        <w:rPr>
          <w:rFonts w:hint="eastAsia"/>
        </w:rPr>
      </w:pPr>
    </w:p>
    <w:p>
      <w:pPr>
        <w:pStyle w:val="31"/>
        <w:spacing w:line="480" w:lineRule="exact"/>
        <w:ind w:firstLine="0" w:firstLineChars="0"/>
        <w:jc w:val="center"/>
        <w:rPr>
          <w:rFonts w:hint="eastAsia"/>
          <w:b/>
          <w:color w:val="auto"/>
        </w:rPr>
      </w:pPr>
    </w:p>
    <w:p>
      <w:pPr>
        <w:pStyle w:val="31"/>
        <w:spacing w:line="480" w:lineRule="exact"/>
        <w:ind w:firstLine="0" w:firstLineChars="0"/>
        <w:jc w:val="center"/>
        <w:rPr>
          <w:rFonts w:hint="eastAsia"/>
          <w:b/>
          <w:color w:val="auto"/>
        </w:rPr>
      </w:pPr>
    </w:p>
    <w:p>
      <w:pPr>
        <w:pStyle w:val="31"/>
        <w:spacing w:line="480" w:lineRule="exact"/>
        <w:ind w:firstLine="0" w:firstLineChars="0"/>
        <w:jc w:val="center"/>
        <w:rPr>
          <w:rFonts w:hint="eastAsia"/>
          <w:b/>
          <w:color w:val="auto"/>
        </w:rPr>
      </w:pPr>
    </w:p>
    <w:p>
      <w:pPr>
        <w:pStyle w:val="31"/>
        <w:spacing w:line="480" w:lineRule="exact"/>
        <w:ind w:firstLine="0" w:firstLineChars="0"/>
        <w:jc w:val="center"/>
        <w:rPr>
          <w:rFonts w:hint="eastAsia"/>
          <w:b/>
          <w:color w:val="auto"/>
        </w:rPr>
      </w:pPr>
    </w:p>
    <w:p>
      <w:pPr>
        <w:pStyle w:val="31"/>
        <w:spacing w:line="480" w:lineRule="exact"/>
        <w:ind w:firstLine="0" w:firstLineChars="0"/>
        <w:jc w:val="center"/>
        <w:rPr>
          <w:rFonts w:hint="eastAsia"/>
          <w:b/>
          <w:color w:val="auto"/>
        </w:rPr>
      </w:pPr>
    </w:p>
    <w:p>
      <w:pPr>
        <w:pStyle w:val="31"/>
        <w:spacing w:line="480" w:lineRule="exact"/>
        <w:ind w:firstLine="0" w:firstLineChars="0"/>
        <w:jc w:val="center"/>
        <w:rPr>
          <w:rFonts w:hint="eastAsia"/>
          <w:b/>
          <w:color w:val="auto"/>
        </w:rPr>
      </w:pPr>
      <w:r>
        <w:rPr>
          <w:rFonts w:hint="eastAsia"/>
          <w:b/>
          <w:color w:val="auto"/>
        </w:rPr>
        <w:t xml:space="preserve">表1-12  </w:t>
      </w:r>
      <w:r>
        <w:rPr>
          <w:b/>
          <w:color w:val="auto"/>
        </w:rPr>
        <w:t xml:space="preserve"> </w:t>
      </w:r>
      <w:r>
        <w:rPr>
          <w:rFonts w:hint="eastAsia"/>
          <w:b/>
          <w:color w:val="auto"/>
        </w:rPr>
        <w:t>技改项目环境保护目标</w:t>
      </w:r>
    </w:p>
    <w:tbl>
      <w:tblPr>
        <w:tblStyle w:val="20"/>
        <w:tblW w:w="91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34"/>
        <w:gridCol w:w="3127"/>
        <w:gridCol w:w="982"/>
        <w:gridCol w:w="1656"/>
        <w:gridCol w:w="1456"/>
        <w:gridCol w:w="14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auto" w:sz="4" w:space="0"/>
              <w:left w:val="single" w:color="auto" w:sz="4" w:space="0"/>
              <w:bottom w:val="single" w:color="auto" w:sz="4" w:space="0"/>
            </w:tcBorders>
            <w:noWrap w:val="0"/>
            <w:vAlign w:val="center"/>
          </w:tcPr>
          <w:p>
            <w:pPr>
              <w:jc w:val="center"/>
              <w:rPr>
                <w:sz w:val="21"/>
                <w:szCs w:val="21"/>
              </w:rPr>
            </w:pPr>
            <w:r>
              <w:rPr>
                <w:sz w:val="21"/>
                <w:szCs w:val="21"/>
              </w:rPr>
              <w:t>序号</w:t>
            </w:r>
          </w:p>
        </w:tc>
        <w:tc>
          <w:tcPr>
            <w:tcW w:w="3127" w:type="dxa"/>
            <w:tcBorders>
              <w:top w:val="single" w:color="auto" w:sz="4" w:space="0"/>
              <w:bottom w:val="single" w:color="auto" w:sz="4" w:space="0"/>
            </w:tcBorders>
            <w:noWrap w:val="0"/>
            <w:vAlign w:val="center"/>
          </w:tcPr>
          <w:p>
            <w:pPr>
              <w:jc w:val="center"/>
              <w:rPr>
                <w:rFonts w:hint="eastAsia"/>
                <w:sz w:val="21"/>
                <w:szCs w:val="21"/>
              </w:rPr>
            </w:pPr>
            <w:r>
              <w:rPr>
                <w:sz w:val="21"/>
                <w:szCs w:val="21"/>
              </w:rPr>
              <w:t>敏感点</w:t>
            </w:r>
            <w:r>
              <w:rPr>
                <w:rFonts w:hint="eastAsia"/>
                <w:sz w:val="21"/>
                <w:szCs w:val="21"/>
              </w:rPr>
              <w:t>/关心点</w:t>
            </w:r>
          </w:p>
        </w:tc>
        <w:tc>
          <w:tcPr>
            <w:tcW w:w="982" w:type="dxa"/>
            <w:tcBorders>
              <w:top w:val="single" w:color="auto" w:sz="4" w:space="0"/>
              <w:bottom w:val="single" w:color="auto" w:sz="4" w:space="0"/>
            </w:tcBorders>
            <w:noWrap w:val="0"/>
            <w:vAlign w:val="center"/>
          </w:tcPr>
          <w:p>
            <w:pPr>
              <w:jc w:val="center"/>
              <w:rPr>
                <w:sz w:val="21"/>
                <w:szCs w:val="21"/>
              </w:rPr>
            </w:pPr>
            <w:r>
              <w:rPr>
                <w:sz w:val="21"/>
                <w:szCs w:val="21"/>
              </w:rPr>
              <w:t>保护要素</w:t>
            </w:r>
          </w:p>
        </w:tc>
        <w:tc>
          <w:tcPr>
            <w:tcW w:w="1656" w:type="dxa"/>
            <w:tcBorders>
              <w:top w:val="single" w:color="auto" w:sz="4" w:space="0"/>
              <w:bottom w:val="single" w:color="auto" w:sz="4" w:space="0"/>
              <w:right w:val="single" w:color="auto" w:sz="4" w:space="0"/>
            </w:tcBorders>
            <w:noWrap w:val="0"/>
            <w:vAlign w:val="center"/>
          </w:tcPr>
          <w:p>
            <w:pPr>
              <w:jc w:val="center"/>
              <w:rPr>
                <w:sz w:val="21"/>
                <w:szCs w:val="21"/>
              </w:rPr>
            </w:pPr>
            <w:r>
              <w:rPr>
                <w:sz w:val="21"/>
                <w:szCs w:val="21"/>
              </w:rPr>
              <w:t>敏感点特性</w:t>
            </w:r>
          </w:p>
        </w:tc>
        <w:tc>
          <w:tcPr>
            <w:tcW w:w="1456" w:type="dxa"/>
            <w:tcBorders>
              <w:top w:val="single" w:color="auto" w:sz="4" w:space="0"/>
              <w:bottom w:val="single" w:color="auto" w:sz="4" w:space="0"/>
              <w:right w:val="single" w:color="auto" w:sz="4" w:space="0"/>
            </w:tcBorders>
            <w:noWrap w:val="0"/>
            <w:vAlign w:val="center"/>
          </w:tcPr>
          <w:p>
            <w:pPr>
              <w:jc w:val="center"/>
              <w:rPr>
                <w:sz w:val="21"/>
                <w:szCs w:val="21"/>
              </w:rPr>
            </w:pPr>
            <w:r>
              <w:rPr>
                <w:sz w:val="21"/>
                <w:szCs w:val="21"/>
              </w:rPr>
              <w:t>方位</w:t>
            </w:r>
          </w:p>
        </w:tc>
        <w:tc>
          <w:tcPr>
            <w:tcW w:w="1471" w:type="dxa"/>
            <w:tcBorders>
              <w:top w:val="single" w:color="auto" w:sz="4" w:space="0"/>
              <w:bottom w:val="single" w:color="auto" w:sz="4" w:space="0"/>
            </w:tcBorders>
            <w:noWrap w:val="0"/>
            <w:vAlign w:val="center"/>
          </w:tcPr>
          <w:p>
            <w:pPr>
              <w:jc w:val="center"/>
              <w:rPr>
                <w:sz w:val="21"/>
                <w:szCs w:val="21"/>
              </w:rPr>
            </w:pPr>
            <w:r>
              <w:rPr>
                <w:sz w:val="21"/>
                <w:szCs w:val="21"/>
              </w:rPr>
              <w:t>距离最近厂界，m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auto" w:sz="4" w:space="0"/>
              <w:left w:val="single" w:color="auto" w:sz="4" w:space="0"/>
              <w:bottom w:val="single" w:color="000000" w:sz="4" w:space="0"/>
            </w:tcBorders>
            <w:noWrap w:val="0"/>
            <w:vAlign w:val="center"/>
          </w:tcPr>
          <w:p>
            <w:pPr>
              <w:jc w:val="center"/>
              <w:rPr>
                <w:sz w:val="21"/>
                <w:szCs w:val="21"/>
              </w:rPr>
            </w:pPr>
            <w:r>
              <w:rPr>
                <w:sz w:val="21"/>
                <w:szCs w:val="21"/>
              </w:rPr>
              <w:t>1</w:t>
            </w:r>
          </w:p>
        </w:tc>
        <w:tc>
          <w:tcPr>
            <w:tcW w:w="3127" w:type="dxa"/>
            <w:tcBorders>
              <w:top w:val="single" w:color="auto" w:sz="4" w:space="0"/>
              <w:bottom w:val="single" w:color="000000" w:sz="4" w:space="0"/>
            </w:tcBorders>
            <w:noWrap w:val="0"/>
            <w:vAlign w:val="center"/>
          </w:tcPr>
          <w:p>
            <w:pPr>
              <w:ind w:firstLine="480"/>
              <w:jc w:val="center"/>
              <w:rPr>
                <w:rFonts w:ascii="宋体" w:hAnsi="宋体" w:cs="宋体"/>
                <w:sz w:val="21"/>
                <w:szCs w:val="21"/>
              </w:rPr>
            </w:pPr>
            <w:r>
              <w:rPr>
                <w:rFonts w:hint="eastAsia"/>
                <w:sz w:val="21"/>
                <w:szCs w:val="21"/>
              </w:rPr>
              <w:t>大路镇</w:t>
            </w:r>
          </w:p>
        </w:tc>
        <w:tc>
          <w:tcPr>
            <w:tcW w:w="982" w:type="dxa"/>
            <w:tcBorders>
              <w:top w:val="single" w:color="auto"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auto"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auto" w:sz="4" w:space="0"/>
              <w:bottom w:val="single" w:color="000000" w:sz="4" w:space="0"/>
              <w:right w:val="single" w:color="auto" w:sz="4" w:space="0"/>
            </w:tcBorders>
            <w:noWrap w:val="0"/>
            <w:vAlign w:val="center"/>
          </w:tcPr>
          <w:p>
            <w:pPr>
              <w:jc w:val="center"/>
              <w:rPr>
                <w:rFonts w:hint="eastAsia"/>
                <w:sz w:val="21"/>
                <w:szCs w:val="21"/>
              </w:rPr>
            </w:pPr>
            <w:r>
              <w:rPr>
                <w:rFonts w:hint="eastAsia" w:ascii="宋体" w:hAnsi="宋体"/>
                <w:sz w:val="21"/>
                <w:szCs w:val="21"/>
              </w:rPr>
              <w:t>NW面，侧上风向</w:t>
            </w:r>
          </w:p>
        </w:tc>
        <w:tc>
          <w:tcPr>
            <w:tcW w:w="1471" w:type="dxa"/>
            <w:tcBorders>
              <w:top w:val="single" w:color="auto" w:sz="4" w:space="0"/>
              <w:bottom w:val="single" w:color="000000" w:sz="4" w:space="0"/>
            </w:tcBorders>
            <w:noWrap w:val="0"/>
            <w:vAlign w:val="center"/>
          </w:tcPr>
          <w:p>
            <w:pPr>
              <w:jc w:val="center"/>
              <w:rPr>
                <w:rFonts w:hint="eastAsia"/>
                <w:sz w:val="21"/>
                <w:szCs w:val="21"/>
              </w:rPr>
            </w:pPr>
            <w:r>
              <w:rPr>
                <w:rFonts w:hint="eastAsia"/>
                <w:sz w:val="21"/>
                <w:szCs w:val="21"/>
              </w:rPr>
              <w:t>8500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tcBorders>
            <w:noWrap w:val="0"/>
            <w:vAlign w:val="center"/>
          </w:tcPr>
          <w:p>
            <w:pPr>
              <w:jc w:val="center"/>
              <w:rPr>
                <w:rFonts w:hint="eastAsia"/>
                <w:sz w:val="21"/>
                <w:szCs w:val="21"/>
              </w:rPr>
            </w:pPr>
            <w:r>
              <w:rPr>
                <w:rFonts w:hint="eastAsia"/>
                <w:sz w:val="21"/>
                <w:szCs w:val="21"/>
              </w:rPr>
              <w:t>2</w:t>
            </w:r>
          </w:p>
        </w:tc>
        <w:tc>
          <w:tcPr>
            <w:tcW w:w="3127" w:type="dxa"/>
            <w:tcBorders>
              <w:top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六塘镇</w:t>
            </w:r>
          </w:p>
        </w:tc>
        <w:tc>
          <w:tcPr>
            <w:tcW w:w="982" w:type="dxa"/>
            <w:tcBorders>
              <w:top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single" w:color="000000" w:sz="4" w:space="0"/>
              <w:right w:val="single" w:color="auto" w:sz="4" w:space="0"/>
            </w:tcBorders>
            <w:noWrap w:val="0"/>
            <w:vAlign w:val="top"/>
          </w:tcPr>
          <w:p>
            <w:pPr>
              <w:jc w:val="center"/>
              <w:rPr>
                <w:sz w:val="21"/>
                <w:szCs w:val="21"/>
              </w:rPr>
            </w:pPr>
            <w:r>
              <w:rPr>
                <w:sz w:val="21"/>
                <w:szCs w:val="21"/>
              </w:rPr>
              <w:t>居民区</w:t>
            </w:r>
            <w:r>
              <w:rPr>
                <w:rFonts w:hint="eastAsia"/>
                <w:sz w:val="21"/>
                <w:szCs w:val="21"/>
              </w:rPr>
              <w:t>、学校、医院</w:t>
            </w:r>
          </w:p>
        </w:tc>
        <w:tc>
          <w:tcPr>
            <w:tcW w:w="1456" w:type="dxa"/>
            <w:tcBorders>
              <w:top w:val="single" w:color="000000" w:sz="4" w:space="0"/>
              <w:right w:val="single" w:color="auto" w:sz="4" w:space="0"/>
            </w:tcBorders>
            <w:noWrap w:val="0"/>
            <w:vAlign w:val="center"/>
          </w:tcPr>
          <w:p>
            <w:pPr>
              <w:jc w:val="center"/>
              <w:rPr>
                <w:rFonts w:hint="eastAsia"/>
                <w:sz w:val="21"/>
                <w:szCs w:val="21"/>
              </w:rPr>
            </w:pPr>
            <w:r>
              <w:rPr>
                <w:rFonts w:hint="eastAsia" w:ascii="宋体" w:hAnsi="宋体"/>
                <w:sz w:val="21"/>
                <w:szCs w:val="21"/>
              </w:rPr>
              <w:t>NNW面，侧上风向</w:t>
            </w:r>
          </w:p>
        </w:tc>
        <w:tc>
          <w:tcPr>
            <w:tcW w:w="1471" w:type="dxa"/>
            <w:tcBorders>
              <w:top w:val="single" w:color="000000" w:sz="4" w:space="0"/>
            </w:tcBorders>
            <w:noWrap w:val="0"/>
            <w:vAlign w:val="center"/>
          </w:tcPr>
          <w:p>
            <w:pPr>
              <w:jc w:val="center"/>
              <w:rPr>
                <w:rFonts w:hint="eastAsia"/>
                <w:sz w:val="21"/>
                <w:szCs w:val="21"/>
              </w:rPr>
            </w:pPr>
            <w:r>
              <w:rPr>
                <w:rFonts w:hint="eastAsia"/>
                <w:sz w:val="21"/>
                <w:szCs w:val="21"/>
              </w:rPr>
              <w:t>5800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nil"/>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3</w:t>
            </w:r>
          </w:p>
        </w:tc>
        <w:tc>
          <w:tcPr>
            <w:tcW w:w="3127" w:type="dxa"/>
            <w:tcBorders>
              <w:top w:val="nil"/>
              <w:bottom w:val="single" w:color="000000" w:sz="4" w:space="0"/>
            </w:tcBorders>
            <w:noWrap w:val="0"/>
            <w:vAlign w:val="center"/>
          </w:tcPr>
          <w:p>
            <w:pPr>
              <w:ind w:firstLine="480"/>
              <w:jc w:val="center"/>
              <w:rPr>
                <w:rFonts w:ascii="宋体" w:hAnsi="宋体" w:cs="宋体"/>
                <w:sz w:val="21"/>
                <w:szCs w:val="21"/>
              </w:rPr>
            </w:pPr>
            <w:r>
              <w:rPr>
                <w:rFonts w:hint="eastAsia" w:ascii="宋体" w:hAnsi="宋体" w:cs="宋体"/>
                <w:sz w:val="21"/>
                <w:szCs w:val="21"/>
              </w:rPr>
              <w:t>接龙镇</w:t>
            </w:r>
          </w:p>
        </w:tc>
        <w:tc>
          <w:tcPr>
            <w:tcW w:w="982" w:type="dxa"/>
            <w:tcBorders>
              <w:top w:val="nil"/>
              <w:bottom w:val="single" w:color="000000" w:sz="4" w:space="0"/>
            </w:tcBorders>
            <w:noWrap w:val="0"/>
            <w:vAlign w:val="center"/>
          </w:tcPr>
          <w:p>
            <w:pPr>
              <w:jc w:val="center"/>
              <w:rPr>
                <w:sz w:val="21"/>
                <w:szCs w:val="21"/>
              </w:rPr>
            </w:pPr>
            <w:r>
              <w:rPr>
                <w:sz w:val="21"/>
                <w:szCs w:val="21"/>
              </w:rPr>
              <w:t>空气</w:t>
            </w:r>
          </w:p>
        </w:tc>
        <w:tc>
          <w:tcPr>
            <w:tcW w:w="1656" w:type="dxa"/>
            <w:tcBorders>
              <w:top w:val="nil"/>
              <w:bottom w:val="single" w:color="000000" w:sz="4" w:space="0"/>
              <w:right w:val="single" w:color="auto" w:sz="4" w:space="0"/>
            </w:tcBorders>
            <w:noWrap w:val="0"/>
            <w:vAlign w:val="top"/>
          </w:tcPr>
          <w:p>
            <w:pPr>
              <w:jc w:val="center"/>
              <w:rPr>
                <w:sz w:val="21"/>
                <w:szCs w:val="21"/>
              </w:rPr>
            </w:pPr>
            <w:r>
              <w:rPr>
                <w:sz w:val="21"/>
                <w:szCs w:val="21"/>
              </w:rPr>
              <w:t>居民区</w:t>
            </w:r>
            <w:r>
              <w:rPr>
                <w:rFonts w:hint="eastAsia"/>
                <w:sz w:val="21"/>
                <w:szCs w:val="21"/>
              </w:rPr>
              <w:t>、学校、医院</w:t>
            </w:r>
          </w:p>
        </w:tc>
        <w:tc>
          <w:tcPr>
            <w:tcW w:w="1456" w:type="dxa"/>
            <w:tcBorders>
              <w:top w:val="nil"/>
              <w:bottom w:val="single" w:color="000000" w:sz="4" w:space="0"/>
              <w:right w:val="single" w:color="auto" w:sz="4" w:space="0"/>
            </w:tcBorders>
            <w:noWrap w:val="0"/>
            <w:vAlign w:val="center"/>
          </w:tcPr>
          <w:p>
            <w:pPr>
              <w:jc w:val="center"/>
              <w:rPr>
                <w:rFonts w:hint="eastAsia"/>
                <w:sz w:val="21"/>
                <w:szCs w:val="21"/>
              </w:rPr>
            </w:pPr>
            <w:r>
              <w:rPr>
                <w:rFonts w:hint="eastAsia" w:ascii="宋体" w:hAnsi="宋体"/>
                <w:sz w:val="21"/>
                <w:szCs w:val="21"/>
              </w:rPr>
              <w:t>NW面，侧上风向</w:t>
            </w:r>
          </w:p>
        </w:tc>
        <w:tc>
          <w:tcPr>
            <w:tcW w:w="1471" w:type="dxa"/>
            <w:tcBorders>
              <w:top w:val="nil"/>
              <w:bottom w:val="single" w:color="000000" w:sz="4" w:space="0"/>
            </w:tcBorders>
            <w:noWrap w:val="0"/>
            <w:vAlign w:val="center"/>
          </w:tcPr>
          <w:p>
            <w:pPr>
              <w:jc w:val="center"/>
              <w:rPr>
                <w:rFonts w:hint="eastAsia"/>
                <w:sz w:val="21"/>
                <w:szCs w:val="21"/>
              </w:rPr>
            </w:pPr>
            <w:r>
              <w:rPr>
                <w:rFonts w:hint="eastAsia"/>
                <w:sz w:val="21"/>
                <w:szCs w:val="21"/>
              </w:rPr>
              <w:t>3300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nil"/>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4</w:t>
            </w:r>
          </w:p>
        </w:tc>
        <w:tc>
          <w:tcPr>
            <w:tcW w:w="3127" w:type="dxa"/>
            <w:tcBorders>
              <w:top w:val="nil"/>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福里树</w:t>
            </w:r>
          </w:p>
        </w:tc>
        <w:tc>
          <w:tcPr>
            <w:tcW w:w="982" w:type="dxa"/>
            <w:tcBorders>
              <w:top w:val="nil"/>
              <w:bottom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nil"/>
              <w:bottom w:val="single" w:color="000000" w:sz="4" w:space="0"/>
              <w:right w:val="single" w:color="auto" w:sz="4" w:space="0"/>
            </w:tcBorders>
            <w:noWrap w:val="0"/>
            <w:vAlign w:val="center"/>
          </w:tcPr>
          <w:p>
            <w:pPr>
              <w:jc w:val="center"/>
              <w:rPr>
                <w:sz w:val="21"/>
                <w:szCs w:val="21"/>
              </w:rPr>
            </w:pPr>
            <w:r>
              <w:rPr>
                <w:sz w:val="21"/>
                <w:szCs w:val="21"/>
              </w:rPr>
              <w:t>居民</w:t>
            </w:r>
            <w:r>
              <w:rPr>
                <w:rFonts w:hint="eastAsia"/>
                <w:sz w:val="21"/>
                <w:szCs w:val="21"/>
              </w:rPr>
              <w:t>点</w:t>
            </w:r>
          </w:p>
        </w:tc>
        <w:tc>
          <w:tcPr>
            <w:tcW w:w="1456" w:type="dxa"/>
            <w:tcBorders>
              <w:top w:val="nil"/>
              <w:bottom w:val="single" w:color="000000" w:sz="4" w:space="0"/>
              <w:right w:val="single" w:color="auto" w:sz="4" w:space="0"/>
            </w:tcBorders>
            <w:noWrap w:val="0"/>
            <w:vAlign w:val="center"/>
          </w:tcPr>
          <w:p>
            <w:pPr>
              <w:jc w:val="center"/>
              <w:rPr>
                <w:rFonts w:hint="eastAsia"/>
                <w:sz w:val="21"/>
                <w:szCs w:val="21"/>
              </w:rPr>
            </w:pPr>
            <w:r>
              <w:rPr>
                <w:rFonts w:hint="eastAsia" w:ascii="宋体" w:hAnsi="宋体"/>
                <w:sz w:val="21"/>
                <w:szCs w:val="21"/>
              </w:rPr>
              <w:t>W面，侧风向</w:t>
            </w:r>
          </w:p>
        </w:tc>
        <w:tc>
          <w:tcPr>
            <w:tcW w:w="1471" w:type="dxa"/>
            <w:tcBorders>
              <w:top w:val="nil"/>
              <w:bottom w:val="single" w:color="000000" w:sz="4" w:space="0"/>
            </w:tcBorders>
            <w:noWrap w:val="0"/>
            <w:vAlign w:val="center"/>
          </w:tcPr>
          <w:p>
            <w:pPr>
              <w:jc w:val="center"/>
              <w:rPr>
                <w:rFonts w:hint="eastAsia"/>
                <w:sz w:val="21"/>
                <w:szCs w:val="21"/>
              </w:rPr>
            </w:pPr>
            <w:r>
              <w:rPr>
                <w:rFonts w:hint="eastAsia"/>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5</w:t>
            </w:r>
          </w:p>
        </w:tc>
        <w:tc>
          <w:tcPr>
            <w:tcW w:w="3127" w:type="dxa"/>
            <w:tcBorders>
              <w:top w:val="single" w:color="000000" w:sz="4" w:space="0"/>
              <w:bottom w:val="single" w:color="000000" w:sz="4" w:space="0"/>
            </w:tcBorders>
            <w:noWrap w:val="0"/>
            <w:vAlign w:val="center"/>
          </w:tcPr>
          <w:p>
            <w:pPr>
              <w:jc w:val="center"/>
              <w:rPr>
                <w:rFonts w:hint="eastAsia" w:ascii="宋体" w:hAnsi="宋体" w:cs="宋体"/>
                <w:sz w:val="21"/>
                <w:szCs w:val="21"/>
              </w:rPr>
            </w:pPr>
            <w:r>
              <w:rPr>
                <w:rFonts w:hint="eastAsia" w:ascii="宋体" w:hAnsi="宋体" w:cs="宋体"/>
                <w:sz w:val="21"/>
                <w:szCs w:val="21"/>
              </w:rPr>
              <w:t>殷家老院子</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SW</w:t>
            </w:r>
            <w:r>
              <w:rPr>
                <w:rFonts w:hint="eastAsia" w:ascii="宋体" w:hAnsi="宋体"/>
                <w:sz w:val="21"/>
                <w:szCs w:val="21"/>
              </w:rPr>
              <w:t>面，侧下风向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2600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6</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璧山县</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SW</w:t>
            </w:r>
            <w:r>
              <w:rPr>
                <w:rFonts w:hint="eastAsia" w:ascii="宋体" w:hAnsi="宋体"/>
                <w:sz w:val="21"/>
                <w:szCs w:val="21"/>
              </w:rPr>
              <w:t>面，侧下风向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7</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sz w:val="21"/>
                <w:szCs w:val="21"/>
              </w:rPr>
              <w:t>国立音乐学院旧址</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sz w:val="21"/>
                <w:szCs w:val="21"/>
              </w:rPr>
            </w:pPr>
            <w:r>
              <w:rPr>
                <w:rFonts w:hint="eastAsia"/>
                <w:sz w:val="21"/>
                <w:szCs w:val="21"/>
              </w:rPr>
              <w:t>市级文物保护单位</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ascii="宋体" w:hAnsi="宋体"/>
                <w:sz w:val="21"/>
                <w:szCs w:val="21"/>
              </w:rPr>
              <w:t>NNW面，侧上风向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230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8</w:t>
            </w:r>
          </w:p>
        </w:tc>
        <w:tc>
          <w:tcPr>
            <w:tcW w:w="3127" w:type="dxa"/>
            <w:tcBorders>
              <w:top w:val="single" w:color="000000" w:sz="4" w:space="0"/>
              <w:bottom w:val="single" w:color="000000" w:sz="4" w:space="0"/>
            </w:tcBorders>
            <w:noWrap w:val="0"/>
            <w:vAlign w:val="center"/>
          </w:tcPr>
          <w:p>
            <w:pPr>
              <w:ind w:firstLine="480"/>
              <w:jc w:val="center"/>
              <w:rPr>
                <w:rFonts w:hint="eastAsia"/>
                <w:sz w:val="21"/>
                <w:szCs w:val="21"/>
              </w:rPr>
            </w:pPr>
            <w:r>
              <w:rPr>
                <w:rFonts w:hint="eastAsia"/>
                <w:sz w:val="21"/>
                <w:szCs w:val="21"/>
              </w:rPr>
              <w:t>关口村</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空气、噪声</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N</w:t>
            </w:r>
            <w:r>
              <w:rPr>
                <w:rFonts w:hint="eastAsia" w:ascii="宋体" w:hAnsi="宋体"/>
                <w:sz w:val="21"/>
                <w:szCs w:val="21"/>
              </w:rPr>
              <w:t>面，上风向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9</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sz w:val="21"/>
                <w:szCs w:val="21"/>
              </w:rPr>
              <w:t>重庆永荣青鹏煤业有限公司家属区</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居民点</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N</w:t>
            </w:r>
            <w:r>
              <w:rPr>
                <w:rFonts w:hint="eastAsia" w:ascii="宋体" w:hAnsi="宋体"/>
                <w:sz w:val="21"/>
                <w:szCs w:val="21"/>
              </w:rPr>
              <w:t>面，上风向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10</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青木关镇</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E</w:t>
            </w:r>
            <w:r>
              <w:rPr>
                <w:rFonts w:hint="eastAsia" w:ascii="宋体" w:hAnsi="宋体"/>
                <w:sz w:val="21"/>
                <w:szCs w:val="21"/>
              </w:rPr>
              <w:t>面，侧风向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11</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凤凰镇</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NE</w:t>
            </w:r>
            <w:r>
              <w:rPr>
                <w:rFonts w:hint="eastAsia" w:ascii="宋体" w:hAnsi="宋体"/>
                <w:sz w:val="21"/>
                <w:szCs w:val="21"/>
              </w:rPr>
              <w:t>面，侧上风向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5300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12</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管家桥</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w:t>
            </w:r>
            <w:r>
              <w:rPr>
                <w:rFonts w:hint="eastAsia"/>
                <w:sz w:val="21"/>
                <w:szCs w:val="21"/>
              </w:rPr>
              <w:t>点</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3800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13</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陈家桥镇</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sz w:val="21"/>
                <w:szCs w:val="21"/>
              </w:rPr>
              <w:t>居民区</w:t>
            </w:r>
            <w:r>
              <w:rPr>
                <w:rFonts w:hint="eastAsia"/>
                <w:sz w:val="21"/>
                <w:szCs w:val="21"/>
              </w:rPr>
              <w:t>、学校、医院</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7500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14</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大学城</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sz w:val="21"/>
                <w:szCs w:val="21"/>
              </w:rPr>
              <w:t>空气</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学校</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SE</w:t>
            </w:r>
            <w:r>
              <w:rPr>
                <w:rFonts w:hint="eastAsia" w:ascii="宋体" w:hAnsi="宋体"/>
                <w:sz w:val="21"/>
                <w:szCs w:val="21"/>
              </w:rPr>
              <w:t>面，侧下风向</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15</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319国道</w:t>
            </w:r>
          </w:p>
        </w:tc>
        <w:tc>
          <w:tcPr>
            <w:tcW w:w="982" w:type="dxa"/>
            <w:tcBorders>
              <w:top w:val="single" w:color="000000" w:sz="4" w:space="0"/>
              <w:bottom w:val="single" w:color="000000" w:sz="4" w:space="0"/>
            </w:tcBorders>
            <w:noWrap w:val="0"/>
            <w:vAlign w:val="center"/>
          </w:tcPr>
          <w:p>
            <w:pPr>
              <w:jc w:val="center"/>
              <w:rPr>
                <w:rFonts w:hint="eastAsia"/>
                <w:sz w:val="21"/>
                <w:szCs w:val="21"/>
              </w:rPr>
            </w:pPr>
            <w:r>
              <w:rPr>
                <w:sz w:val="21"/>
                <w:szCs w:val="21"/>
              </w:rPr>
              <w:t>空气</w:t>
            </w:r>
            <w:r>
              <w:rPr>
                <w:rFonts w:hint="eastAsia"/>
                <w:sz w:val="21"/>
                <w:szCs w:val="21"/>
              </w:rPr>
              <w:t>，景观</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34" w:type="dxa"/>
            <w:tcBorders>
              <w:top w:val="single" w:color="000000" w:sz="4" w:space="0"/>
              <w:left w:val="single" w:color="auto" w:sz="4" w:space="0"/>
              <w:bottom w:val="single" w:color="000000" w:sz="4" w:space="0"/>
            </w:tcBorders>
            <w:noWrap w:val="0"/>
            <w:vAlign w:val="center"/>
          </w:tcPr>
          <w:p>
            <w:pPr>
              <w:jc w:val="center"/>
              <w:rPr>
                <w:rFonts w:hint="eastAsia"/>
                <w:sz w:val="21"/>
                <w:szCs w:val="21"/>
              </w:rPr>
            </w:pPr>
            <w:r>
              <w:rPr>
                <w:rFonts w:hint="eastAsia"/>
                <w:sz w:val="21"/>
                <w:szCs w:val="21"/>
              </w:rPr>
              <w:t>16</w:t>
            </w:r>
          </w:p>
        </w:tc>
        <w:tc>
          <w:tcPr>
            <w:tcW w:w="3127" w:type="dxa"/>
            <w:tcBorders>
              <w:top w:val="single" w:color="000000" w:sz="4" w:space="0"/>
              <w:bottom w:val="single" w:color="000000" w:sz="4" w:space="0"/>
            </w:tcBorders>
            <w:noWrap w:val="0"/>
            <w:vAlign w:val="center"/>
          </w:tcPr>
          <w:p>
            <w:pPr>
              <w:ind w:firstLine="480"/>
              <w:jc w:val="center"/>
              <w:rPr>
                <w:rFonts w:hint="eastAsia" w:ascii="宋体" w:hAnsi="宋体" w:cs="宋体"/>
                <w:sz w:val="21"/>
                <w:szCs w:val="21"/>
              </w:rPr>
            </w:pPr>
            <w:r>
              <w:rPr>
                <w:rFonts w:hint="eastAsia" w:ascii="宋体" w:hAnsi="宋体" w:cs="宋体"/>
                <w:sz w:val="21"/>
                <w:szCs w:val="21"/>
              </w:rPr>
              <w:t>渝隧高速路</w:t>
            </w:r>
          </w:p>
        </w:tc>
        <w:tc>
          <w:tcPr>
            <w:tcW w:w="982" w:type="dxa"/>
            <w:tcBorders>
              <w:top w:val="single" w:color="000000" w:sz="4" w:space="0"/>
              <w:bottom w:val="single" w:color="000000" w:sz="4" w:space="0"/>
            </w:tcBorders>
            <w:noWrap w:val="0"/>
            <w:vAlign w:val="center"/>
          </w:tcPr>
          <w:p>
            <w:pPr>
              <w:jc w:val="center"/>
              <w:rPr>
                <w:sz w:val="21"/>
                <w:szCs w:val="21"/>
              </w:rPr>
            </w:pPr>
            <w:r>
              <w:rPr>
                <w:sz w:val="21"/>
                <w:szCs w:val="21"/>
              </w:rPr>
              <w:t>空气</w:t>
            </w:r>
            <w:r>
              <w:rPr>
                <w:rFonts w:hint="eastAsia"/>
                <w:sz w:val="21"/>
                <w:szCs w:val="21"/>
              </w:rPr>
              <w:t>，景观</w:t>
            </w:r>
          </w:p>
        </w:tc>
        <w:tc>
          <w:tcPr>
            <w:tcW w:w="16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w:t>
            </w:r>
          </w:p>
        </w:tc>
        <w:tc>
          <w:tcPr>
            <w:tcW w:w="1456" w:type="dxa"/>
            <w:tcBorders>
              <w:top w:val="single" w:color="000000" w:sz="4" w:space="0"/>
              <w:bottom w:val="single" w:color="000000" w:sz="4" w:space="0"/>
              <w:right w:val="single" w:color="auto" w:sz="4" w:space="0"/>
            </w:tcBorders>
            <w:noWrap w:val="0"/>
            <w:vAlign w:val="center"/>
          </w:tcPr>
          <w:p>
            <w:pPr>
              <w:jc w:val="center"/>
              <w:rPr>
                <w:rFonts w:hint="eastAsia"/>
                <w:sz w:val="21"/>
                <w:szCs w:val="21"/>
              </w:rPr>
            </w:pPr>
            <w:r>
              <w:rPr>
                <w:rFonts w:hint="eastAsia"/>
                <w:sz w:val="21"/>
                <w:szCs w:val="21"/>
              </w:rPr>
              <w:t>/</w:t>
            </w:r>
          </w:p>
        </w:tc>
        <w:tc>
          <w:tcPr>
            <w:tcW w:w="1471" w:type="dxa"/>
            <w:tcBorders>
              <w:top w:val="single" w:color="000000" w:sz="4" w:space="0"/>
              <w:bottom w:val="single" w:color="000000" w:sz="4" w:space="0"/>
            </w:tcBorders>
            <w:noWrap w:val="0"/>
            <w:vAlign w:val="center"/>
          </w:tcPr>
          <w:p>
            <w:pPr>
              <w:jc w:val="center"/>
              <w:rPr>
                <w:rFonts w:hint="eastAsia"/>
                <w:sz w:val="21"/>
                <w:szCs w:val="21"/>
              </w:rPr>
            </w:pPr>
            <w:r>
              <w:rPr>
                <w:rFonts w:hint="eastAsia"/>
                <w:sz w:val="21"/>
                <w:szCs w:val="21"/>
              </w:rPr>
              <w:t>120</w:t>
            </w:r>
          </w:p>
        </w:tc>
      </w:tr>
    </w:tbl>
    <w:p>
      <w:pPr>
        <w:pStyle w:val="13"/>
        <w:rPr>
          <w:rFonts w:hint="eastAsia"/>
        </w:rPr>
      </w:pPr>
    </w:p>
    <w:p>
      <w:pPr>
        <w:pStyle w:val="13"/>
        <w:sectPr>
          <w:pgSz w:w="11906" w:h="16838"/>
          <w:pgMar w:top="1134" w:right="1418" w:bottom="1134" w:left="1418" w:header="851" w:footer="992" w:gutter="0"/>
          <w:paperSrc w:first="20070" w:other="20070"/>
          <w:cols w:space="425" w:num="1"/>
          <w:docGrid w:linePitch="312" w:charSpace="0"/>
        </w:sectPr>
      </w:pPr>
    </w:p>
    <w:p>
      <w:pPr>
        <w:spacing w:line="360" w:lineRule="auto"/>
        <w:outlineLvl w:val="0"/>
        <w:rPr>
          <w:rFonts w:hint="eastAsia"/>
          <w:b/>
          <w:sz w:val="28"/>
          <w:szCs w:val="28"/>
        </w:rPr>
      </w:pPr>
      <w:bookmarkStart w:id="50" w:name="_Toc202167831"/>
      <w:bookmarkStart w:id="51" w:name="_Toc276372220"/>
      <w:r>
        <w:rPr>
          <w:rFonts w:hint="eastAsia"/>
          <w:b/>
          <w:sz w:val="28"/>
          <w:szCs w:val="28"/>
        </w:rPr>
        <w:t>2重庆永荣青鹏煤业有限公司现状</w:t>
      </w:r>
      <w:bookmarkEnd w:id="50"/>
      <w:bookmarkEnd w:id="51"/>
    </w:p>
    <w:p>
      <w:pPr>
        <w:autoSpaceDE w:val="0"/>
        <w:autoSpaceDN w:val="0"/>
        <w:spacing w:line="360" w:lineRule="auto"/>
        <w:ind w:firstLine="420" w:firstLineChars="200"/>
        <w:rPr>
          <w:rFonts w:hint="eastAsia" w:ascii="宋体" w:hAnsi="宋体"/>
        </w:rPr>
      </w:pPr>
      <w:r>
        <w:rPr>
          <w:rFonts w:ascii="宋体" w:hAnsi="宋体"/>
        </w:rPr>
        <w:t>重庆永荣青鹏煤业有限公司</w:t>
      </w:r>
      <w:r>
        <w:rPr>
          <w:rFonts w:hint="eastAsia" w:ascii="宋体" w:hAnsi="宋体"/>
        </w:rPr>
        <w:t>隶属于重庆</w:t>
      </w:r>
      <w:r>
        <w:rPr>
          <w:rFonts w:ascii="宋体" w:hAnsi="宋体"/>
        </w:rPr>
        <w:t>市</w:t>
      </w:r>
      <w:r>
        <w:rPr>
          <w:rFonts w:hint="eastAsia" w:ascii="宋体" w:hAnsi="宋体"/>
        </w:rPr>
        <w:t>能源</w:t>
      </w:r>
      <w:r>
        <w:rPr>
          <w:rFonts w:ascii="宋体" w:hAnsi="宋体"/>
        </w:rPr>
        <w:t>投</w:t>
      </w:r>
      <w:r>
        <w:rPr>
          <w:rFonts w:hint="eastAsia" w:ascii="宋体" w:hAnsi="宋体"/>
        </w:rPr>
        <w:t>资</w:t>
      </w:r>
      <w:r>
        <w:rPr>
          <w:rFonts w:ascii="宋体" w:hAnsi="宋体"/>
        </w:rPr>
        <w:t>集团公司，前身为重庆市青木关煤矿，始建于1958年，现有二千多名职工，位于沙坪坝区青木关镇关口村境内。319国道将矿区分成南北两块：北边为生活区、办公区；南边是工业区的水泥厂、矿井工业广场。几经改扩建至1992年，已成为具水泥、煤炭生产加工和销售一体的“双主业”企业。经重庆市国资委同意于2007年1月1日改制为重庆永荣青鹏煤业有限公司（国有独资企业）。</w:t>
      </w:r>
      <w:r>
        <w:rPr>
          <w:rFonts w:hint="eastAsia" w:ascii="宋体" w:hAnsi="宋体"/>
        </w:rPr>
        <w:t>公司目前年开采原煤15万吨/年，拥有</w:t>
      </w:r>
      <w:r>
        <w:rPr>
          <w:rFonts w:ascii="宋体" w:hAnsi="宋体"/>
        </w:rPr>
        <w:t>4条立窑生产线年产能60万吨，属</w:t>
      </w:r>
      <w:r>
        <w:rPr>
          <w:rFonts w:hint="eastAsia" w:ascii="宋体" w:hAnsi="宋体"/>
        </w:rPr>
        <w:t>沙坪坝区</w:t>
      </w:r>
      <w:r>
        <w:rPr>
          <w:rFonts w:ascii="宋体" w:hAnsi="宋体"/>
        </w:rPr>
        <w:t>立窑之首，水泥销售收入年1.2亿元。</w:t>
      </w:r>
    </w:p>
    <w:p>
      <w:pPr>
        <w:spacing w:line="360" w:lineRule="auto"/>
        <w:outlineLvl w:val="1"/>
        <w:rPr>
          <w:rFonts w:hint="eastAsia"/>
          <w:b/>
          <w:szCs w:val="20"/>
        </w:rPr>
      </w:pPr>
      <w:bookmarkStart w:id="52" w:name="_Toc276372221"/>
      <w:bookmarkStart w:id="53" w:name="_Toc202167832"/>
      <w:r>
        <w:rPr>
          <w:rFonts w:hint="eastAsia"/>
          <w:b/>
          <w:szCs w:val="20"/>
        </w:rPr>
        <w:t>2.1 厂址地理位置与交通</w:t>
      </w:r>
      <w:bookmarkEnd w:id="52"/>
      <w:bookmarkEnd w:id="53"/>
    </w:p>
    <w:p>
      <w:pPr>
        <w:spacing w:line="360" w:lineRule="auto"/>
        <w:ind w:firstLine="420" w:firstLineChars="200"/>
        <w:rPr>
          <w:rFonts w:hint="eastAsia" w:ascii="宋体" w:hAnsi="宋体"/>
        </w:rPr>
      </w:pPr>
      <w:r>
        <w:rPr>
          <w:rFonts w:hint="eastAsia" w:ascii="宋体" w:hAnsi="宋体"/>
        </w:rPr>
        <w:t>重庆永荣青鹏煤业有限公司水泥厂</w:t>
      </w:r>
      <w:r>
        <w:rPr>
          <w:rFonts w:ascii="宋体" w:hAnsi="宋体"/>
          <w:kern w:val="0"/>
        </w:rPr>
        <w:t>位于重庆市沙坪坝区青木关镇，地处重庆市的西北郊二环路以外，是沙坪坝区与郊县璧山交界处，直径百米即璧山县境，距壁山县城1</w:t>
      </w:r>
      <w:r>
        <w:rPr>
          <w:rFonts w:hint="eastAsia" w:ascii="宋体" w:hAnsi="宋体"/>
          <w:kern w:val="0"/>
        </w:rPr>
        <w:t>0km</w:t>
      </w:r>
      <w:r>
        <w:rPr>
          <w:rFonts w:ascii="宋体" w:hAnsi="宋体"/>
          <w:kern w:val="0"/>
        </w:rPr>
        <w:t>，老成渝公路和遂渝高速公路从矿区</w:t>
      </w:r>
      <w:r>
        <w:rPr>
          <w:rFonts w:hint="eastAsia" w:ascii="宋体" w:hAnsi="宋体"/>
          <w:kern w:val="0"/>
        </w:rPr>
        <w:t>北侧</w:t>
      </w:r>
      <w:r>
        <w:rPr>
          <w:rFonts w:ascii="宋体" w:hAnsi="宋体"/>
          <w:kern w:val="0"/>
        </w:rPr>
        <w:t>穿过，与成渝高速公路和襄渝铁路西永火车站有公路相连，分别相距为12</w:t>
      </w:r>
      <w:r>
        <w:rPr>
          <w:rFonts w:hint="eastAsia" w:ascii="宋体" w:hAnsi="宋体"/>
          <w:kern w:val="0"/>
        </w:rPr>
        <w:t xml:space="preserve"> km</w:t>
      </w:r>
      <w:r>
        <w:rPr>
          <w:rFonts w:ascii="宋体" w:hAnsi="宋体"/>
          <w:kern w:val="0"/>
        </w:rPr>
        <w:t>和15</w:t>
      </w:r>
      <w:r>
        <w:rPr>
          <w:rFonts w:hint="eastAsia" w:ascii="宋体" w:hAnsi="宋体"/>
          <w:kern w:val="0"/>
        </w:rPr>
        <w:t xml:space="preserve"> km</w:t>
      </w:r>
      <w:r>
        <w:rPr>
          <w:rFonts w:ascii="宋体" w:hAnsi="宋体"/>
          <w:kern w:val="0"/>
        </w:rPr>
        <w:t>，距遂渝高速公路璧山站1.5</w:t>
      </w:r>
      <w:r>
        <w:rPr>
          <w:rFonts w:hint="eastAsia" w:ascii="宋体" w:hAnsi="宋体"/>
          <w:kern w:val="0"/>
        </w:rPr>
        <w:t xml:space="preserve"> km</w:t>
      </w:r>
      <w:r>
        <w:rPr>
          <w:rFonts w:ascii="宋体" w:hAnsi="宋体"/>
          <w:kern w:val="0"/>
        </w:rPr>
        <w:t>，交通非常方便</w:t>
      </w:r>
      <w:r>
        <w:rPr>
          <w:rFonts w:hint="eastAsia" w:ascii="宋体" w:hAnsi="宋体"/>
          <w:kern w:val="0"/>
        </w:rPr>
        <w:t>。</w:t>
      </w:r>
    </w:p>
    <w:p>
      <w:pPr>
        <w:spacing w:line="360" w:lineRule="auto"/>
        <w:ind w:firstLine="420" w:firstLineChars="200"/>
        <w:rPr>
          <w:rFonts w:hint="eastAsia" w:ascii="宋体" w:hAnsi="宋体"/>
        </w:rPr>
      </w:pPr>
      <w:r>
        <w:rPr>
          <w:rFonts w:hint="eastAsia" w:ascii="宋体" w:hAnsi="宋体"/>
        </w:rPr>
        <w:t>重庆永荣青鹏煤业有限公司水泥厂地理位置见图2.1。</w:t>
      </w:r>
    </w:p>
    <w:p>
      <w:pPr>
        <w:spacing w:line="360" w:lineRule="auto"/>
        <w:outlineLvl w:val="1"/>
        <w:rPr>
          <w:rFonts w:hint="eastAsia"/>
          <w:b/>
          <w:szCs w:val="20"/>
        </w:rPr>
      </w:pPr>
      <w:bookmarkStart w:id="54" w:name="_Toc202167833"/>
      <w:bookmarkStart w:id="55" w:name="_Toc276372222"/>
      <w:r>
        <w:rPr>
          <w:rFonts w:hint="eastAsia"/>
          <w:b/>
          <w:szCs w:val="20"/>
        </w:rPr>
        <w:t>2.2 重庆永荣青鹏煤业有限公司水泥厂基本情况</w:t>
      </w:r>
      <w:bookmarkEnd w:id="54"/>
      <w:bookmarkEnd w:id="55"/>
    </w:p>
    <w:p>
      <w:pPr>
        <w:spacing w:line="360" w:lineRule="auto"/>
        <w:ind w:firstLine="420" w:firstLineChars="200"/>
        <w:rPr>
          <w:rFonts w:hint="eastAsia" w:ascii="宋体" w:hAnsi="宋体"/>
        </w:rPr>
      </w:pPr>
      <w:r>
        <w:rPr>
          <w:rFonts w:hint="eastAsia" w:ascii="宋体" w:hAnsi="宋体"/>
        </w:rPr>
        <w:t>重庆永荣青鹏煤业有限公司水泥厂占地面积10hm</w:t>
      </w:r>
      <w:r>
        <w:rPr>
          <w:rFonts w:hint="eastAsia" w:ascii="宋体" w:hAnsi="宋体"/>
          <w:vertAlign w:val="superscript"/>
        </w:rPr>
        <w:t>2</w:t>
      </w:r>
      <w:r>
        <w:rPr>
          <w:rFonts w:hint="eastAsia" w:ascii="宋体" w:hAnsi="宋体"/>
        </w:rPr>
        <w:t>，现有职工265人。</w:t>
      </w:r>
    </w:p>
    <w:p>
      <w:pPr>
        <w:spacing w:line="360" w:lineRule="auto"/>
        <w:ind w:firstLine="420" w:firstLineChars="200"/>
        <w:rPr>
          <w:rFonts w:hint="eastAsia" w:ascii="宋体" w:hAnsi="宋体"/>
        </w:rPr>
      </w:pPr>
      <w:r>
        <w:rPr>
          <w:rFonts w:hint="eastAsia" w:ascii="宋体" w:hAnsi="宋体"/>
        </w:rPr>
        <w:t>生产规模：现已拥有二条φ3</w:t>
      </w:r>
      <w:r>
        <w:rPr>
          <w:rFonts w:ascii="宋体" w:hAnsi="宋体"/>
        </w:rPr>
        <w:t>.0m</w:t>
      </w:r>
      <w:r>
        <w:rPr>
          <w:rFonts w:hint="eastAsia" w:ascii="宋体" w:hAnsi="宋体"/>
        </w:rPr>
        <w:t>和二条φ3</w:t>
      </w:r>
      <w:r>
        <w:rPr>
          <w:rFonts w:ascii="宋体" w:hAnsi="宋体"/>
        </w:rPr>
        <w:t>.</w:t>
      </w:r>
      <w:r>
        <w:rPr>
          <w:rFonts w:hint="eastAsia" w:ascii="宋体" w:hAnsi="宋体"/>
        </w:rPr>
        <w:t>2</w:t>
      </w:r>
      <w:r>
        <w:rPr>
          <w:rFonts w:ascii="宋体" w:hAnsi="宋体"/>
        </w:rPr>
        <w:t>m</w:t>
      </w:r>
      <w:r>
        <w:rPr>
          <w:rFonts w:hint="eastAsia" w:ascii="宋体" w:hAnsi="宋体"/>
        </w:rPr>
        <w:t xml:space="preserve">机立窑水泥生产线，年产水泥60万吨。  </w:t>
      </w:r>
    </w:p>
    <w:p>
      <w:pPr>
        <w:spacing w:line="360" w:lineRule="auto"/>
        <w:ind w:firstLine="420" w:firstLineChars="200"/>
        <w:rPr>
          <w:rFonts w:hint="eastAsia" w:ascii="宋体" w:hAnsi="宋体"/>
        </w:rPr>
      </w:pPr>
      <w:r>
        <w:rPr>
          <w:rFonts w:hint="eastAsia" w:ascii="宋体" w:hAnsi="宋体"/>
        </w:rPr>
        <w:t>产品方案：普通硅酸盐水泥、复合硅酸盐水泥。</w:t>
      </w:r>
    </w:p>
    <w:p>
      <w:pPr>
        <w:spacing w:line="360" w:lineRule="auto"/>
        <w:outlineLvl w:val="1"/>
        <w:rPr>
          <w:rFonts w:hint="eastAsia"/>
          <w:b/>
          <w:szCs w:val="20"/>
        </w:rPr>
      </w:pPr>
      <w:bookmarkStart w:id="56" w:name="_Toc202167834"/>
      <w:bookmarkStart w:id="57" w:name="_Toc276372223"/>
      <w:r>
        <w:rPr>
          <w:rFonts w:hint="eastAsia"/>
          <w:b/>
          <w:szCs w:val="20"/>
        </w:rPr>
        <w:t>2.3 主要生产设备</w:t>
      </w:r>
      <w:bookmarkEnd w:id="56"/>
      <w:bookmarkEnd w:id="57"/>
    </w:p>
    <w:p>
      <w:pPr>
        <w:spacing w:line="360" w:lineRule="auto"/>
        <w:ind w:firstLine="471"/>
        <w:rPr>
          <w:rFonts w:hint="eastAsia" w:ascii="宋体" w:hAnsi="宋体"/>
        </w:rPr>
      </w:pPr>
      <w:r>
        <w:rPr>
          <w:rFonts w:hint="eastAsia" w:ascii="宋体" w:hAnsi="宋体"/>
        </w:rPr>
        <w:t>主要生产设备见表2-1。</w:t>
      </w:r>
    </w:p>
    <w:p>
      <w:pPr>
        <w:spacing w:line="480" w:lineRule="exact"/>
        <w:jc w:val="center"/>
        <w:rPr>
          <w:rFonts w:hint="eastAsia" w:ascii="宋体" w:hAnsi="宋体"/>
          <w:b/>
        </w:rPr>
      </w:pPr>
      <w:r>
        <w:rPr>
          <w:rFonts w:hint="eastAsia" w:ascii="宋体" w:hAnsi="宋体"/>
          <w:b/>
        </w:rPr>
        <w:t>表2-1  水泥厂现有主要设备一览表</w:t>
      </w:r>
    </w:p>
    <w:tbl>
      <w:tblPr>
        <w:tblStyle w:val="20"/>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3123"/>
        <w:gridCol w:w="315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序号</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设备名称</w:t>
            </w:r>
          </w:p>
        </w:tc>
        <w:tc>
          <w:tcPr>
            <w:tcW w:w="3155" w:type="dxa"/>
            <w:noWrap w:val="0"/>
            <w:vAlign w:val="center"/>
          </w:tcPr>
          <w:p>
            <w:pPr>
              <w:spacing w:line="240" w:lineRule="exact"/>
              <w:ind w:firstLine="1050" w:firstLineChars="500"/>
              <w:jc w:val="center"/>
              <w:rPr>
                <w:rFonts w:hint="eastAsia" w:ascii="宋体" w:hAnsi="宋体"/>
                <w:sz w:val="21"/>
                <w:szCs w:val="21"/>
              </w:rPr>
            </w:pPr>
            <w:r>
              <w:rPr>
                <w:rFonts w:hint="eastAsia" w:ascii="宋体" w:hAnsi="宋体"/>
                <w:sz w:val="21"/>
                <w:szCs w:val="21"/>
              </w:rPr>
              <w:t>型号规格</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台数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1</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石灰石破碎机</w:t>
            </w:r>
          </w:p>
        </w:tc>
        <w:tc>
          <w:tcPr>
            <w:tcW w:w="3155" w:type="dxa"/>
            <w:noWrap w:val="0"/>
            <w:vAlign w:val="center"/>
          </w:tcPr>
          <w:p>
            <w:pPr>
              <w:spacing w:line="240" w:lineRule="exact"/>
              <w:jc w:val="center"/>
              <w:rPr>
                <w:rFonts w:hint="eastAsia" w:ascii="宋体" w:hAnsi="宋体"/>
                <w:sz w:val="21"/>
                <w:szCs w:val="21"/>
              </w:rPr>
            </w:pPr>
            <w:r>
              <w:rPr>
                <w:rFonts w:hint="eastAsia" w:ascii="宋体" w:hAnsi="宋体"/>
                <w:sz w:val="21"/>
                <w:szCs w:val="21"/>
              </w:rPr>
              <w:t>PE-600*900</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2</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烘干机</w:t>
            </w:r>
          </w:p>
        </w:tc>
        <w:tc>
          <w:tcPr>
            <w:tcW w:w="3155" w:type="dxa"/>
            <w:noWrap w:val="0"/>
            <w:vAlign w:val="center"/>
          </w:tcPr>
          <w:p>
            <w:pPr>
              <w:spacing w:line="240" w:lineRule="exact"/>
              <w:jc w:val="center"/>
              <w:rPr>
                <w:rFonts w:hint="eastAsia" w:ascii="宋体" w:hAnsi="宋体"/>
                <w:sz w:val="21"/>
                <w:szCs w:val="21"/>
              </w:rPr>
            </w:pPr>
            <w:r>
              <w:rPr>
                <w:rFonts w:hint="eastAsia" w:ascii="宋体" w:hAnsi="宋体"/>
                <w:sz w:val="21"/>
                <w:szCs w:val="21"/>
              </w:rPr>
              <w:t>φ2.2×12m</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3</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生料磨</w:t>
            </w:r>
          </w:p>
        </w:tc>
        <w:tc>
          <w:tcPr>
            <w:tcW w:w="3155" w:type="dxa"/>
            <w:noWrap w:val="0"/>
            <w:vAlign w:val="center"/>
          </w:tcPr>
          <w:p>
            <w:pPr>
              <w:spacing w:line="240" w:lineRule="exact"/>
              <w:jc w:val="center"/>
              <w:rPr>
                <w:rFonts w:hint="eastAsia" w:ascii="宋体" w:hAnsi="宋体"/>
                <w:sz w:val="21"/>
                <w:szCs w:val="21"/>
              </w:rPr>
            </w:pPr>
            <w:r>
              <w:rPr>
                <w:rFonts w:ascii="宋体" w:hAnsi="宋体"/>
                <w:sz w:val="21"/>
                <w:szCs w:val="21"/>
              </w:rPr>
              <w:t>MB30</w:t>
            </w:r>
            <w:r>
              <w:rPr>
                <w:rFonts w:hint="eastAsia" w:ascii="宋体" w:hAnsi="宋体"/>
                <w:sz w:val="21"/>
                <w:szCs w:val="21"/>
              </w:rPr>
              <w:t>90</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4</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机立窑</w:t>
            </w:r>
          </w:p>
        </w:tc>
        <w:tc>
          <w:tcPr>
            <w:tcW w:w="3155" w:type="dxa"/>
            <w:noWrap w:val="0"/>
            <w:vAlign w:val="center"/>
          </w:tcPr>
          <w:p>
            <w:pPr>
              <w:spacing w:line="240" w:lineRule="exact"/>
              <w:jc w:val="center"/>
              <w:rPr>
                <w:rFonts w:hint="eastAsia" w:ascii="宋体" w:hAnsi="宋体"/>
                <w:sz w:val="21"/>
                <w:szCs w:val="21"/>
              </w:rPr>
            </w:pPr>
            <w:r>
              <w:rPr>
                <w:rFonts w:hint="eastAsia" w:ascii="宋体" w:hAnsi="宋体"/>
                <w:sz w:val="21"/>
                <w:szCs w:val="21"/>
              </w:rPr>
              <w:t>φ3.0×11m</w:t>
            </w:r>
          </w:p>
          <w:p>
            <w:pPr>
              <w:spacing w:line="240" w:lineRule="exact"/>
              <w:jc w:val="center"/>
              <w:rPr>
                <w:rFonts w:hint="eastAsia" w:ascii="宋体" w:hAnsi="宋体"/>
                <w:sz w:val="21"/>
                <w:szCs w:val="21"/>
              </w:rPr>
            </w:pPr>
            <w:r>
              <w:rPr>
                <w:rFonts w:hint="eastAsia" w:ascii="宋体" w:hAnsi="宋体"/>
                <w:sz w:val="21"/>
                <w:szCs w:val="21"/>
              </w:rPr>
              <w:t>φ3.2×12m</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2</w:t>
            </w:r>
          </w:p>
          <w:p>
            <w:pPr>
              <w:spacing w:line="240" w:lineRule="exact"/>
              <w:jc w:val="center"/>
              <w:rPr>
                <w:rFonts w:hint="eastAsia" w:ascii="宋体" w:hAnsi="宋体"/>
                <w:sz w:val="21"/>
                <w:szCs w:val="21"/>
              </w:rPr>
            </w:pPr>
            <w:r>
              <w:rPr>
                <w:rFonts w:hint="eastAsia" w:ascii="宋体" w:hAnsi="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5</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水泥磨</w:t>
            </w:r>
          </w:p>
        </w:tc>
        <w:tc>
          <w:tcPr>
            <w:tcW w:w="3155" w:type="dxa"/>
            <w:noWrap w:val="0"/>
            <w:vAlign w:val="center"/>
          </w:tcPr>
          <w:p>
            <w:pPr>
              <w:spacing w:line="240" w:lineRule="exact"/>
              <w:jc w:val="center"/>
              <w:rPr>
                <w:rFonts w:hint="eastAsia" w:ascii="宋体" w:hAnsi="宋体"/>
                <w:sz w:val="21"/>
                <w:szCs w:val="21"/>
              </w:rPr>
            </w:pPr>
            <w:r>
              <w:rPr>
                <w:rFonts w:ascii="宋体" w:hAnsi="宋体"/>
                <w:sz w:val="21"/>
                <w:szCs w:val="21"/>
              </w:rPr>
              <w:t>MB30130</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22" w:type="dxa"/>
            <w:noWrap w:val="0"/>
            <w:vAlign w:val="center"/>
          </w:tcPr>
          <w:p>
            <w:pPr>
              <w:spacing w:line="240" w:lineRule="exact"/>
              <w:jc w:val="center"/>
              <w:rPr>
                <w:rFonts w:hint="eastAsia" w:ascii="宋体" w:hAnsi="宋体"/>
                <w:sz w:val="21"/>
                <w:szCs w:val="21"/>
              </w:rPr>
            </w:pPr>
            <w:r>
              <w:rPr>
                <w:rFonts w:hint="eastAsia" w:ascii="宋体" w:hAnsi="宋体"/>
                <w:sz w:val="21"/>
                <w:szCs w:val="21"/>
              </w:rPr>
              <w:t>6</w:t>
            </w:r>
          </w:p>
        </w:tc>
        <w:tc>
          <w:tcPr>
            <w:tcW w:w="3123" w:type="dxa"/>
            <w:noWrap w:val="0"/>
            <w:vAlign w:val="center"/>
          </w:tcPr>
          <w:p>
            <w:pPr>
              <w:spacing w:line="240" w:lineRule="exact"/>
              <w:jc w:val="center"/>
              <w:rPr>
                <w:rFonts w:hint="eastAsia" w:ascii="宋体" w:hAnsi="宋体"/>
                <w:sz w:val="21"/>
                <w:szCs w:val="21"/>
              </w:rPr>
            </w:pPr>
            <w:r>
              <w:rPr>
                <w:rFonts w:hint="eastAsia" w:ascii="宋体" w:hAnsi="宋体"/>
                <w:sz w:val="21"/>
                <w:szCs w:val="21"/>
              </w:rPr>
              <w:t>水泥包装机</w:t>
            </w:r>
          </w:p>
        </w:tc>
        <w:tc>
          <w:tcPr>
            <w:tcW w:w="3155" w:type="dxa"/>
            <w:noWrap w:val="0"/>
            <w:vAlign w:val="center"/>
          </w:tcPr>
          <w:p>
            <w:pPr>
              <w:spacing w:line="240" w:lineRule="exact"/>
              <w:jc w:val="center"/>
              <w:rPr>
                <w:rFonts w:hint="eastAsia" w:ascii="宋体" w:hAnsi="宋体"/>
                <w:sz w:val="21"/>
                <w:szCs w:val="21"/>
              </w:rPr>
            </w:pPr>
            <w:r>
              <w:rPr>
                <w:rFonts w:ascii="宋体" w:hAnsi="宋体"/>
                <w:sz w:val="21"/>
                <w:szCs w:val="21"/>
              </w:rPr>
              <w:t>HL-50B</w:t>
            </w:r>
          </w:p>
        </w:tc>
        <w:tc>
          <w:tcPr>
            <w:tcW w:w="1036" w:type="dxa"/>
            <w:noWrap w:val="0"/>
            <w:vAlign w:val="center"/>
          </w:tcPr>
          <w:p>
            <w:pPr>
              <w:spacing w:line="240" w:lineRule="exact"/>
              <w:jc w:val="center"/>
              <w:rPr>
                <w:rFonts w:hint="eastAsia" w:ascii="宋体" w:hAnsi="宋体"/>
                <w:sz w:val="21"/>
                <w:szCs w:val="21"/>
              </w:rPr>
            </w:pPr>
            <w:r>
              <w:rPr>
                <w:rFonts w:hint="eastAsia" w:ascii="宋体" w:hAnsi="宋体"/>
                <w:sz w:val="21"/>
                <w:szCs w:val="21"/>
              </w:rPr>
              <w:t>3</w:t>
            </w:r>
          </w:p>
        </w:tc>
      </w:tr>
    </w:tbl>
    <w:p>
      <w:pPr>
        <w:spacing w:line="360" w:lineRule="exact"/>
        <w:outlineLvl w:val="1"/>
        <w:rPr>
          <w:rFonts w:hint="eastAsia"/>
          <w:b/>
          <w:szCs w:val="20"/>
        </w:rPr>
      </w:pPr>
      <w:bookmarkStart w:id="58" w:name="_Toc276372224"/>
      <w:bookmarkStart w:id="59" w:name="_Toc202167835"/>
      <w:r>
        <w:rPr>
          <w:rFonts w:hint="eastAsia"/>
          <w:b/>
          <w:szCs w:val="20"/>
        </w:rPr>
        <w:t>2.4 主要原料、燃料消耗及来源</w:t>
      </w:r>
      <w:bookmarkEnd w:id="58"/>
      <w:bookmarkEnd w:id="59"/>
    </w:p>
    <w:p>
      <w:pPr>
        <w:spacing w:line="480" w:lineRule="exact"/>
        <w:ind w:firstLine="420" w:firstLineChars="200"/>
        <w:rPr>
          <w:rFonts w:hint="eastAsia" w:ascii="宋体" w:hAnsi="宋体"/>
        </w:rPr>
      </w:pPr>
      <w:r>
        <w:rPr>
          <w:rFonts w:hint="eastAsia" w:ascii="宋体" w:hAnsi="宋体"/>
        </w:rPr>
        <w:t xml:space="preserve">主要原料、燃料消耗及来源见表2-2。 </w:t>
      </w:r>
    </w:p>
    <w:p>
      <w:pPr>
        <w:spacing w:line="480" w:lineRule="exact"/>
        <w:jc w:val="center"/>
        <w:rPr>
          <w:rFonts w:hint="eastAsia" w:ascii="宋体" w:hAnsi="宋体"/>
          <w:b/>
        </w:rPr>
      </w:pPr>
      <w:r>
        <w:rPr>
          <w:rFonts w:hint="eastAsia" w:ascii="宋体" w:hAnsi="宋体"/>
          <w:b/>
        </w:rPr>
        <w:t>表2-2  主要原料、燃料消耗及来源（万t/a）</w:t>
      </w:r>
    </w:p>
    <w:tbl>
      <w:tblPr>
        <w:tblStyle w:val="20"/>
        <w:tblW w:w="8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439"/>
        <w:gridCol w:w="1805"/>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序号</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原料名称</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消耗量（万吨）</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1</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石灰石</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53.36</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壁山县福禄镇富强矿业有限公司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2</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煤矸石</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4.16</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重庆永荣青鹏煤业有限公司煤矿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3</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磷矿渣</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2.08</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贵州息峰化工厂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4</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石膏</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1.2</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重庆市江北特种建材有限公司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5</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冶炼废渣</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1.4</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璧山顺泰贸易公司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6</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粉煤灰</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18</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璧山顺泰贸易公司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4" w:type="dxa"/>
            <w:noWrap w:val="0"/>
            <w:vAlign w:val="center"/>
          </w:tcPr>
          <w:p>
            <w:pPr>
              <w:jc w:val="center"/>
              <w:rPr>
                <w:rFonts w:hint="eastAsia" w:ascii="宋体" w:hAnsi="宋体"/>
                <w:sz w:val="21"/>
                <w:szCs w:val="21"/>
              </w:rPr>
            </w:pPr>
            <w:r>
              <w:rPr>
                <w:rFonts w:hint="eastAsia" w:ascii="宋体" w:hAnsi="宋体"/>
                <w:sz w:val="21"/>
                <w:szCs w:val="21"/>
              </w:rPr>
              <w:t>7</w:t>
            </w:r>
          </w:p>
        </w:tc>
        <w:tc>
          <w:tcPr>
            <w:tcW w:w="2439" w:type="dxa"/>
            <w:noWrap w:val="0"/>
            <w:vAlign w:val="center"/>
          </w:tcPr>
          <w:p>
            <w:pPr>
              <w:jc w:val="center"/>
              <w:rPr>
                <w:rFonts w:hint="eastAsia" w:ascii="宋体" w:hAnsi="宋体"/>
                <w:sz w:val="21"/>
                <w:szCs w:val="21"/>
              </w:rPr>
            </w:pPr>
            <w:r>
              <w:rPr>
                <w:rFonts w:hint="eastAsia" w:ascii="宋体" w:hAnsi="宋体"/>
                <w:sz w:val="21"/>
                <w:szCs w:val="21"/>
              </w:rPr>
              <w:t>煤</w:t>
            </w:r>
          </w:p>
        </w:tc>
        <w:tc>
          <w:tcPr>
            <w:tcW w:w="1805" w:type="dxa"/>
            <w:noWrap w:val="0"/>
            <w:vAlign w:val="center"/>
          </w:tcPr>
          <w:p>
            <w:pPr>
              <w:jc w:val="center"/>
              <w:rPr>
                <w:rFonts w:hint="eastAsia" w:ascii="宋体" w:hAnsi="宋体"/>
                <w:sz w:val="21"/>
                <w:szCs w:val="21"/>
              </w:rPr>
            </w:pPr>
            <w:r>
              <w:rPr>
                <w:rFonts w:hint="eastAsia" w:ascii="宋体" w:hAnsi="宋体"/>
                <w:sz w:val="21"/>
                <w:szCs w:val="21"/>
              </w:rPr>
              <w:t>8.3</w:t>
            </w:r>
          </w:p>
        </w:tc>
        <w:tc>
          <w:tcPr>
            <w:tcW w:w="3316" w:type="dxa"/>
            <w:noWrap w:val="0"/>
            <w:vAlign w:val="center"/>
          </w:tcPr>
          <w:p>
            <w:pPr>
              <w:jc w:val="center"/>
              <w:rPr>
                <w:rFonts w:hint="eastAsia" w:ascii="宋体" w:hAnsi="宋体"/>
                <w:sz w:val="21"/>
                <w:szCs w:val="21"/>
              </w:rPr>
            </w:pPr>
            <w:r>
              <w:rPr>
                <w:rFonts w:hint="eastAsia" w:ascii="宋体" w:hAnsi="宋体"/>
                <w:sz w:val="21"/>
                <w:szCs w:val="21"/>
              </w:rPr>
              <w:t>合川三汇坝</w:t>
            </w:r>
          </w:p>
        </w:tc>
      </w:tr>
    </w:tbl>
    <w:p>
      <w:pPr>
        <w:rPr>
          <w:rFonts w:hint="eastAsia"/>
        </w:rPr>
      </w:pPr>
    </w:p>
    <w:p>
      <w:pPr>
        <w:spacing w:line="360" w:lineRule="auto"/>
        <w:outlineLvl w:val="1"/>
        <w:rPr>
          <w:rFonts w:hint="eastAsia"/>
          <w:b/>
          <w:szCs w:val="20"/>
        </w:rPr>
      </w:pPr>
      <w:bookmarkStart w:id="60" w:name="_Toc202167836"/>
      <w:bookmarkStart w:id="61" w:name="_Toc276372225"/>
      <w:r>
        <w:rPr>
          <w:rFonts w:hint="eastAsia"/>
          <w:b/>
          <w:szCs w:val="20"/>
        </w:rPr>
        <w:t>2.5 公用工程</w:t>
      </w:r>
      <w:bookmarkEnd w:id="60"/>
      <w:bookmarkEnd w:id="61"/>
    </w:p>
    <w:p>
      <w:pPr>
        <w:spacing w:line="360" w:lineRule="auto"/>
        <w:ind w:firstLine="420" w:firstLineChars="200"/>
        <w:rPr>
          <w:rFonts w:hint="eastAsia" w:ascii="宋体" w:hAnsi="宋体"/>
        </w:rPr>
      </w:pPr>
      <w:r>
        <w:rPr>
          <w:rFonts w:hint="eastAsia" w:ascii="宋体" w:hAnsi="宋体"/>
        </w:rPr>
        <w:t>（1）水源及用水量</w:t>
      </w:r>
    </w:p>
    <w:p>
      <w:pPr>
        <w:spacing w:line="360" w:lineRule="auto"/>
        <w:ind w:firstLine="420" w:firstLineChars="200"/>
        <w:rPr>
          <w:rFonts w:hint="eastAsia" w:ascii="宋体" w:hAnsi="宋体"/>
        </w:rPr>
      </w:pPr>
      <w:r>
        <w:rPr>
          <w:rFonts w:hint="eastAsia" w:ascii="宋体" w:hAnsi="宋体"/>
        </w:rPr>
        <w:t>重庆永荣青鹏煤业有限公司水泥厂水源来自本公司煤矿井下排水，现有水泥厂总用水量700.00m</w:t>
      </w:r>
      <w:r>
        <w:rPr>
          <w:rFonts w:hint="eastAsia" w:ascii="宋体" w:hAnsi="宋体"/>
          <w:vertAlign w:val="superscript"/>
        </w:rPr>
        <w:t>3</w:t>
      </w:r>
      <w:r>
        <w:rPr>
          <w:rFonts w:hint="eastAsia" w:ascii="宋体" w:hAnsi="宋体"/>
        </w:rPr>
        <w:t>/d。</w:t>
      </w:r>
    </w:p>
    <w:p>
      <w:pPr>
        <w:spacing w:line="360" w:lineRule="auto"/>
        <w:ind w:firstLine="420" w:firstLineChars="200"/>
        <w:rPr>
          <w:rFonts w:hint="eastAsia" w:ascii="宋体" w:hAnsi="宋体"/>
        </w:rPr>
      </w:pPr>
      <w:r>
        <w:rPr>
          <w:rFonts w:hint="eastAsia" w:ascii="宋体" w:hAnsi="宋体"/>
        </w:rPr>
        <w:t>（2）排水方案</w:t>
      </w:r>
    </w:p>
    <w:p>
      <w:pPr>
        <w:spacing w:line="360" w:lineRule="auto"/>
        <w:ind w:firstLine="420" w:firstLineChars="200"/>
        <w:rPr>
          <w:rFonts w:hint="eastAsia" w:ascii="宋体" w:hAnsi="宋体"/>
        </w:rPr>
      </w:pPr>
      <w:r>
        <w:rPr>
          <w:rFonts w:hint="eastAsia" w:ascii="宋体" w:hAnsi="宋体"/>
        </w:rPr>
        <w:t>重庆永荣青鹏煤业有限公司现有水泥厂采用雨、污合流排水系统，废水主要为厂区生活污水和化验室废水，产生量约为58t/d，未经治理，直接排入北侧无名溪沟经玉石桥河最终汇入梁滩河。</w:t>
      </w:r>
    </w:p>
    <w:p>
      <w:pPr>
        <w:spacing w:line="360" w:lineRule="auto"/>
        <w:ind w:firstLine="420" w:firstLineChars="200"/>
        <w:rPr>
          <w:rFonts w:hint="eastAsia" w:ascii="宋体" w:hAnsi="宋体"/>
        </w:rPr>
      </w:pPr>
      <w:r>
        <w:rPr>
          <w:rFonts w:hint="eastAsia" w:ascii="宋体" w:hAnsi="宋体"/>
        </w:rPr>
        <w:t>（3）供电、耗电</w:t>
      </w:r>
    </w:p>
    <w:p>
      <w:pPr>
        <w:spacing w:line="360" w:lineRule="auto"/>
        <w:ind w:firstLine="420" w:firstLineChars="200"/>
        <w:rPr>
          <w:rFonts w:hint="eastAsia" w:ascii="宋体" w:hAnsi="宋体"/>
        </w:rPr>
      </w:pPr>
      <w:r>
        <w:rPr>
          <w:rFonts w:hint="eastAsia" w:ascii="宋体" w:hAnsi="宋体"/>
        </w:rPr>
        <w:t>重庆永荣青鹏煤业有限公司水泥厂现有电源来自青煤线和凤煤线，全年耗电量约为3400万度。</w:t>
      </w:r>
    </w:p>
    <w:p>
      <w:pPr>
        <w:spacing w:line="360" w:lineRule="auto"/>
        <w:ind w:firstLine="420" w:firstLineChars="200"/>
        <w:rPr>
          <w:rFonts w:hint="eastAsia" w:ascii="宋体" w:hAnsi="宋体"/>
        </w:rPr>
      </w:pPr>
      <w:r>
        <w:rPr>
          <w:rFonts w:hint="eastAsia" w:ascii="宋体" w:hAnsi="宋体"/>
        </w:rPr>
        <w:t>（4）压缩空气</w:t>
      </w:r>
    </w:p>
    <w:p>
      <w:pPr>
        <w:spacing w:line="360" w:lineRule="auto"/>
        <w:ind w:firstLine="420" w:firstLineChars="200"/>
        <w:rPr>
          <w:rFonts w:hint="eastAsia" w:ascii="宋体" w:hAnsi="宋体"/>
        </w:rPr>
      </w:pPr>
      <w:r>
        <w:rPr>
          <w:rFonts w:hint="eastAsia" w:ascii="宋体" w:hAnsi="宋体"/>
        </w:rPr>
        <w:t>重庆永荣青鹏煤业有限公司水泥厂现有空压站1座，设W-0.9型空压机6台。</w:t>
      </w:r>
    </w:p>
    <w:p>
      <w:pPr>
        <w:spacing w:line="360" w:lineRule="auto"/>
        <w:outlineLvl w:val="1"/>
        <w:rPr>
          <w:rFonts w:hint="eastAsia"/>
          <w:b/>
          <w:szCs w:val="20"/>
        </w:rPr>
      </w:pPr>
      <w:bookmarkStart w:id="62" w:name="_Toc202167837"/>
      <w:bookmarkStart w:id="63" w:name="_Toc276372226"/>
      <w:r>
        <w:rPr>
          <w:rFonts w:hint="eastAsia"/>
          <w:b/>
          <w:szCs w:val="20"/>
        </w:rPr>
        <w:t>2.6 生产工艺</w:t>
      </w:r>
      <w:bookmarkEnd w:id="62"/>
      <w:bookmarkEnd w:id="63"/>
    </w:p>
    <w:p>
      <w:pPr>
        <w:spacing w:line="360" w:lineRule="auto"/>
        <w:ind w:firstLine="420" w:firstLineChars="200"/>
        <w:rPr>
          <w:rFonts w:hint="eastAsia" w:ascii="宋体" w:hAnsi="宋体"/>
        </w:rPr>
      </w:pPr>
      <w:r>
        <w:rPr>
          <w:rFonts w:hint="eastAsia" w:ascii="宋体" w:hAnsi="宋体"/>
        </w:rPr>
        <w:t>重庆永荣青鹏煤业有限公司水泥厂现拥有二条φ3</w:t>
      </w:r>
      <w:r>
        <w:rPr>
          <w:rFonts w:ascii="宋体" w:hAnsi="宋体"/>
        </w:rPr>
        <w:t>.0m</w:t>
      </w:r>
      <w:r>
        <w:rPr>
          <w:rFonts w:hint="eastAsia" w:ascii="宋体" w:hAnsi="宋体"/>
        </w:rPr>
        <w:t>和二条φ3</w:t>
      </w:r>
      <w:r>
        <w:rPr>
          <w:rFonts w:ascii="宋体" w:hAnsi="宋体"/>
        </w:rPr>
        <w:t>.</w:t>
      </w:r>
      <w:r>
        <w:rPr>
          <w:rFonts w:hint="eastAsia" w:ascii="宋体" w:hAnsi="宋体"/>
        </w:rPr>
        <w:t>2</w:t>
      </w:r>
      <w:r>
        <w:rPr>
          <w:rFonts w:ascii="宋体" w:hAnsi="宋体"/>
        </w:rPr>
        <w:t>m</w:t>
      </w:r>
      <w:r>
        <w:rPr>
          <w:rFonts w:hint="eastAsia" w:ascii="宋体" w:hAnsi="宋体"/>
        </w:rPr>
        <w:t>机立窑水泥生产线，其生产工艺流程及主要排污环节分别见图2.2。</w:t>
      </w:r>
    </w:p>
    <w:p>
      <w:pPr>
        <w:spacing w:line="360" w:lineRule="auto"/>
        <w:ind w:firstLine="200"/>
        <w:rPr>
          <w:rFonts w:hint="eastAsia" w:ascii="宋体" w:hAnsi="宋体"/>
        </w:rPr>
      </w:pPr>
    </w:p>
    <w:p>
      <w:pPr>
        <w:spacing w:line="360" w:lineRule="auto"/>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4432" behindDoc="0" locked="0" layoutInCell="1" allowOverlap="1">
                <wp:simplePos x="0" y="0"/>
                <wp:positionH relativeFrom="column">
                  <wp:posOffset>168910</wp:posOffset>
                </wp:positionH>
                <wp:positionV relativeFrom="paragraph">
                  <wp:posOffset>245745</wp:posOffset>
                </wp:positionV>
                <wp:extent cx="615315" cy="297180"/>
                <wp:effectExtent l="5080" t="4445" r="8255" b="22225"/>
                <wp:wrapNone/>
                <wp:docPr id="19" name="矩形 19"/>
                <wp:cNvGraphicFramePr/>
                <a:graphic xmlns:a="http://schemas.openxmlformats.org/drawingml/2006/main">
                  <a:graphicData uri="http://schemas.microsoft.com/office/word/2010/wordprocessingShape">
                    <wps:wsp>
                      <wps:cNvSpPr/>
                      <wps:spPr>
                        <a:xfrm>
                          <a:off x="0" y="0"/>
                          <a:ext cx="6153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石灰石</w:t>
                            </w:r>
                          </w:p>
                        </w:txbxContent>
                      </wps:txbx>
                      <wps:bodyPr upright="1"/>
                    </wps:wsp>
                  </a:graphicData>
                </a:graphic>
              </wp:anchor>
            </w:drawing>
          </mc:Choice>
          <mc:Fallback>
            <w:pict>
              <v:rect id="_x0000_s1026" o:spid="_x0000_s1026" o:spt="1" style="position:absolute;left:0pt;margin-left:13.3pt;margin-top:19.35pt;height:23.4pt;width:48.45pt;z-index:251794432;mso-width-relative:page;mso-height-relative:page;" fillcolor="#FFFFFF" filled="t" stroked="t" coordsize="21600,21600" o:gfxdata="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avJ&#10;X9cAAAAIAQAADwAAAAAAAAABACAAAAAiAAAAZHJzL2Rvd25yZXYueG1sUEsBAhQAFAAAAAgAh07i&#10;QH0vzEXqAQAA3AMAAA4AAAAAAAAAAQAgAAAAJgEAAGRycy9lMm9Eb2MueG1sUEsFBgAAAAAGAAYA&#10;WQEAAIIFAAAAAA==&#10;">
                <v:fill on="t" focussize="0,0"/>
                <v:stroke color="#000000" joinstyle="miter"/>
                <v:imagedata o:title=""/>
                <o:lock v:ext="edit" aspectratio="f"/>
                <v:textbox>
                  <w:txbxContent>
                    <w:p>
                      <w:pPr>
                        <w:rPr>
                          <w:rFonts w:hint="eastAsia"/>
                          <w:sz w:val="21"/>
                          <w:szCs w:val="21"/>
                        </w:rPr>
                      </w:pPr>
                      <w:r>
                        <w:rPr>
                          <w:rFonts w:hint="eastAsia"/>
                          <w:sz w:val="21"/>
                          <w:szCs w:val="21"/>
                        </w:rPr>
                        <w:t>石灰石</w:t>
                      </w:r>
                    </w:p>
                  </w:txbxContent>
                </v:textbox>
              </v:rect>
            </w:pict>
          </mc:Fallback>
        </mc:AlternateContent>
      </w:r>
      <w:r>
        <w:rPr>
          <w:rFonts w:hint="eastAsia" w:ascii="宋体" w:hAnsi="宋体"/>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274320</wp:posOffset>
                </wp:positionV>
                <wp:extent cx="633730" cy="297180"/>
                <wp:effectExtent l="5080" t="4445" r="8890" b="22225"/>
                <wp:wrapNone/>
                <wp:docPr id="14" name="矩形 14"/>
                <wp:cNvGraphicFramePr/>
                <a:graphic xmlns:a="http://schemas.openxmlformats.org/drawingml/2006/main">
                  <a:graphicData uri="http://schemas.microsoft.com/office/word/2010/wordprocessingShape">
                    <wps:wsp>
                      <wps:cNvSpPr/>
                      <wps:spPr>
                        <a:xfrm>
                          <a:off x="0" y="0"/>
                          <a:ext cx="63373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煤矸石</w:t>
                            </w:r>
                          </w:p>
                        </w:txbxContent>
                      </wps:txbx>
                      <wps:bodyPr upright="1"/>
                    </wps:wsp>
                  </a:graphicData>
                </a:graphic>
              </wp:anchor>
            </w:drawing>
          </mc:Choice>
          <mc:Fallback>
            <w:pict>
              <v:rect id="_x0000_s1026" o:spid="_x0000_s1026" o:spt="1" style="position:absolute;left:0pt;margin-left:108pt;margin-top:21.6pt;height:23.4pt;width:49.9pt;z-index:251795456;mso-width-relative:page;mso-height-relative:page;" fillcolor="#FFFFFF" filled="t" stroked="t" coordsize="21600,21600" o:gfxdata="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s2m&#10;BNcAAAAJAQAADwAAAAAAAAABACAAAAAiAAAAZHJzL2Rvd25yZXYueG1sUEsBAhQAFAAAAAgAh07i&#10;QHDb0lLqAQAA3AMAAA4AAAAAAAAAAQAgAAAAJg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煤矸石</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9552" behindDoc="0" locked="0" layoutInCell="1" allowOverlap="1">
                <wp:simplePos x="0" y="0"/>
                <wp:positionH relativeFrom="column">
                  <wp:posOffset>460375</wp:posOffset>
                </wp:positionH>
                <wp:positionV relativeFrom="paragraph">
                  <wp:posOffset>259080</wp:posOffset>
                </wp:positionV>
                <wp:extent cx="0" cy="396240"/>
                <wp:effectExtent l="38100" t="0" r="38100" b="3810"/>
                <wp:wrapNone/>
                <wp:docPr id="7" name="直接连接符 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5pt;margin-top:20.4pt;height:31.2pt;width:0pt;z-index:251799552;mso-width-relative:page;mso-height-relative:page;" filled="f" stroked="t" coordsize="21600,21600" o:gfxdata="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dVzsNcAAAAIAQAA&#10;DwAAAAAAAAABACAAAAAiAAAAZHJzL2Rvd25yZXYueG1sUEsBAhQAFAAAAAgAh07iQKY+ZQHhAQAA&#10;mQ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0576" behindDoc="0" locked="0" layoutInCell="1" allowOverlap="1">
                <wp:simplePos x="0" y="0"/>
                <wp:positionH relativeFrom="column">
                  <wp:posOffset>1732915</wp:posOffset>
                </wp:positionH>
                <wp:positionV relativeFrom="paragraph">
                  <wp:posOffset>257175</wp:posOffset>
                </wp:positionV>
                <wp:extent cx="0" cy="396240"/>
                <wp:effectExtent l="38100" t="0" r="38100" b="3810"/>
                <wp:wrapNone/>
                <wp:docPr id="15" name="直接连接符 1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6.45pt;margin-top:20.25pt;height:31.2pt;width:0pt;z-index:251800576;mso-width-relative:page;mso-height-relative:page;" filled="f" stroked="t" coordsize="21600,21600" o:gfxdata="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GDP92AAAAAoB&#10;AAAPAAAAAAAAAAEAIAAAACIAAABkcnMvZG93bnJldi54bWxQSwECFAAUAAAACACHTuJAe5/J8u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798528" behindDoc="0" locked="0" layoutInCell="1" allowOverlap="1">
                <wp:simplePos x="0" y="0"/>
                <wp:positionH relativeFrom="column">
                  <wp:posOffset>4766945</wp:posOffset>
                </wp:positionH>
                <wp:positionV relativeFrom="paragraph">
                  <wp:posOffset>70485</wp:posOffset>
                </wp:positionV>
                <wp:extent cx="685800" cy="297180"/>
                <wp:effectExtent l="4445" t="4445" r="14605" b="22225"/>
                <wp:wrapNone/>
                <wp:docPr id="16" name="矩形 16"/>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无烟煤</w:t>
                            </w:r>
                          </w:p>
                        </w:txbxContent>
                      </wps:txbx>
                      <wps:bodyPr upright="1"/>
                    </wps:wsp>
                  </a:graphicData>
                </a:graphic>
              </wp:anchor>
            </w:drawing>
          </mc:Choice>
          <mc:Fallback>
            <w:pict>
              <v:rect id="_x0000_s1026" o:spid="_x0000_s1026" o:spt="1" style="position:absolute;left:0pt;margin-left:375.35pt;margin-top:5.55pt;height:23.4pt;width:54pt;z-index:251798528;mso-width-relative:page;mso-height-relative:page;" fillcolor="#FFFFFF" filled="t" stroked="t" coordsize="21600,21600" o:gfxdata="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Zw1&#10;z9cAAAAJAQAADwAAAAAAAAABACAAAAAiAAAAZHJzL2Rvd25yZXYueG1sUEsBAhQAFAAAAAgAh07i&#10;QIhsaMfqAQAA3AMAAA4AAAAAAAAAAQAgAAAAJg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无烟煤</w:t>
                      </w:r>
                    </w:p>
                  </w:txbxContent>
                </v:textbox>
              </v:rect>
            </w:pict>
          </mc:Fallback>
        </mc:AlternateContent>
      </w:r>
      <w:r>
        <w:rPr>
          <w:rFonts w:hint="eastAsia" w:ascii="宋体" w:hAnsi="宋体"/>
        </w:rPr>
        <mc:AlternateContent>
          <mc:Choice Requires="wps">
            <w:drawing>
              <wp:anchor distT="0" distB="0" distL="114300" distR="114300" simplePos="0" relativeHeight="251797504" behindDoc="0" locked="0" layoutInCell="1" allowOverlap="1">
                <wp:simplePos x="0" y="0"/>
                <wp:positionH relativeFrom="column">
                  <wp:posOffset>3665855</wp:posOffset>
                </wp:positionH>
                <wp:positionV relativeFrom="paragraph">
                  <wp:posOffset>51435</wp:posOffset>
                </wp:positionV>
                <wp:extent cx="800100" cy="297180"/>
                <wp:effectExtent l="4445" t="4445" r="14605" b="22225"/>
                <wp:wrapNone/>
                <wp:docPr id="18" name="矩形 18"/>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磷矿渣</w:t>
                            </w:r>
                          </w:p>
                        </w:txbxContent>
                      </wps:txbx>
                      <wps:bodyPr upright="1"/>
                    </wps:wsp>
                  </a:graphicData>
                </a:graphic>
              </wp:anchor>
            </w:drawing>
          </mc:Choice>
          <mc:Fallback>
            <w:pict>
              <v:rect id="_x0000_s1026" o:spid="_x0000_s1026" o:spt="1" style="position:absolute;left:0pt;margin-left:288.65pt;margin-top:4.05pt;height:23.4pt;width:63pt;z-index:251797504;mso-width-relative:page;mso-height-relative:page;" fillcolor="#FFFFFF" filled="t" stroked="t" coordsize="21600,21600" o:gfxdata="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J8X3W&#10;AAAACAEAAA8AAAAAAAAAAQAgAAAAIgAAAGRycy9kb3ducmV2LnhtbFBLAQIUABQAAAAIAIdO4kDG&#10;c1dN6QEAANwDAAAOAAAAAAAAAAEAIAAAACUBAABkcnMvZTJvRG9jLnhtbFBLBQYAAAAABgAGAFkB&#10;AACABQAAAAA=&#10;">
                <v:fill on="t" focussize="0,0"/>
                <v:stroke color="#000000" joinstyle="miter"/>
                <v:imagedata o:title=""/>
                <o:lock v:ext="edit" aspectratio="f"/>
                <v:textbox>
                  <w:txbxContent>
                    <w:p>
                      <w:pPr>
                        <w:jc w:val="center"/>
                        <w:rPr>
                          <w:rFonts w:hint="eastAsia"/>
                          <w:sz w:val="21"/>
                          <w:szCs w:val="21"/>
                        </w:rPr>
                      </w:pPr>
                      <w:r>
                        <w:rPr>
                          <w:rFonts w:hint="eastAsia"/>
                          <w:sz w:val="21"/>
                          <w:szCs w:val="21"/>
                        </w:rPr>
                        <w:t>磷矿渣</w:t>
                      </w:r>
                    </w:p>
                  </w:txbxContent>
                </v:textbox>
              </v:rect>
            </w:pict>
          </mc:Fallback>
        </mc:AlternateContent>
      </w:r>
      <w:r>
        <w:rPr>
          <w:rFonts w:hint="eastAsia" w:ascii="宋体" w:hAnsi="宋体"/>
        </w:rPr>
        <mc:AlternateContent>
          <mc:Choice Requires="wps">
            <w:drawing>
              <wp:anchor distT="0" distB="0" distL="114300" distR="114300" simplePos="0" relativeHeight="251796480" behindDoc="0" locked="0" layoutInCell="1" allowOverlap="1">
                <wp:simplePos x="0" y="0"/>
                <wp:positionH relativeFrom="column">
                  <wp:posOffset>2531745</wp:posOffset>
                </wp:positionH>
                <wp:positionV relativeFrom="paragraph">
                  <wp:posOffset>34290</wp:posOffset>
                </wp:positionV>
                <wp:extent cx="914400" cy="297180"/>
                <wp:effectExtent l="4445" t="4445" r="14605" b="22225"/>
                <wp:wrapNone/>
                <wp:docPr id="11" name="矩形 11"/>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冶炼废渣</w:t>
                            </w:r>
                          </w:p>
                        </w:txbxContent>
                      </wps:txbx>
                      <wps:bodyPr upright="1"/>
                    </wps:wsp>
                  </a:graphicData>
                </a:graphic>
              </wp:anchor>
            </w:drawing>
          </mc:Choice>
          <mc:Fallback>
            <w:pict>
              <v:rect id="_x0000_s1026" o:spid="_x0000_s1026" o:spt="1" style="position:absolute;left:0pt;margin-left:199.35pt;margin-top:2.7pt;height:23.4pt;width:72pt;z-index:251796480;mso-width-relative:page;mso-height-relative:page;" fillcolor="#FFFFFF" filled="t" stroked="t" coordsize="21600,21600" o:gfxdata="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Xzmg&#10;1wAAAAgBAAAPAAAAAAAAAAEAIAAAACIAAABkcnMvZG93bnJldi54bWxQSwECFAAUAAAACACHTuJA&#10;A0iVXukBAADcAwAADgAAAAAAAAABACAAAAAmAQAAZHJzL2Uyb0RvYy54bWxQSwUGAAAAAAYABgBZ&#10;AQAAgQUAAAAA&#10;">
                <v:fill on="t" focussize="0,0"/>
                <v:stroke color="#000000" joinstyle="miter"/>
                <v:imagedata o:title=""/>
                <o:lock v:ext="edit" aspectratio="f"/>
                <v:textbox>
                  <w:txbxContent>
                    <w:p>
                      <w:pPr>
                        <w:jc w:val="center"/>
                        <w:rPr>
                          <w:rFonts w:hint="eastAsia"/>
                          <w:sz w:val="21"/>
                          <w:szCs w:val="21"/>
                        </w:rPr>
                      </w:pPr>
                      <w:r>
                        <w:rPr>
                          <w:rFonts w:hint="eastAsia"/>
                          <w:sz w:val="21"/>
                          <w:szCs w:val="21"/>
                        </w:rPr>
                        <w:t>冶炼废渣</w:t>
                      </w:r>
                    </w:p>
                  </w:txbxContent>
                </v:textbox>
              </v:rect>
            </w:pict>
          </mc:Fallback>
        </mc:AlternateContent>
      </w:r>
      <w:r>
        <w:rPr>
          <w:rFonts w:hint="eastAsia" w:ascii="宋体" w:hAnsi="宋体"/>
        </w:rPr>
        <mc:AlternateContent>
          <mc:Choice Requires="wps">
            <w:drawing>
              <wp:anchor distT="0" distB="0" distL="114300" distR="114300" simplePos="0" relativeHeight="251801600" behindDoc="0" locked="0" layoutInCell="1" allowOverlap="1">
                <wp:simplePos x="0" y="0"/>
                <wp:positionH relativeFrom="column">
                  <wp:posOffset>69850</wp:posOffset>
                </wp:positionH>
                <wp:positionV relativeFrom="paragraph">
                  <wp:posOffset>40005</wp:posOffset>
                </wp:positionV>
                <wp:extent cx="800100" cy="332740"/>
                <wp:effectExtent l="4445" t="4445" r="14605" b="5715"/>
                <wp:wrapNone/>
                <wp:docPr id="17" name="矩形 17"/>
                <wp:cNvGraphicFramePr/>
                <a:graphic xmlns:a="http://schemas.openxmlformats.org/drawingml/2006/main">
                  <a:graphicData uri="http://schemas.microsoft.com/office/word/2010/wordprocessingShape">
                    <wps:wsp>
                      <wps:cNvSpPr/>
                      <wps:spPr>
                        <a:xfrm>
                          <a:off x="0" y="0"/>
                          <a:ext cx="8001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5.5pt;margin-top:3.15pt;height:26.2pt;width:63pt;z-index:251801600;mso-width-relative:page;mso-height-relative:page;" fillcolor="#FFFFFF" filled="t" stroked="t" coordsize="21600,21600" o:gfxdata="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bBLK9UA&#10;AAAHAQAADwAAAAAAAAABACAAAAAiAAAAZHJzL2Rvd25yZXYueG1sUEsBAhQAFAAAAAgAh07iQLMb&#10;L7XpAQAA3AMAAA4AAAAAAAAAAQAgAAAAJAEAAGRycy9lMm9Eb2MueG1sUEsFBgAAAAAGAAYAWQEA&#10;AH8FAAAAAA==&#10;">
                <v:fill on="t" focussize="0,0"/>
                <v:stroke color="#000000" joinstyle="miter"/>
                <v:imagedata o:title=""/>
                <o:lock v:ext="edit" aspectratio="f"/>
                <v:textbo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02624" behindDoc="0" locked="0" layoutInCell="1" allowOverlap="1">
                <wp:simplePos x="0" y="0"/>
                <wp:positionH relativeFrom="column">
                  <wp:posOffset>1288415</wp:posOffset>
                </wp:positionH>
                <wp:positionV relativeFrom="paragraph">
                  <wp:posOffset>22860</wp:posOffset>
                </wp:positionV>
                <wp:extent cx="800100" cy="332740"/>
                <wp:effectExtent l="4445" t="4445" r="14605" b="5715"/>
                <wp:wrapNone/>
                <wp:docPr id="20" name="矩形 20"/>
                <wp:cNvGraphicFramePr/>
                <a:graphic xmlns:a="http://schemas.openxmlformats.org/drawingml/2006/main">
                  <a:graphicData uri="http://schemas.microsoft.com/office/word/2010/wordprocessingShape">
                    <wps:wsp>
                      <wps:cNvSpPr/>
                      <wps:spPr>
                        <a:xfrm>
                          <a:off x="0" y="0"/>
                          <a:ext cx="800100"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101.45pt;margin-top:1.8pt;height:26.2pt;width:63pt;z-index:251802624;mso-width-relative:page;mso-height-relative:page;" fillcolor="#FFFFFF" filled="t" stroked="t" coordsize="21600,21600" o:gfxdata="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O6wrXW&#10;AAAACAEAAA8AAAAAAAAAAQAgAAAAIgAAAGRycy9kb3ducmV2LnhtbFBLAQIUABQAAAAIAIdO4kBg&#10;03HU6QEAANwDAAAOAAAAAAAAAAEAIAAAACUBAABkcnMvZTJvRG9jLnhtbFBLBQYAAAAABgAGAFkB&#10;AACABQAAAAA=&#10;">
                <v:fill on="t" focussize="0,0"/>
                <v:stroke color="#000000" joinstyle="miter"/>
                <v:imagedata o:title=""/>
                <o:lock v:ext="edit" aspectratio="f"/>
                <v:textbox>
                  <w:txbxContent>
                    <w:p>
                      <w:pP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3344" behindDoc="0" locked="0" layoutInCell="1" allowOverlap="1">
                <wp:simplePos x="0" y="0"/>
                <wp:positionH relativeFrom="column">
                  <wp:posOffset>5128895</wp:posOffset>
                </wp:positionH>
                <wp:positionV relativeFrom="paragraph">
                  <wp:posOffset>72390</wp:posOffset>
                </wp:positionV>
                <wp:extent cx="0" cy="396240"/>
                <wp:effectExtent l="38100" t="0" r="38100" b="3810"/>
                <wp:wrapNone/>
                <wp:docPr id="21" name="直接连接符 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03.85pt;margin-top:5.7pt;height:31.2pt;width:0pt;z-index:251833344;mso-width-relative:page;mso-height-relative:page;" filled="f" stroked="t" coordsize="21600,21600" o:gfxdata="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a07Q2AAAAAkB&#10;AAAPAAAAAAAAAAEAIAAAACIAAABkcnMvZG93bnJldi54bWxQSwECFAAUAAAACACHTuJA9Umh2+IB&#10;AACbAwAADgAAAAAAAAABACAAAAAnAQAAZHJzL2Uyb0RvYy54bWxQSwUGAAAAAAYABgBZAQAAewUA&#10;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2320" behindDoc="0" locked="0" layoutInCell="1" allowOverlap="1">
                <wp:simplePos x="0" y="0"/>
                <wp:positionH relativeFrom="column">
                  <wp:posOffset>4114165</wp:posOffset>
                </wp:positionH>
                <wp:positionV relativeFrom="paragraph">
                  <wp:posOffset>53340</wp:posOffset>
                </wp:positionV>
                <wp:extent cx="0" cy="396240"/>
                <wp:effectExtent l="38100" t="0" r="38100" b="3810"/>
                <wp:wrapNone/>
                <wp:docPr id="13" name="直接连接符 1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3.95pt;margin-top:4.2pt;height:31.2pt;width:0pt;z-index:251832320;mso-width-relative:page;mso-height-relative:page;" filled="f" stroked="t" coordsize="21600,21600" o:gfxdata="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VgdPzXAAAACAEA&#10;AA8AAAAAAAAAAQAgAAAAIgAAAGRycy9kb3ducmV2LnhtbFBLAQIUABQAAAAIAIdO4kAWCkra4gEA&#10;AJs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1296" behindDoc="0" locked="0" layoutInCell="1" allowOverlap="1">
                <wp:simplePos x="0" y="0"/>
                <wp:positionH relativeFrom="column">
                  <wp:posOffset>2971800</wp:posOffset>
                </wp:positionH>
                <wp:positionV relativeFrom="paragraph">
                  <wp:posOffset>45720</wp:posOffset>
                </wp:positionV>
                <wp:extent cx="0" cy="396240"/>
                <wp:effectExtent l="38100" t="0" r="38100" b="3810"/>
                <wp:wrapNone/>
                <wp:docPr id="22" name="直接连接符 2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4pt;margin-top:3.6pt;height:31.2pt;width:0pt;z-index:251831296;mso-width-relative:page;mso-height-relative:page;" filled="f" stroked="t" coordsize="21600,21600" o:gfxdata="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zPZBjXAAAACAEA&#10;AA8AAAAAAAAAAQAgAAAAIgAAAGRycy9kb3ducmV2LnhtbFBLAQIUABQAAAAIAIdO4kBjAFgi4gEA&#10;AJs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30272" behindDoc="0" locked="0" layoutInCell="1" allowOverlap="1">
                <wp:simplePos x="0" y="0"/>
                <wp:positionH relativeFrom="column">
                  <wp:posOffset>441960</wp:posOffset>
                </wp:positionH>
                <wp:positionV relativeFrom="paragraph">
                  <wp:posOffset>95250</wp:posOffset>
                </wp:positionV>
                <wp:extent cx="0" cy="396240"/>
                <wp:effectExtent l="38100" t="0" r="38100" b="3810"/>
                <wp:wrapNone/>
                <wp:docPr id="4" name="直接连接符 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8pt;margin-top:7.5pt;height:31.2pt;width:0pt;z-index:251830272;mso-width-relative:page;mso-height-relative:page;" filled="f" stroked="t" coordsize="21600,21600" o:gfxdata="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dyl29cAAAAHAQAA&#10;DwAAAAAAAAABACAAAAAiAAAAZHJzL2Rvd25yZXYueG1sUEsBAhQAFAAAAAgAh07iQO5aQ6nhAQAA&#10;mQ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29248" behindDoc="0" locked="0" layoutInCell="1" allowOverlap="1">
                <wp:simplePos x="0" y="0"/>
                <wp:positionH relativeFrom="column">
                  <wp:posOffset>1732915</wp:posOffset>
                </wp:positionH>
                <wp:positionV relativeFrom="paragraph">
                  <wp:posOffset>85725</wp:posOffset>
                </wp:positionV>
                <wp:extent cx="0" cy="396240"/>
                <wp:effectExtent l="38100" t="0" r="38100" b="3810"/>
                <wp:wrapNone/>
                <wp:docPr id="8" name="直接连接符 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6.45pt;margin-top:6.75pt;height:31.2pt;width:0pt;z-index:251829248;mso-width-relative:page;mso-height-relative:page;" filled="f" stroked="t" coordsize="21600,21600" o:gfxdata="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i0662QAAAAkB&#10;AAAPAAAAAAAAAAEAIAAAACIAAABkcnMvZG93bnJldi54bWxQSwECFAAUAAAACACHTuJADcFJZOEB&#10;AACZAwAADgAAAAAAAAABACAAAAAo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4368" behindDoc="0" locked="0" layoutInCell="1" allowOverlap="1">
                <wp:simplePos x="0" y="0"/>
                <wp:positionH relativeFrom="column">
                  <wp:posOffset>3086100</wp:posOffset>
                </wp:positionH>
                <wp:positionV relativeFrom="paragraph">
                  <wp:posOffset>259080</wp:posOffset>
                </wp:positionV>
                <wp:extent cx="1828800" cy="297180"/>
                <wp:effectExtent l="4445" t="4445" r="14605" b="22225"/>
                <wp:wrapNone/>
                <wp:docPr id="5" name="矩形 5"/>
                <wp:cNvGraphicFramePr/>
                <a:graphic xmlns:a="http://schemas.openxmlformats.org/drawingml/2006/main">
                  <a:graphicData uri="http://schemas.microsoft.com/office/word/2010/wordprocessingShape">
                    <wps:wsp>
                      <wps:cNvSpPr/>
                      <wps:spPr>
                        <a:xfrm>
                          <a:off x="0" y="0"/>
                          <a:ext cx="1828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物料烘干</w:t>
                            </w:r>
                            <w:r>
                              <w:rPr>
                                <w:rFonts w:hint="eastAsia" w:ascii="宋体" w:hAnsi="宋体"/>
                                <w:sz w:val="21"/>
                                <w:szCs w:val="21"/>
                              </w:rPr>
                              <w:t>※</w:t>
                            </w:r>
                            <w:r>
                              <w:rPr>
                                <w:rFonts w:hint="eastAsia"/>
                              </w:rPr>
                              <w:t>（SO</w:t>
                            </w:r>
                            <w:r>
                              <w:rPr>
                                <w:rFonts w:hint="eastAsia"/>
                                <w:vertAlign w:val="subscript"/>
                              </w:rPr>
                              <w:t>2</w:t>
                            </w:r>
                            <w:r>
                              <w:rPr>
                                <w:rFonts w:hint="eastAsia"/>
                              </w:rPr>
                              <w:t>、NO</w:t>
                            </w:r>
                            <w:r>
                              <w:rPr>
                                <w:rFonts w:hint="eastAsia"/>
                                <w:vertAlign w:val="subscript"/>
                              </w:rPr>
                              <w:t>x</w:t>
                            </w:r>
                            <w:r>
                              <w:rPr>
                                <w:rFonts w:hint="eastAsia"/>
                              </w:rPr>
                              <w:t>）</w:t>
                            </w:r>
                          </w:p>
                        </w:txbxContent>
                      </wps:txbx>
                      <wps:bodyPr upright="1"/>
                    </wps:wsp>
                  </a:graphicData>
                </a:graphic>
              </wp:anchor>
            </w:drawing>
          </mc:Choice>
          <mc:Fallback>
            <w:pict>
              <v:rect id="_x0000_s1026" o:spid="_x0000_s1026" o:spt="1" style="position:absolute;left:0pt;margin-left:243pt;margin-top:20.4pt;height:23.4pt;width:144pt;z-index:251834368;mso-width-relative:page;mso-height-relative:page;" fillcolor="#FFFFFF" filled="t" stroked="t" coordsize="21600,21600" o:gfxdata="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XDYATX&#10;AAAACQEAAA8AAAAAAAAAAQAgAAAAIgAAAGRycy9kb3ducmV2LnhtbFBLAQIUABQAAAAIAIdO4kA+&#10;2yXj6AEAANsDAAAOAAAAAAAAAAEAIAAAACYBAABkcnMvZTJvRG9jLnhtbFBLBQYAAAAABgAGAFkB&#10;AACABQAAAAA=&#10;">
                <v:fill on="t" focussize="0,0"/>
                <v:stroke color="#000000" joinstyle="miter"/>
                <v:imagedata o:title=""/>
                <o:lock v:ext="edit" aspectratio="f"/>
                <v:textbox>
                  <w:txbxContent>
                    <w:p>
                      <w:pPr>
                        <w:rPr>
                          <w:rFonts w:hint="eastAsia"/>
                          <w:sz w:val="21"/>
                          <w:szCs w:val="21"/>
                        </w:rPr>
                      </w:pPr>
                      <w:r>
                        <w:rPr>
                          <w:rFonts w:hint="eastAsia"/>
                          <w:sz w:val="21"/>
                          <w:szCs w:val="21"/>
                        </w:rPr>
                        <w:t>物料烘干</w:t>
                      </w:r>
                      <w:r>
                        <w:rPr>
                          <w:rFonts w:hint="eastAsia" w:ascii="宋体" w:hAnsi="宋体"/>
                          <w:sz w:val="21"/>
                          <w:szCs w:val="21"/>
                        </w:rPr>
                        <w:t>※</w:t>
                      </w:r>
                      <w:r>
                        <w:rPr>
                          <w:rFonts w:hint="eastAsia"/>
                        </w:rPr>
                        <w:t>（SO</w:t>
                      </w:r>
                      <w:r>
                        <w:rPr>
                          <w:rFonts w:hint="eastAsia"/>
                          <w:vertAlign w:val="subscript"/>
                        </w:rPr>
                        <w:t>2</w:t>
                      </w:r>
                      <w:r>
                        <w:rPr>
                          <w:rFonts w:hint="eastAsia"/>
                        </w:rPr>
                        <w:t>、NO</w:t>
                      </w:r>
                      <w:r>
                        <w:rPr>
                          <w:rFonts w:hint="eastAsia"/>
                          <w:vertAlign w:val="subscript"/>
                        </w:rPr>
                        <w:t>x</w:t>
                      </w:r>
                      <w:r>
                        <w:rPr>
                          <w:rFonts w:hint="eastAsia"/>
                        </w:rPr>
                        <w:t>）</w:t>
                      </w:r>
                    </w:p>
                  </w:txbxContent>
                </v:textbox>
              </v:rect>
            </w:pict>
          </mc:Fallback>
        </mc:AlternateContent>
      </w:r>
      <w:r>
        <w:rPr>
          <w:rFonts w:hint="eastAsia" w:ascii="宋体" w:hAnsi="宋体"/>
        </w:rPr>
        <mc:AlternateContent>
          <mc:Choice Requires="wps">
            <w:drawing>
              <wp:anchor distT="0" distB="0" distL="114300" distR="114300" simplePos="0" relativeHeight="251803648" behindDoc="0" locked="0" layoutInCell="1" allowOverlap="1">
                <wp:simplePos x="0" y="0"/>
                <wp:positionH relativeFrom="column">
                  <wp:posOffset>2057400</wp:posOffset>
                </wp:positionH>
                <wp:positionV relativeFrom="paragraph">
                  <wp:posOffset>160020</wp:posOffset>
                </wp:positionV>
                <wp:extent cx="0" cy="396240"/>
                <wp:effectExtent l="38100" t="0" r="38100" b="3810"/>
                <wp:wrapNone/>
                <wp:docPr id="23" name="直接连接符 2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2.6pt;height:31.2pt;width:0pt;z-index:251803648;mso-width-relative:page;mso-height-relative:page;" filled="f" stroked="t" coordsize="21600,21600" o:gfxdata="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NpCltkAAAAJ&#10;AQAADwAAAAAAAAABACAAAAAiAAAAZHJzL2Rvd25yZXYueG1sUEsBAhQAFAAAAAgAh07iQC7F38Pi&#10;AQAAmw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8768" behindDoc="0" locked="0" layoutInCell="1" allowOverlap="1">
                <wp:simplePos x="0" y="0"/>
                <wp:positionH relativeFrom="column">
                  <wp:posOffset>457200</wp:posOffset>
                </wp:positionH>
                <wp:positionV relativeFrom="paragraph">
                  <wp:posOffset>160020</wp:posOffset>
                </wp:positionV>
                <wp:extent cx="4686300" cy="0"/>
                <wp:effectExtent l="0" t="0" r="0" b="0"/>
                <wp:wrapNone/>
                <wp:docPr id="24" name="直接连接符 24"/>
                <wp:cNvGraphicFramePr/>
                <a:graphic xmlns:a="http://schemas.openxmlformats.org/drawingml/2006/main">
                  <a:graphicData uri="http://schemas.microsoft.com/office/word/2010/wordprocessingShape">
                    <wps:wsp>
                      <wps:cNvCnPr/>
                      <wps:spPr>
                        <a:xfrm>
                          <a:off x="0" y="0"/>
                          <a:ext cx="4686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6pt;margin-top:12.6pt;height:0pt;width:369pt;z-index:251808768;mso-width-relative:page;mso-height-relative:page;" filled="f" stroked="t" coordsize="21600,21600" o:gfxdata="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VDyS9UAAAAIAQAADwAAAAAA&#10;AAABACAAAAAiAAAAZHJzL2Rvd25yZXYueG1sUEsBAhQAFAAAAAgAh07iQLw9VR3dAQAAmAMAAA4A&#10;AAAAAAAAAQAgAAAAJAEAAGRycy9lMm9Eb2MueG1sUEsFBgAAAAAGAAYAWQEAAHMFAAAAAA==&#10;">
                <v:fill on="f" focussize="0,0"/>
                <v:stroke color="#000000" joinstyle="round"/>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5392" behindDoc="0" locked="0" layoutInCell="1" allowOverlap="1">
                <wp:simplePos x="0" y="0"/>
                <wp:positionH relativeFrom="column">
                  <wp:posOffset>2033270</wp:posOffset>
                </wp:positionH>
                <wp:positionV relativeFrom="paragraph">
                  <wp:posOffset>51435</wp:posOffset>
                </wp:positionV>
                <wp:extent cx="1028700" cy="0"/>
                <wp:effectExtent l="0" t="38100" r="0" b="38100"/>
                <wp:wrapNone/>
                <wp:docPr id="6" name="直接连接符 6"/>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0.1pt;margin-top:4.05pt;height:0pt;width:81pt;z-index:251835392;mso-width-relative:page;mso-height-relative:page;" filled="f" stroked="t" coordsize="21600,21600" o:gfxdata="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lE/HjV&#10;AAAABwEAAA8AAAAAAAAAAQAgAAAAIgAAAGRycy9kb3ducmV2LnhtbFBLAQIUABQAAAAIAIdO4kA0&#10;RIhZ6gEAAKQDAAAOAAAAAAAAAAEAIAAAACQBAABkcnMvZTJvRG9jLnhtbFBLBQYAAAAABgAGAFkB&#10;AACABQ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9792" behindDoc="0" locked="0" layoutInCell="1" allowOverlap="1">
                <wp:simplePos x="0" y="0"/>
                <wp:positionH relativeFrom="column">
                  <wp:posOffset>1714500</wp:posOffset>
                </wp:positionH>
                <wp:positionV relativeFrom="paragraph">
                  <wp:posOffset>251460</wp:posOffset>
                </wp:positionV>
                <wp:extent cx="914400" cy="297180"/>
                <wp:effectExtent l="4445" t="4445" r="14605" b="22225"/>
                <wp:wrapNone/>
                <wp:docPr id="9" name="矩形 9"/>
                <wp:cNvGraphicFramePr/>
                <a:graphic xmlns:a="http://schemas.openxmlformats.org/drawingml/2006/main">
                  <a:graphicData uri="http://schemas.microsoft.com/office/word/2010/wordprocessingShape">
                    <wps:wsp>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生料磨＃△△</w:t>
                            </w:r>
                          </w:p>
                        </w:txbxContent>
                      </wps:txbx>
                      <wps:bodyPr upright="1"/>
                    </wps:wsp>
                  </a:graphicData>
                </a:graphic>
              </wp:anchor>
            </w:drawing>
          </mc:Choice>
          <mc:Fallback>
            <w:pict>
              <v:rect id="_x0000_s1026" o:spid="_x0000_s1026" o:spt="1" style="position:absolute;left:0pt;margin-left:135pt;margin-top:19.8pt;height:23.4pt;width:72pt;z-index:251809792;mso-width-relative:page;mso-height-relative:page;" fillcolor="#FFFFFF" filled="t" stroked="t" coordsize="21600,21600" o:gfxdata="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73k8M&#10;2AAAAAkBAAAPAAAAAAAAAAEAIAAAACIAAABkcnMvZG93bnJldi54bWxQSwECFAAUAAAACACHTuJA&#10;QDMLn+gBAADaAwAADgAAAAAAAAABACAAAAAn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生料磨＃△△</w:t>
                      </w:r>
                    </w:p>
                  </w:txbxContent>
                </v:textbox>
              </v:rect>
            </w:pict>
          </mc:Fallback>
        </mc:AlternateContent>
      </w:r>
      <w:r>
        <w:rPr>
          <w:rFonts w:hint="eastAsia" w:ascii="宋体" w:hAnsi="宋体"/>
        </w:rPr>
        <mc:AlternateContent>
          <mc:Choice Requires="wps">
            <w:drawing>
              <wp:anchor distT="0" distB="0" distL="114300" distR="114300" simplePos="0" relativeHeight="251814912" behindDoc="0" locked="0" layoutInCell="1" allowOverlap="1">
                <wp:simplePos x="0" y="0"/>
                <wp:positionH relativeFrom="column">
                  <wp:posOffset>475615</wp:posOffset>
                </wp:positionH>
                <wp:positionV relativeFrom="paragraph">
                  <wp:posOffset>233045</wp:posOffset>
                </wp:positionV>
                <wp:extent cx="800100" cy="297180"/>
                <wp:effectExtent l="4445" t="4445" r="14605" b="22225"/>
                <wp:wrapNone/>
                <wp:docPr id="10" name="矩形 10"/>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石膏</w:t>
                            </w:r>
                          </w:p>
                        </w:txbxContent>
                      </wps:txbx>
                      <wps:bodyPr upright="1"/>
                    </wps:wsp>
                  </a:graphicData>
                </a:graphic>
              </wp:anchor>
            </w:drawing>
          </mc:Choice>
          <mc:Fallback>
            <w:pict>
              <v:rect id="_x0000_s1026" o:spid="_x0000_s1026" o:spt="1" style="position:absolute;left:0pt;margin-left:37.45pt;margin-top:18.35pt;height:23.4pt;width:63pt;z-index:251814912;mso-width-relative:page;mso-height-relative:page;" fillcolor="#FFFFFF" filled="t" stroked="t" coordsize="21600,21600" o:gfxdata="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4BFgvX&#10;AAAACAEAAA8AAAAAAAAAAQAgAAAAIgAAAGRycy9kb3ducmV2LnhtbFBLAQIUABQAAAAIAIdO4kAs&#10;0LqQ6AEAANwDAAAOAAAAAAAAAAEAIAAAACYBAABkcnMvZTJvRG9jLnhtbFBLBQYAAAAABgAGAFkB&#10;AACABQAAAAA=&#10;">
                <v:fill on="t" focussize="0,0"/>
                <v:stroke color="#000000" joinstyle="miter"/>
                <v:imagedata o:title=""/>
                <o:lock v:ext="edit" aspectratio="f"/>
                <v:textbox>
                  <w:txbxContent>
                    <w:p>
                      <w:pPr>
                        <w:jc w:val="center"/>
                        <w:rPr>
                          <w:rFonts w:hint="eastAsia"/>
                          <w:sz w:val="21"/>
                          <w:szCs w:val="21"/>
                        </w:rPr>
                      </w:pPr>
                      <w:r>
                        <w:rPr>
                          <w:rFonts w:hint="eastAsia"/>
                          <w:sz w:val="21"/>
                          <w:szCs w:val="21"/>
                        </w:rPr>
                        <w:t>石膏</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06720" behindDoc="0" locked="0" layoutInCell="1" allowOverlap="1">
                <wp:simplePos x="0" y="0"/>
                <wp:positionH relativeFrom="column">
                  <wp:posOffset>789940</wp:posOffset>
                </wp:positionH>
                <wp:positionV relativeFrom="paragraph">
                  <wp:posOffset>231140</wp:posOffset>
                </wp:positionV>
                <wp:extent cx="0" cy="396240"/>
                <wp:effectExtent l="38100" t="0" r="38100" b="3810"/>
                <wp:wrapNone/>
                <wp:docPr id="12" name="直接连接符 1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2pt;margin-top:18.2pt;height:31.2pt;width:0pt;z-index:251806720;mso-width-relative:page;mso-height-relative:page;" filled="f" stroked="t" coordsize="21600,21600" o:gfxdata="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CBnNkAAAAJ&#10;AQAADwAAAAAAAAABACAAAAAiAAAAZHJzL2Rvd25yZXYueG1sUEsBAhQAFAAAAAgAh07iQFvPzTvi&#10;AQAAmw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4672" behindDoc="0" locked="0" layoutInCell="1" allowOverlap="1">
                <wp:simplePos x="0" y="0"/>
                <wp:positionH relativeFrom="column">
                  <wp:posOffset>2057400</wp:posOffset>
                </wp:positionH>
                <wp:positionV relativeFrom="paragraph">
                  <wp:posOffset>243840</wp:posOffset>
                </wp:positionV>
                <wp:extent cx="0" cy="396240"/>
                <wp:effectExtent l="38100" t="0" r="38100" b="3810"/>
                <wp:wrapNone/>
                <wp:docPr id="46" name="直接连接符 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62pt;margin-top:19.2pt;height:31.2pt;width:0pt;z-index:251804672;mso-width-relative:page;mso-height-relative:page;" filled="f" stroked="t" coordsize="21600,21600" o:gfxdata="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n9b12AAAAAoB&#10;AAAPAAAAAAAAAAEAIAAAACIAAABkcnMvZG93bnJldi54bWxQSwECFAAUAAAACACHTuJApYeOIe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3888" behindDoc="0" locked="0" layoutInCell="1" allowOverlap="1">
                <wp:simplePos x="0" y="0"/>
                <wp:positionH relativeFrom="column">
                  <wp:posOffset>3390265</wp:posOffset>
                </wp:positionH>
                <wp:positionV relativeFrom="paragraph">
                  <wp:posOffset>59055</wp:posOffset>
                </wp:positionV>
                <wp:extent cx="685800" cy="297180"/>
                <wp:effectExtent l="4445" t="4445" r="14605" b="22225"/>
                <wp:wrapNone/>
                <wp:docPr id="49" name="矩形 49"/>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混合材</w:t>
                            </w:r>
                          </w:p>
                        </w:txbxContent>
                      </wps:txbx>
                      <wps:bodyPr upright="1"/>
                    </wps:wsp>
                  </a:graphicData>
                </a:graphic>
              </wp:anchor>
            </w:drawing>
          </mc:Choice>
          <mc:Fallback>
            <w:pict>
              <v:rect id="_x0000_s1026" o:spid="_x0000_s1026" o:spt="1" style="position:absolute;left:0pt;margin-left:266.95pt;margin-top:4.65pt;height:23.4pt;width:54pt;z-index:251813888;mso-width-relative:page;mso-height-relative:page;" fillcolor="#FFFFFF" filled="t" stroked="t" coordsize="21600,21600" o:gfxdata="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xtB&#10;KNYAAAAIAQAADwAAAAAAAAABACAAAAAiAAAAZHJzL2Rvd25yZXYueG1sUEsBAhQAFAAAAAgAh07i&#10;QNIPvtDrAQAA3AMAAA4AAAAAAAAAAQAgAAAAJQEAAGRycy9lMm9Eb2MueG1sUEsFBgAAAAAGAAYA&#10;WQEAAIIFAAAAAA==&#10;">
                <v:fill on="t" focussize="0,0"/>
                <v:stroke color="#000000" joinstyle="miter"/>
                <v:imagedata o:title=""/>
                <o:lock v:ext="edit" aspectratio="f"/>
                <v:textbox>
                  <w:txbxContent>
                    <w:p>
                      <w:pPr>
                        <w:jc w:val="center"/>
                        <w:rPr>
                          <w:rFonts w:hint="eastAsia"/>
                          <w:sz w:val="21"/>
                          <w:szCs w:val="21"/>
                        </w:rPr>
                      </w:pPr>
                      <w:r>
                        <w:rPr>
                          <w:rFonts w:hint="eastAsia"/>
                          <w:sz w:val="21"/>
                          <w:szCs w:val="21"/>
                        </w:rPr>
                        <w:t>混合材</w:t>
                      </w:r>
                    </w:p>
                  </w:txbxContent>
                </v:textbox>
              </v:rect>
            </w:pict>
          </mc:Fallback>
        </mc:AlternateContent>
      </w:r>
      <w:r>
        <w:rPr>
          <w:rFonts w:hint="eastAsia" w:ascii="宋体" w:hAnsi="宋体"/>
        </w:rPr>
        <mc:AlternateContent>
          <mc:Choice Requires="wps">
            <w:drawing>
              <wp:anchor distT="0" distB="0" distL="114300" distR="114300" simplePos="0" relativeHeight="251810816" behindDoc="0" locked="0" layoutInCell="1" allowOverlap="1">
                <wp:simplePos x="0" y="0"/>
                <wp:positionH relativeFrom="column">
                  <wp:posOffset>1551305</wp:posOffset>
                </wp:positionH>
                <wp:positionV relativeFrom="paragraph">
                  <wp:posOffset>31750</wp:posOffset>
                </wp:positionV>
                <wp:extent cx="1420495" cy="332740"/>
                <wp:effectExtent l="4445" t="4445" r="22860" b="5715"/>
                <wp:wrapNone/>
                <wp:docPr id="38" name="矩形 38"/>
                <wp:cNvGraphicFramePr/>
                <a:graphic xmlns:a="http://schemas.openxmlformats.org/drawingml/2006/main">
                  <a:graphicData uri="http://schemas.microsoft.com/office/word/2010/wordprocessingShape">
                    <wps:wsp>
                      <wps:cNvSpPr/>
                      <wps:spPr>
                        <a:xfrm>
                          <a:off x="0" y="0"/>
                          <a:ext cx="1420495" cy="3327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煅烧</w:t>
                            </w:r>
                            <w:r>
                              <w:rPr>
                                <w:rFonts w:hint="eastAsia" w:ascii="宋体" w:hAnsi="宋体"/>
                                <w:sz w:val="21"/>
                                <w:szCs w:val="21"/>
                              </w:rPr>
                              <w:t>※</w:t>
                            </w:r>
                            <w:r>
                              <w:rPr>
                                <w:rFonts w:hint="eastAsia"/>
                                <w:sz w:val="21"/>
                                <w:szCs w:val="21"/>
                              </w:rPr>
                              <w:t>（SO</w:t>
                            </w:r>
                            <w:r>
                              <w:rPr>
                                <w:rFonts w:hint="eastAsia"/>
                                <w:sz w:val="21"/>
                                <w:szCs w:val="21"/>
                                <w:vertAlign w:val="subscript"/>
                              </w:rPr>
                              <w:t>2</w:t>
                            </w:r>
                            <w:r>
                              <w:rPr>
                                <w:rFonts w:hint="eastAsia"/>
                                <w:sz w:val="21"/>
                                <w:szCs w:val="21"/>
                              </w:rPr>
                              <w:t>、NOx）</w:t>
                            </w:r>
                          </w:p>
                          <w:p/>
                        </w:txbxContent>
                      </wps:txbx>
                      <wps:bodyPr upright="1"/>
                    </wps:wsp>
                  </a:graphicData>
                </a:graphic>
              </wp:anchor>
            </w:drawing>
          </mc:Choice>
          <mc:Fallback>
            <w:pict>
              <v:rect id="_x0000_s1026" o:spid="_x0000_s1026" o:spt="1" style="position:absolute;left:0pt;margin-left:122.15pt;margin-top:2.5pt;height:26.2pt;width:111.85pt;z-index:251810816;mso-width-relative:page;mso-height-relative:page;" fillcolor="#FFFFFF" filled="t" stroked="t" coordsize="21600,21600" o:gfxdata="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aZ3O&#10;1gAAAAgBAAAPAAAAAAAAAAEAIAAAACIAAABkcnMvZG93bnJldi54bWxQSwECFAAUAAAACACHTuJA&#10;0k9ly+oBAADdAwAADgAAAAAAAAABACAAAAAl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煅烧</w:t>
                      </w:r>
                      <w:r>
                        <w:rPr>
                          <w:rFonts w:hint="eastAsia" w:ascii="宋体" w:hAnsi="宋体"/>
                          <w:sz w:val="21"/>
                          <w:szCs w:val="21"/>
                        </w:rPr>
                        <w:t>※</w:t>
                      </w:r>
                      <w:r>
                        <w:rPr>
                          <w:rFonts w:hint="eastAsia"/>
                          <w:sz w:val="21"/>
                          <w:szCs w:val="21"/>
                        </w:rPr>
                        <w:t>（SO</w:t>
                      </w:r>
                      <w:r>
                        <w:rPr>
                          <w:rFonts w:hint="eastAsia"/>
                          <w:sz w:val="21"/>
                          <w:szCs w:val="21"/>
                          <w:vertAlign w:val="subscript"/>
                        </w:rPr>
                        <w:t>2</w:t>
                      </w:r>
                      <w:r>
                        <w:rPr>
                          <w:rFonts w:hint="eastAsia"/>
                          <w:sz w:val="21"/>
                          <w:szCs w:val="21"/>
                        </w:rPr>
                        <w:t>、NOx）</w:t>
                      </w:r>
                    </w:p>
                    <w:p/>
                  </w:txbxContent>
                </v:textbox>
              </v:rect>
            </w:pict>
          </mc:Fallback>
        </mc:AlternateContent>
      </w:r>
      <w:r>
        <w:rPr>
          <w:rFonts w:hint="eastAsia" w:ascii="宋体" w:hAnsi="宋体"/>
        </w:rPr>
        <mc:AlternateContent>
          <mc:Choice Requires="wps">
            <w:drawing>
              <wp:anchor distT="0" distB="0" distL="114300" distR="114300" simplePos="0" relativeHeight="251815936" behindDoc="0" locked="0" layoutInCell="1" allowOverlap="1">
                <wp:simplePos x="0" y="0"/>
                <wp:positionH relativeFrom="column">
                  <wp:posOffset>398780</wp:posOffset>
                </wp:positionH>
                <wp:positionV relativeFrom="paragraph">
                  <wp:posOffset>16510</wp:posOffset>
                </wp:positionV>
                <wp:extent cx="800100" cy="297180"/>
                <wp:effectExtent l="4445" t="4445" r="14605" b="22225"/>
                <wp:wrapNone/>
                <wp:docPr id="42" name="矩形 42"/>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31.4pt;margin-top:1.3pt;height:23.4pt;width:63pt;z-index:251815936;mso-width-relative:page;mso-height-relative:page;" fillcolor="#FFFFFF" filled="t" stroked="t" coordsize="21600,21600" o:gfxdata="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ZF1eG1AAA&#10;AAcBAAAPAAAAAAAAAAEAIAAAACIAAABkcnMvZG93bnJldi54bWxQSwECFAAUAAAACACHTuJAhDQW&#10;WekBAADcAwAADgAAAAAAAAABACAAAAAjAQAAZHJzL2Uyb0RvYy54bWxQSwUGAAAAAAYABgBZAQAA&#10;fgUAAAAA&#10;">
                <v:fill on="t" focussize="0,0"/>
                <v:stroke color="#000000" joinstyle="miter"/>
                <v:imagedata o:title=""/>
                <o:lock v:ext="edit" aspectratio="f"/>
                <v:textbox>
                  <w:txbxContent>
                    <w:p>
                      <w:pPr>
                        <w:jc w:val="center"/>
                        <w:rPr>
                          <w:rFonts w:hint="eastAsia"/>
                          <w:sz w:val="21"/>
                          <w:szCs w:val="21"/>
                        </w:rPr>
                      </w:pPr>
                      <w:r>
                        <w:rPr>
                          <w:rFonts w:hint="eastAsia"/>
                          <w:sz w:val="21"/>
                          <w:szCs w:val="21"/>
                        </w:rPr>
                        <w:t>破碎</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7440" behindDoc="0" locked="0" layoutInCell="1" allowOverlap="1">
                <wp:simplePos x="0" y="0"/>
                <wp:positionH relativeFrom="column">
                  <wp:posOffset>3776345</wp:posOffset>
                </wp:positionH>
                <wp:positionV relativeFrom="paragraph">
                  <wp:posOffset>51435</wp:posOffset>
                </wp:positionV>
                <wp:extent cx="0" cy="657225"/>
                <wp:effectExtent l="4445" t="0" r="14605" b="9525"/>
                <wp:wrapNone/>
                <wp:docPr id="43" name="直接连接符 43"/>
                <wp:cNvGraphicFramePr/>
                <a:graphic xmlns:a="http://schemas.openxmlformats.org/drawingml/2006/main">
                  <a:graphicData uri="http://schemas.microsoft.com/office/word/2010/wordprocessingShape">
                    <wps:wsp>
                      <wps:cNvCnPr/>
                      <wps:spPr>
                        <a:xfrm flipH="1">
                          <a:off x="0" y="0"/>
                          <a:ext cx="0" cy="657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97.35pt;margin-top:4.05pt;height:51.75pt;width:0pt;z-index:251837440;mso-width-relative:page;mso-height-relative:page;" filled="f" stroked="t" coordsize="21600,21600" o:gfxdata="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wx03fWAAAACQEAAA8A&#10;AAAAAAAAAQAgAAAAIgAAAGRycy9kb3ducmV2LnhtbFBLAQIUABQAAAAIAIdO4kCMzlDe4AEAAKED&#10;AAAOAAAAAAAAAAEAIAAAACUBAABkcnMvZTJvRG9jLnhtbFBLBQYAAAAABgAGAFkBAAB3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836416" behindDoc="0" locked="0" layoutInCell="1" allowOverlap="1">
                <wp:simplePos x="0" y="0"/>
                <wp:positionH relativeFrom="column">
                  <wp:posOffset>737870</wp:posOffset>
                </wp:positionH>
                <wp:positionV relativeFrom="paragraph">
                  <wp:posOffset>20955</wp:posOffset>
                </wp:positionV>
                <wp:extent cx="0" cy="693420"/>
                <wp:effectExtent l="4445" t="0" r="14605" b="11430"/>
                <wp:wrapNone/>
                <wp:docPr id="52" name="直接连接符 5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1pt;margin-top:1.65pt;height:54.6pt;width:0pt;z-index:251836416;mso-width-relative:page;mso-height-relative:page;" filled="f" stroked="t" coordsize="21600,21600" o:gfxdata="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PumG3UAAAACQEAAA8AAAAAAAAA&#10;AQAgAAAAIgAAAGRycy9kb3ducmV2LnhtbFBLAQIUABQAAAAIAIdO4kBXPGGo3AEAAJcDAAAOAAAA&#10;AAAAAAEAIAAAACMBAABkcnMvZTJvRG9jLnhtbFBLBQYAAAAABgAGAFkBAABx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807744" behindDoc="0" locked="0" layoutInCell="1" allowOverlap="1">
                <wp:simplePos x="0" y="0"/>
                <wp:positionH relativeFrom="column">
                  <wp:posOffset>2037715</wp:posOffset>
                </wp:positionH>
                <wp:positionV relativeFrom="paragraph">
                  <wp:posOffset>82550</wp:posOffset>
                </wp:positionV>
                <wp:extent cx="0" cy="396240"/>
                <wp:effectExtent l="38100" t="0" r="38100" b="3810"/>
                <wp:wrapNone/>
                <wp:docPr id="50" name="直接连接符 50"/>
                <wp:cNvGraphicFramePr/>
                <a:graphic xmlns:a="http://schemas.openxmlformats.org/drawingml/2006/main">
                  <a:graphicData uri="http://schemas.microsoft.com/office/word/2010/wordprocessingShape">
                    <wps:wsp>
                      <wps:cNvCnPr/>
                      <wps:spPr>
                        <a:xfrm flipH="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0.45pt;margin-top:6.5pt;height:31.2pt;width:0pt;z-index:251807744;mso-width-relative:page;mso-height-relative:page;" filled="f" stroked="t" coordsize="21600,21600" o:gfxdata="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S5&#10;9I7YAAAACQEAAA8AAAAAAAAAAQAgAAAAIgAAAGRycy9kb3ducmV2LnhtbFBLAQIUABQAAAAIAIdO&#10;4kBO5SHi6gEAAKUDAAAOAAAAAAAAAAEAIAAAACcBAABkcnMvZTJvRG9jLnhtbFBLBQYAAAAABgAG&#10;AFkBAACDBQA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1840" behindDoc="0" locked="0" layoutInCell="1" allowOverlap="1">
                <wp:simplePos x="0" y="0"/>
                <wp:positionH relativeFrom="column">
                  <wp:posOffset>1656715</wp:posOffset>
                </wp:positionH>
                <wp:positionV relativeFrom="paragraph">
                  <wp:posOffset>194945</wp:posOffset>
                </wp:positionV>
                <wp:extent cx="972185" cy="297180"/>
                <wp:effectExtent l="4445" t="4445" r="13970" b="22225"/>
                <wp:wrapNone/>
                <wp:docPr id="27" name="矩形 27"/>
                <wp:cNvGraphicFramePr/>
                <a:graphic xmlns:a="http://schemas.openxmlformats.org/drawingml/2006/main">
                  <a:graphicData uri="http://schemas.microsoft.com/office/word/2010/wordprocessingShape">
                    <wps:wsp>
                      <wps:cNvSpPr/>
                      <wps:spPr>
                        <a:xfrm>
                          <a:off x="0" y="0"/>
                          <a:ext cx="97218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水泥磨</w:t>
                            </w:r>
                            <w:r>
                              <w:rPr>
                                <w:rFonts w:hint="eastAsia" w:ascii="宋体" w:hAnsi="宋体"/>
                                <w:sz w:val="21"/>
                                <w:szCs w:val="21"/>
                              </w:rPr>
                              <w:t>※</w:t>
                            </w:r>
                            <w:r>
                              <w:rPr>
                                <w:rFonts w:hint="eastAsia"/>
                                <w:sz w:val="21"/>
                                <w:szCs w:val="21"/>
                              </w:rPr>
                              <w:t>△</w:t>
                            </w:r>
                          </w:p>
                        </w:txbxContent>
                      </wps:txbx>
                      <wps:bodyPr upright="1"/>
                    </wps:wsp>
                  </a:graphicData>
                </a:graphic>
              </wp:anchor>
            </w:drawing>
          </mc:Choice>
          <mc:Fallback>
            <w:pict>
              <v:rect id="_x0000_s1026" o:spid="_x0000_s1026" o:spt="1" style="position:absolute;left:0pt;margin-left:130.45pt;margin-top:15.35pt;height:23.4pt;width:76.55pt;z-index:251811840;mso-width-relative:page;mso-height-relative:page;" fillcolor="#FFFFFF" filled="t" stroked="t" coordsize="21600,21600" o:gfxdata="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f4ijk&#10;2AAAAAkBAAAPAAAAAAAAAAEAIAAAACIAAABkcnMvZG93bnJldi54bWxQSwECFAAUAAAACACHTuJA&#10;zXcH1egBAADcAwAADgAAAAAAAAABACAAAAAnAQAAZHJzL2Uyb0RvYy54bWxQSwUGAAAAAAYABgBZ&#10;AQAAgQUAAAAA&#10;">
                <v:fill on="t" focussize="0,0"/>
                <v:stroke color="#000000" joinstyle="miter"/>
                <v:imagedata o:title=""/>
                <o:lock v:ext="edit" aspectratio="f"/>
                <v:textbox>
                  <w:txbxContent>
                    <w:p>
                      <w:pPr>
                        <w:rPr>
                          <w:rFonts w:hint="eastAsia"/>
                          <w:sz w:val="21"/>
                          <w:szCs w:val="21"/>
                        </w:rPr>
                      </w:pPr>
                      <w:r>
                        <w:rPr>
                          <w:rFonts w:hint="eastAsia"/>
                          <w:sz w:val="21"/>
                          <w:szCs w:val="21"/>
                        </w:rPr>
                        <w:t>水泥磨</w:t>
                      </w:r>
                      <w:r>
                        <w:rPr>
                          <w:rFonts w:hint="eastAsia" w:ascii="宋体" w:hAnsi="宋体"/>
                          <w:sz w:val="21"/>
                          <w:szCs w:val="21"/>
                        </w:rPr>
                        <w:t>※</w:t>
                      </w:r>
                      <w:r>
                        <w:rPr>
                          <w:rFonts w:hint="eastAsia"/>
                          <w:sz w:val="21"/>
                          <w:szCs w:val="21"/>
                        </w:rPr>
                        <w:t>△</w:t>
                      </w:r>
                    </w:p>
                  </w:txbxContent>
                </v:textbox>
              </v:rect>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38464" behindDoc="0" locked="0" layoutInCell="1" allowOverlap="1">
                <wp:simplePos x="0" y="0"/>
                <wp:positionH relativeFrom="column">
                  <wp:posOffset>2628900</wp:posOffset>
                </wp:positionH>
                <wp:positionV relativeFrom="paragraph">
                  <wp:posOffset>106680</wp:posOffset>
                </wp:positionV>
                <wp:extent cx="1143000" cy="0"/>
                <wp:effectExtent l="0" t="38100" r="0" b="38100"/>
                <wp:wrapNone/>
                <wp:docPr id="25" name="直接连接符 25"/>
                <wp:cNvGraphicFramePr/>
                <a:graphic xmlns:a="http://schemas.openxmlformats.org/drawingml/2006/main">
                  <a:graphicData uri="http://schemas.microsoft.com/office/word/2010/wordprocessingShape">
                    <wps:wsp>
                      <wps:cNvCnPr/>
                      <wps:spPr>
                        <a:xfrm flipH="1">
                          <a:off x="0" y="0"/>
                          <a:ext cx="11430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pt;margin-top:8.4pt;height:0pt;width:90pt;z-index:251838464;mso-width-relative:page;mso-height-relative:page;" filled="f" stroked="t" coordsize="21600,21600" o:gfxdata="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wBy&#10;h9cAAAAJAQAADwAAAAAAAAABACAAAAAiAAAAZHJzL2Rvd25yZXYueG1sUEsBAhQAFAAAAAgAh07i&#10;QPudQanqAQAApgMAAA4AAAAAAAAAAQAgAAAAJgEAAGRycy9lMm9Eb2MueG1sUEsFBgAAAAAGAAYA&#10;WQEAAIIF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16960" behindDoc="0" locked="0" layoutInCell="1" allowOverlap="1">
                <wp:simplePos x="0" y="0"/>
                <wp:positionH relativeFrom="column">
                  <wp:posOffset>742315</wp:posOffset>
                </wp:positionH>
                <wp:positionV relativeFrom="paragraph">
                  <wp:posOffset>109220</wp:posOffset>
                </wp:positionV>
                <wp:extent cx="914400" cy="0"/>
                <wp:effectExtent l="0" t="38100" r="0" b="38100"/>
                <wp:wrapNone/>
                <wp:docPr id="39" name="直接连接符 39"/>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5pt;margin-top:8.6pt;height:0pt;width:72pt;z-index:251816960;mso-width-relative:page;mso-height-relative:page;" filled="f" stroked="t" coordsize="21600,21600" o:gfxdata="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dxB/dcAAAAJAQAA&#10;DwAAAAAAAAABACAAAAAiAAAAZHJzL2Rvd25yZXYueG1sUEsBAhQAFAAAAAgAh07iQO/0slfhAQAA&#10;mwMAAA4AAAAAAAAAAQAgAAAAJg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805696" behindDoc="0" locked="0" layoutInCell="1" allowOverlap="1">
                <wp:simplePos x="0" y="0"/>
                <wp:positionH relativeFrom="column">
                  <wp:posOffset>2009140</wp:posOffset>
                </wp:positionH>
                <wp:positionV relativeFrom="paragraph">
                  <wp:posOffset>191135</wp:posOffset>
                </wp:positionV>
                <wp:extent cx="0" cy="297180"/>
                <wp:effectExtent l="38100" t="0" r="38100" b="7620"/>
                <wp:wrapNone/>
                <wp:docPr id="41" name="直接连接符 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2pt;margin-top:15.05pt;height:23.4pt;width:0pt;z-index:251805696;mso-width-relative:page;mso-height-relative:page;" filled="f" stroked="t" coordsize="21600,21600" o:gfxdata="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J3uGI2AAAAAkB&#10;AAAPAAAAAAAAAAEAIAAAACIAAABkcnMvZG93bnJldi54bWxQSwECFAAUAAAACACHTuJAjgcPTuIB&#10;AACbAwAADgAAAAAAAAABACAAAAAnAQAAZHJzL2Uyb0RvYy54bWxQSwUGAAAAAAYABgBZAQAAewUA&#10;AAAA&#10;">
                <v:fill on="f" focussize="0,0"/>
                <v:stroke color="#000000" joinstyle="round" endarrow="block"/>
                <v:imagedata o:title=""/>
                <o:lock v:ext="edit" aspectratio="f"/>
              </v:line>
            </w:pict>
          </mc:Fallback>
        </mc:AlternateContent>
      </w:r>
    </w:p>
    <w:p>
      <w:pPr>
        <w:spacing w:line="480" w:lineRule="exact"/>
        <w:ind w:firstLine="471"/>
        <w:rPr>
          <w:rFonts w:hint="eastAsia" w:ascii="宋体" w:hAnsi="宋体"/>
        </w:rPr>
      </w:pPr>
      <w:r>
        <w:rPr>
          <w:rFonts w:hint="eastAsia" w:ascii="宋体" w:hAnsi="宋体"/>
        </w:rPr>
        <mc:AlternateContent>
          <mc:Choice Requires="wps">
            <w:drawing>
              <wp:anchor distT="0" distB="0" distL="114300" distR="114300" simplePos="0" relativeHeight="251812864" behindDoc="0" locked="0" layoutInCell="1" allowOverlap="1">
                <wp:simplePos x="0" y="0"/>
                <wp:positionH relativeFrom="column">
                  <wp:posOffset>1675130</wp:posOffset>
                </wp:positionH>
                <wp:positionV relativeFrom="paragraph">
                  <wp:posOffset>187325</wp:posOffset>
                </wp:positionV>
                <wp:extent cx="800100" cy="297180"/>
                <wp:effectExtent l="4445" t="4445" r="14605" b="22225"/>
                <wp:wrapNone/>
                <wp:docPr id="45" name="矩形 45"/>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包装＃</w:t>
                            </w:r>
                          </w:p>
                        </w:txbxContent>
                      </wps:txbx>
                      <wps:bodyPr upright="1"/>
                    </wps:wsp>
                  </a:graphicData>
                </a:graphic>
              </wp:anchor>
            </w:drawing>
          </mc:Choice>
          <mc:Fallback>
            <w:pict>
              <v:rect id="_x0000_s1026" o:spid="_x0000_s1026" o:spt="1" style="position:absolute;left:0pt;margin-left:131.9pt;margin-top:14.75pt;height:23.4pt;width:63pt;z-index:251812864;mso-width-relative:page;mso-height-relative:page;" fillcolor="#FFFFFF" filled="t" stroked="t" coordsize="21600,21600" o:gfxdata="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P6I&#10;mdgAAAAJAQAADwAAAAAAAAABACAAAAAiAAAAZHJzL2Rvd25yZXYueG1sUEsBAhQAFAAAAAgAh07i&#10;QEb7QoDpAQAA3AMAAA4AAAAAAAAAAQAgAAAAJwEAAGRycy9lMm9Eb2MueG1sUEsFBgAAAAAGAAYA&#10;WQEAAIIFAAAAAA==&#10;">
                <v:fill on="t" focussize="0,0"/>
                <v:stroke color="#000000" joinstyle="miter"/>
                <v:imagedata o:title=""/>
                <o:lock v:ext="edit" aspectratio="f"/>
                <v:textbox>
                  <w:txbxContent>
                    <w:p>
                      <w:pPr>
                        <w:rPr>
                          <w:rFonts w:hint="eastAsia"/>
                          <w:sz w:val="21"/>
                          <w:szCs w:val="21"/>
                        </w:rPr>
                      </w:pPr>
                      <w:r>
                        <w:rPr>
                          <w:rFonts w:hint="eastAsia"/>
                          <w:sz w:val="21"/>
                          <w:szCs w:val="21"/>
                        </w:rPr>
                        <w:t>包装＃</w:t>
                      </w:r>
                    </w:p>
                  </w:txbxContent>
                </v:textbox>
              </v:rect>
            </w:pict>
          </mc:Fallback>
        </mc:AlternateContent>
      </w:r>
    </w:p>
    <w:p>
      <w:pPr>
        <w:spacing w:line="480" w:lineRule="exact"/>
        <w:ind w:firstLine="471"/>
        <w:rPr>
          <w:rFonts w:hint="eastAsia" w:ascii="宋体" w:hAnsi="宋体"/>
        </w:rPr>
      </w:pPr>
    </w:p>
    <w:p>
      <w:pPr>
        <w:spacing w:line="480" w:lineRule="exact"/>
        <w:ind w:firstLine="471"/>
        <w:rPr>
          <w:rFonts w:hint="eastAsia" w:ascii="宋体" w:hAnsi="宋体"/>
          <w:sz w:val="21"/>
          <w:szCs w:val="21"/>
        </w:rPr>
      </w:pPr>
      <w:r>
        <w:rPr>
          <w:rFonts w:hint="eastAsia" w:ascii="宋体" w:hAnsi="宋体"/>
          <w:sz w:val="21"/>
          <w:szCs w:val="21"/>
        </w:rPr>
        <w:t>注：※为产尘点，△为噪声产生点</w:t>
      </w:r>
    </w:p>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图2.2  现有水泥厂生产工艺流程</w:t>
      </w:r>
      <w:r>
        <w:rPr>
          <w:rFonts w:hint="eastAsia"/>
          <w:b/>
        </w:rPr>
        <w:t>及主要排污环节图</w:t>
      </w:r>
    </w:p>
    <w:p>
      <w:pPr>
        <w:spacing w:line="480" w:lineRule="exact"/>
        <w:rPr>
          <w:rFonts w:hint="eastAsia" w:ascii="宋体" w:hAnsi="宋体"/>
        </w:rPr>
      </w:pPr>
    </w:p>
    <w:p>
      <w:pPr>
        <w:spacing w:line="360" w:lineRule="auto"/>
        <w:outlineLvl w:val="1"/>
        <w:rPr>
          <w:rFonts w:hint="eastAsia"/>
          <w:b/>
          <w:szCs w:val="20"/>
        </w:rPr>
      </w:pPr>
      <w:bookmarkStart w:id="64" w:name="_Toc276372227"/>
      <w:bookmarkStart w:id="65" w:name="_Toc202167838"/>
      <w:r>
        <w:rPr>
          <w:rFonts w:hint="eastAsia"/>
          <w:b/>
          <w:szCs w:val="20"/>
        </w:rPr>
        <w:t>2.7 污染物产生、治理及排放情况</w:t>
      </w:r>
      <w:bookmarkEnd w:id="64"/>
      <w:bookmarkEnd w:id="65"/>
    </w:p>
    <w:p>
      <w:pPr>
        <w:spacing w:line="360" w:lineRule="auto"/>
        <w:outlineLvl w:val="2"/>
        <w:rPr>
          <w:rFonts w:hint="eastAsia"/>
          <w:b/>
          <w:bCs/>
          <w:szCs w:val="20"/>
        </w:rPr>
      </w:pPr>
      <w:r>
        <w:rPr>
          <w:rFonts w:hint="eastAsia"/>
          <w:b/>
          <w:bCs/>
          <w:szCs w:val="20"/>
        </w:rPr>
        <w:t>2.7.1 废气</w:t>
      </w:r>
    </w:p>
    <w:p>
      <w:pPr>
        <w:spacing w:line="480" w:lineRule="exact"/>
        <w:ind w:firstLine="420" w:firstLineChars="200"/>
        <w:rPr>
          <w:rFonts w:hint="eastAsia" w:ascii="宋体" w:hAnsi="宋体"/>
        </w:rPr>
      </w:pPr>
      <w:r>
        <w:rPr>
          <w:rFonts w:hint="eastAsia"/>
        </w:rPr>
        <w:t>（</w:t>
      </w:r>
      <w:r>
        <w:rPr>
          <w:rFonts w:hint="eastAsia" w:ascii="宋体" w:hAnsi="宋体"/>
        </w:rPr>
        <w:t>1）有组织排放</w:t>
      </w:r>
    </w:p>
    <w:p>
      <w:pPr>
        <w:spacing w:line="480" w:lineRule="exact"/>
        <w:ind w:firstLine="420" w:firstLineChars="200"/>
        <w:rPr>
          <w:rFonts w:hint="eastAsia" w:ascii="宋体" w:hAnsi="宋体"/>
          <w:snapToGrid w:val="0"/>
          <w:kern w:val="0"/>
        </w:rPr>
      </w:pPr>
      <w:r>
        <w:rPr>
          <w:rFonts w:hint="eastAsia" w:ascii="宋体" w:hAnsi="宋体"/>
        </w:rPr>
        <w:t>主要污染物是烟（粉）尘、SO</w:t>
      </w:r>
      <w:r>
        <w:rPr>
          <w:rFonts w:hint="eastAsia" w:ascii="宋体" w:hAnsi="宋体"/>
          <w:vertAlign w:val="subscript"/>
        </w:rPr>
        <w:t>2</w:t>
      </w:r>
      <w:r>
        <w:rPr>
          <w:rFonts w:hint="eastAsia" w:ascii="宋体" w:hAnsi="宋体"/>
        </w:rPr>
        <w:t>、NOx，粉尘产生于物料破碎、预均化、磨粉、输送、储存、装卸等生产过程，烟尘、SO</w:t>
      </w:r>
      <w:r>
        <w:rPr>
          <w:rFonts w:hint="eastAsia" w:ascii="宋体" w:hAnsi="宋体"/>
          <w:vertAlign w:val="subscript"/>
        </w:rPr>
        <w:t>2</w:t>
      </w:r>
      <w:r>
        <w:rPr>
          <w:rFonts w:hint="eastAsia" w:ascii="宋体" w:hAnsi="宋体"/>
        </w:rPr>
        <w:t>、NOx产生于窑煅烧和物料烘干工序。现有水泥厂有组织排放的污染物产生、治理、排放情况</w:t>
      </w:r>
      <w:r>
        <w:rPr>
          <w:rFonts w:hint="eastAsia" w:ascii="宋体" w:hAnsi="宋体"/>
          <w:snapToGrid w:val="0"/>
          <w:kern w:val="0"/>
        </w:rPr>
        <w:t>见表2-3。</w:t>
      </w:r>
    </w:p>
    <w:p>
      <w:pPr>
        <w:jc w:val="center"/>
        <w:rPr>
          <w:rFonts w:ascii="宋体" w:hAnsi="宋体"/>
          <w:b/>
        </w:rPr>
        <w:sectPr>
          <w:pgSz w:w="11906" w:h="16838"/>
          <w:pgMar w:top="1134" w:right="1418" w:bottom="1134" w:left="1418" w:header="851" w:footer="992" w:gutter="0"/>
          <w:paperSrc w:first="20070" w:other="20070"/>
          <w:cols w:space="425" w:num="1"/>
          <w:docGrid w:linePitch="312" w:charSpace="0"/>
        </w:sectPr>
      </w:pPr>
    </w:p>
    <w:p>
      <w:pPr>
        <w:spacing w:line="480" w:lineRule="exact"/>
        <w:jc w:val="center"/>
        <w:rPr>
          <w:rFonts w:hint="eastAsia" w:ascii="宋体" w:hAnsi="宋体"/>
          <w:b/>
        </w:rPr>
      </w:pPr>
      <w:r>
        <w:rPr>
          <w:rFonts w:hint="eastAsia" w:ascii="宋体" w:hAnsi="宋体"/>
          <w:b/>
        </w:rPr>
        <w:t>表2-3  现有水泥厂大气污染物有组织排放分析表</w:t>
      </w:r>
    </w:p>
    <w:tbl>
      <w:tblPr>
        <w:tblStyle w:val="20"/>
        <w:tblW w:w="13346"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6"/>
        <w:gridCol w:w="904"/>
        <w:gridCol w:w="921"/>
        <w:gridCol w:w="866"/>
        <w:gridCol w:w="1089"/>
        <w:gridCol w:w="1168"/>
        <w:gridCol w:w="1076"/>
        <w:gridCol w:w="1286"/>
        <w:gridCol w:w="1286"/>
        <w:gridCol w:w="1076"/>
        <w:gridCol w:w="1128"/>
        <w:gridCol w:w="10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566" w:type="dxa"/>
            <w:vMerge w:val="restart"/>
            <w:noWrap w:val="0"/>
            <w:vAlign w:val="center"/>
          </w:tcPr>
          <w:p>
            <w:pPr>
              <w:spacing w:line="240" w:lineRule="exact"/>
              <w:rPr>
                <w:sz w:val="21"/>
                <w:szCs w:val="21"/>
              </w:rPr>
            </w:pPr>
            <w:r>
              <w:rPr>
                <w:sz w:val="21"/>
                <w:szCs w:val="21"/>
              </w:rPr>
              <w:t>序</w:t>
            </w:r>
          </w:p>
          <w:p>
            <w:pPr>
              <w:spacing w:line="240" w:lineRule="exact"/>
              <w:rPr>
                <w:sz w:val="21"/>
                <w:szCs w:val="21"/>
              </w:rPr>
            </w:pPr>
            <w:r>
              <w:rPr>
                <w:sz w:val="21"/>
                <w:szCs w:val="21"/>
              </w:rPr>
              <w:t>号</w:t>
            </w:r>
          </w:p>
        </w:tc>
        <w:tc>
          <w:tcPr>
            <w:tcW w:w="904" w:type="dxa"/>
            <w:vMerge w:val="restart"/>
            <w:noWrap w:val="0"/>
            <w:vAlign w:val="center"/>
          </w:tcPr>
          <w:p>
            <w:pPr>
              <w:spacing w:line="240" w:lineRule="exact"/>
              <w:rPr>
                <w:sz w:val="21"/>
                <w:szCs w:val="21"/>
              </w:rPr>
            </w:pPr>
            <w:r>
              <w:rPr>
                <w:sz w:val="21"/>
                <w:szCs w:val="21"/>
              </w:rPr>
              <w:t>产生源</w:t>
            </w:r>
          </w:p>
        </w:tc>
        <w:tc>
          <w:tcPr>
            <w:tcW w:w="921" w:type="dxa"/>
            <w:vMerge w:val="restart"/>
            <w:noWrap w:val="0"/>
            <w:vAlign w:val="center"/>
          </w:tcPr>
          <w:p>
            <w:pPr>
              <w:spacing w:line="240" w:lineRule="exact"/>
              <w:rPr>
                <w:sz w:val="21"/>
                <w:szCs w:val="21"/>
              </w:rPr>
            </w:pPr>
            <w:r>
              <w:rPr>
                <w:sz w:val="21"/>
                <w:szCs w:val="21"/>
              </w:rPr>
              <w:t>污染物</w:t>
            </w:r>
          </w:p>
        </w:tc>
        <w:tc>
          <w:tcPr>
            <w:tcW w:w="866" w:type="dxa"/>
            <w:vMerge w:val="restart"/>
            <w:noWrap w:val="0"/>
            <w:vAlign w:val="center"/>
          </w:tcPr>
          <w:p>
            <w:pPr>
              <w:spacing w:line="240" w:lineRule="exact"/>
              <w:rPr>
                <w:sz w:val="21"/>
                <w:szCs w:val="21"/>
              </w:rPr>
            </w:pPr>
            <w:r>
              <w:rPr>
                <w:sz w:val="21"/>
                <w:szCs w:val="21"/>
              </w:rPr>
              <w:t>治理</w:t>
            </w:r>
          </w:p>
          <w:p>
            <w:pPr>
              <w:spacing w:line="240" w:lineRule="exact"/>
              <w:rPr>
                <w:sz w:val="21"/>
                <w:szCs w:val="21"/>
              </w:rPr>
            </w:pPr>
            <w:r>
              <w:rPr>
                <w:sz w:val="21"/>
                <w:szCs w:val="21"/>
              </w:rPr>
              <w:t>措施</w:t>
            </w:r>
          </w:p>
        </w:tc>
        <w:tc>
          <w:tcPr>
            <w:tcW w:w="1089" w:type="dxa"/>
            <w:vMerge w:val="restart"/>
            <w:noWrap w:val="0"/>
            <w:vAlign w:val="center"/>
          </w:tcPr>
          <w:p>
            <w:pPr>
              <w:spacing w:line="240" w:lineRule="exact"/>
              <w:rPr>
                <w:sz w:val="21"/>
                <w:szCs w:val="21"/>
              </w:rPr>
            </w:pPr>
            <w:r>
              <w:rPr>
                <w:sz w:val="21"/>
                <w:szCs w:val="21"/>
              </w:rPr>
              <w:t>废气流量(m</w:t>
            </w:r>
            <w:r>
              <w:rPr>
                <w:sz w:val="21"/>
                <w:szCs w:val="21"/>
                <w:vertAlign w:val="superscript"/>
              </w:rPr>
              <w:t>3</w:t>
            </w:r>
            <w:r>
              <w:rPr>
                <w:sz w:val="21"/>
                <w:szCs w:val="21"/>
              </w:rPr>
              <w:t>/h)</w:t>
            </w:r>
          </w:p>
        </w:tc>
        <w:tc>
          <w:tcPr>
            <w:tcW w:w="1168" w:type="dxa"/>
            <w:vMerge w:val="restart"/>
            <w:noWrap w:val="0"/>
            <w:vAlign w:val="center"/>
          </w:tcPr>
          <w:p>
            <w:pPr>
              <w:spacing w:line="240" w:lineRule="exact"/>
              <w:rPr>
                <w:sz w:val="21"/>
                <w:szCs w:val="21"/>
              </w:rPr>
            </w:pPr>
            <w:r>
              <w:rPr>
                <w:sz w:val="21"/>
                <w:szCs w:val="21"/>
              </w:rPr>
              <w:t>年运行时间</w:t>
            </w:r>
          </w:p>
        </w:tc>
        <w:tc>
          <w:tcPr>
            <w:tcW w:w="1076" w:type="dxa"/>
            <w:vMerge w:val="restart"/>
            <w:noWrap w:val="0"/>
            <w:vAlign w:val="center"/>
          </w:tcPr>
          <w:p>
            <w:pPr>
              <w:spacing w:line="240" w:lineRule="exact"/>
              <w:rPr>
                <w:sz w:val="21"/>
                <w:szCs w:val="21"/>
              </w:rPr>
            </w:pPr>
            <w:r>
              <w:rPr>
                <w:sz w:val="21"/>
                <w:szCs w:val="21"/>
              </w:rPr>
              <w:t>浓度(mg/m</w:t>
            </w:r>
            <w:r>
              <w:rPr>
                <w:sz w:val="21"/>
                <w:szCs w:val="21"/>
                <w:vertAlign w:val="superscript"/>
              </w:rPr>
              <w:t>3</w:t>
            </w:r>
            <w:r>
              <w:rPr>
                <w:sz w:val="21"/>
                <w:szCs w:val="21"/>
              </w:rPr>
              <w:t>)</w:t>
            </w:r>
          </w:p>
        </w:tc>
        <w:tc>
          <w:tcPr>
            <w:tcW w:w="1286" w:type="dxa"/>
            <w:vMerge w:val="restart"/>
            <w:noWrap w:val="0"/>
            <w:vAlign w:val="center"/>
          </w:tcPr>
          <w:p>
            <w:pPr>
              <w:spacing w:line="240" w:lineRule="exact"/>
              <w:rPr>
                <w:sz w:val="21"/>
                <w:szCs w:val="21"/>
              </w:rPr>
            </w:pPr>
            <w:r>
              <w:rPr>
                <w:sz w:val="21"/>
                <w:szCs w:val="21"/>
              </w:rPr>
              <w:t>小时排放量(Kg/h)</w:t>
            </w:r>
          </w:p>
        </w:tc>
        <w:tc>
          <w:tcPr>
            <w:tcW w:w="1286" w:type="dxa"/>
            <w:vMerge w:val="restart"/>
            <w:noWrap w:val="0"/>
            <w:vAlign w:val="center"/>
          </w:tcPr>
          <w:p>
            <w:pPr>
              <w:spacing w:line="240" w:lineRule="exact"/>
              <w:rPr>
                <w:sz w:val="21"/>
                <w:szCs w:val="21"/>
              </w:rPr>
            </w:pPr>
            <w:r>
              <w:rPr>
                <w:sz w:val="21"/>
                <w:szCs w:val="21"/>
              </w:rPr>
              <w:t>年排放量(t/a)</w:t>
            </w:r>
          </w:p>
        </w:tc>
        <w:tc>
          <w:tcPr>
            <w:tcW w:w="1076" w:type="dxa"/>
            <w:vMerge w:val="restart"/>
            <w:noWrap w:val="0"/>
            <w:vAlign w:val="center"/>
          </w:tcPr>
          <w:p>
            <w:pPr>
              <w:spacing w:line="240" w:lineRule="exact"/>
              <w:rPr>
                <w:sz w:val="21"/>
                <w:szCs w:val="21"/>
              </w:rPr>
            </w:pPr>
            <w:r>
              <w:rPr>
                <w:sz w:val="21"/>
                <w:szCs w:val="21"/>
              </w:rPr>
              <w:t>吨产品排放量(Kg/t)</w:t>
            </w:r>
          </w:p>
        </w:tc>
        <w:tc>
          <w:tcPr>
            <w:tcW w:w="2208" w:type="dxa"/>
            <w:gridSpan w:val="2"/>
            <w:noWrap w:val="0"/>
            <w:vAlign w:val="center"/>
          </w:tcPr>
          <w:p>
            <w:pPr>
              <w:spacing w:line="240" w:lineRule="exact"/>
              <w:ind w:firstLine="440"/>
              <w:rPr>
                <w:sz w:val="21"/>
                <w:szCs w:val="21"/>
              </w:rPr>
            </w:pPr>
            <w:r>
              <w:rPr>
                <w:sz w:val="21"/>
                <w:szCs w:val="21"/>
              </w:rPr>
              <w:t>执行标准</w:t>
            </w:r>
          </w:p>
        </w:tc>
        <w:tc>
          <w:tcPr>
            <w:tcW w:w="900" w:type="dxa"/>
            <w:vMerge w:val="restart"/>
            <w:noWrap w:val="0"/>
            <w:vAlign w:val="center"/>
          </w:tcPr>
          <w:p>
            <w:pPr>
              <w:spacing w:line="240" w:lineRule="exact"/>
              <w:rPr>
                <w:sz w:val="21"/>
                <w:szCs w:val="21"/>
              </w:rPr>
            </w:pPr>
            <w:r>
              <w:rPr>
                <w:sz w:val="21"/>
                <w:szCs w:val="21"/>
              </w:rPr>
              <w:t>达标</w:t>
            </w:r>
          </w:p>
          <w:p>
            <w:pPr>
              <w:spacing w:line="240" w:lineRule="exact"/>
              <w:rPr>
                <w:sz w:val="21"/>
                <w:szCs w:val="21"/>
              </w:rPr>
            </w:pPr>
            <w:r>
              <w:rPr>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trPr>
        <w:tc>
          <w:tcPr>
            <w:tcW w:w="566" w:type="dxa"/>
            <w:vMerge w:val="continue"/>
            <w:noWrap w:val="0"/>
            <w:vAlign w:val="center"/>
          </w:tcPr>
          <w:p>
            <w:pPr>
              <w:spacing w:line="240" w:lineRule="exact"/>
              <w:ind w:firstLine="440"/>
              <w:rPr>
                <w:sz w:val="21"/>
                <w:szCs w:val="21"/>
              </w:rPr>
            </w:pPr>
          </w:p>
        </w:tc>
        <w:tc>
          <w:tcPr>
            <w:tcW w:w="904" w:type="dxa"/>
            <w:vMerge w:val="continue"/>
            <w:noWrap w:val="0"/>
            <w:vAlign w:val="center"/>
          </w:tcPr>
          <w:p>
            <w:pPr>
              <w:spacing w:line="240" w:lineRule="exact"/>
              <w:ind w:firstLine="440"/>
              <w:rPr>
                <w:sz w:val="21"/>
                <w:szCs w:val="21"/>
              </w:rPr>
            </w:pPr>
          </w:p>
        </w:tc>
        <w:tc>
          <w:tcPr>
            <w:tcW w:w="921" w:type="dxa"/>
            <w:vMerge w:val="continue"/>
            <w:noWrap w:val="0"/>
            <w:vAlign w:val="center"/>
          </w:tcPr>
          <w:p>
            <w:pPr>
              <w:spacing w:line="240" w:lineRule="exact"/>
              <w:ind w:firstLine="440"/>
              <w:rPr>
                <w:sz w:val="21"/>
                <w:szCs w:val="21"/>
              </w:rPr>
            </w:pPr>
          </w:p>
        </w:tc>
        <w:tc>
          <w:tcPr>
            <w:tcW w:w="866" w:type="dxa"/>
            <w:vMerge w:val="continue"/>
            <w:noWrap w:val="0"/>
            <w:vAlign w:val="center"/>
          </w:tcPr>
          <w:p>
            <w:pPr>
              <w:spacing w:line="240" w:lineRule="exact"/>
              <w:ind w:firstLine="440"/>
              <w:rPr>
                <w:sz w:val="21"/>
                <w:szCs w:val="21"/>
              </w:rPr>
            </w:pP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center"/>
          </w:tcPr>
          <w:p>
            <w:pPr>
              <w:spacing w:line="240" w:lineRule="exact"/>
              <w:ind w:firstLine="440"/>
              <w:rPr>
                <w:sz w:val="21"/>
                <w:szCs w:val="21"/>
              </w:rPr>
            </w:pPr>
          </w:p>
        </w:tc>
        <w:tc>
          <w:tcPr>
            <w:tcW w:w="1076" w:type="dxa"/>
            <w:vMerge w:val="continue"/>
            <w:noWrap w:val="0"/>
            <w:vAlign w:val="center"/>
          </w:tcPr>
          <w:p>
            <w:pPr>
              <w:spacing w:line="240" w:lineRule="exact"/>
              <w:ind w:firstLine="440"/>
              <w:rPr>
                <w:sz w:val="21"/>
                <w:szCs w:val="21"/>
              </w:rPr>
            </w:pPr>
          </w:p>
        </w:tc>
        <w:tc>
          <w:tcPr>
            <w:tcW w:w="1286" w:type="dxa"/>
            <w:vMerge w:val="continue"/>
            <w:noWrap w:val="0"/>
            <w:vAlign w:val="center"/>
          </w:tcPr>
          <w:p>
            <w:pPr>
              <w:spacing w:line="240" w:lineRule="exact"/>
              <w:ind w:firstLine="440"/>
              <w:rPr>
                <w:sz w:val="21"/>
                <w:szCs w:val="21"/>
              </w:rPr>
            </w:pPr>
          </w:p>
        </w:tc>
        <w:tc>
          <w:tcPr>
            <w:tcW w:w="1286" w:type="dxa"/>
            <w:vMerge w:val="continue"/>
            <w:noWrap w:val="0"/>
            <w:vAlign w:val="center"/>
          </w:tcPr>
          <w:p>
            <w:pPr>
              <w:spacing w:line="240" w:lineRule="exact"/>
              <w:ind w:firstLine="440"/>
              <w:rPr>
                <w:sz w:val="21"/>
                <w:szCs w:val="21"/>
              </w:rPr>
            </w:pPr>
          </w:p>
        </w:tc>
        <w:tc>
          <w:tcPr>
            <w:tcW w:w="1076" w:type="dxa"/>
            <w:vMerge w:val="continue"/>
            <w:noWrap w:val="0"/>
            <w:vAlign w:val="center"/>
          </w:tcPr>
          <w:p>
            <w:pPr>
              <w:spacing w:line="240" w:lineRule="exact"/>
              <w:ind w:firstLine="440"/>
              <w:rPr>
                <w:sz w:val="21"/>
                <w:szCs w:val="21"/>
              </w:rPr>
            </w:pPr>
          </w:p>
        </w:tc>
        <w:tc>
          <w:tcPr>
            <w:tcW w:w="1128" w:type="dxa"/>
            <w:noWrap w:val="0"/>
            <w:vAlign w:val="center"/>
          </w:tcPr>
          <w:p>
            <w:pPr>
              <w:spacing w:line="240" w:lineRule="exact"/>
              <w:rPr>
                <w:sz w:val="21"/>
                <w:szCs w:val="21"/>
              </w:rPr>
            </w:pPr>
            <w:r>
              <w:rPr>
                <w:sz w:val="21"/>
                <w:szCs w:val="21"/>
              </w:rPr>
              <w:t>排放浓度(mg/m</w:t>
            </w:r>
            <w:r>
              <w:rPr>
                <w:sz w:val="21"/>
                <w:szCs w:val="21"/>
                <w:vertAlign w:val="superscript"/>
              </w:rPr>
              <w:t>3</w:t>
            </w:r>
            <w:r>
              <w:rPr>
                <w:sz w:val="21"/>
                <w:szCs w:val="21"/>
              </w:rPr>
              <w:t>)</w:t>
            </w:r>
          </w:p>
        </w:tc>
        <w:tc>
          <w:tcPr>
            <w:tcW w:w="1080" w:type="dxa"/>
            <w:noWrap w:val="0"/>
            <w:vAlign w:val="center"/>
          </w:tcPr>
          <w:p>
            <w:pPr>
              <w:spacing w:line="240" w:lineRule="exact"/>
              <w:rPr>
                <w:sz w:val="21"/>
                <w:szCs w:val="21"/>
              </w:rPr>
            </w:pPr>
            <w:r>
              <w:rPr>
                <w:sz w:val="21"/>
                <w:szCs w:val="21"/>
              </w:rPr>
              <w:t>吨产品排放量(Kg/t)</w:t>
            </w:r>
          </w:p>
        </w:tc>
        <w:tc>
          <w:tcPr>
            <w:tcW w:w="900" w:type="dxa"/>
            <w:vMerge w:val="continue"/>
            <w:noWrap w:val="0"/>
            <w:vAlign w:val="center"/>
          </w:tcPr>
          <w:p>
            <w:pPr>
              <w:spacing w:line="240" w:lineRule="exact"/>
              <w:ind w:firstLine="44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trPr>
        <w:tc>
          <w:tcPr>
            <w:tcW w:w="566" w:type="dxa"/>
            <w:noWrap w:val="0"/>
            <w:vAlign w:val="center"/>
          </w:tcPr>
          <w:p>
            <w:pPr>
              <w:spacing w:line="240" w:lineRule="exact"/>
              <w:rPr>
                <w:sz w:val="21"/>
                <w:szCs w:val="21"/>
              </w:rPr>
            </w:pPr>
            <w:r>
              <w:rPr>
                <w:sz w:val="21"/>
                <w:szCs w:val="21"/>
              </w:rPr>
              <w:t>1</w:t>
            </w:r>
          </w:p>
        </w:tc>
        <w:tc>
          <w:tcPr>
            <w:tcW w:w="904" w:type="dxa"/>
            <w:noWrap w:val="0"/>
            <w:vAlign w:val="center"/>
          </w:tcPr>
          <w:p>
            <w:pPr>
              <w:spacing w:line="240" w:lineRule="exact"/>
              <w:rPr>
                <w:sz w:val="21"/>
                <w:szCs w:val="21"/>
              </w:rPr>
            </w:pPr>
            <w:r>
              <w:rPr>
                <w:sz w:val="21"/>
                <w:szCs w:val="21"/>
              </w:rPr>
              <w:t>生料磨</w:t>
            </w:r>
          </w:p>
        </w:tc>
        <w:tc>
          <w:tcPr>
            <w:tcW w:w="921" w:type="dxa"/>
            <w:noWrap w:val="0"/>
            <w:vAlign w:val="center"/>
          </w:tcPr>
          <w:p>
            <w:pPr>
              <w:spacing w:line="240" w:lineRule="exact"/>
              <w:ind w:firstLine="105" w:firstLineChars="50"/>
              <w:rPr>
                <w:sz w:val="21"/>
                <w:szCs w:val="21"/>
              </w:rPr>
            </w:pPr>
            <w:r>
              <w:rPr>
                <w:sz w:val="21"/>
                <w:szCs w:val="21"/>
              </w:rPr>
              <w:t>粉尘</w:t>
            </w:r>
          </w:p>
        </w:tc>
        <w:tc>
          <w:tcPr>
            <w:tcW w:w="866" w:type="dxa"/>
            <w:noWrap w:val="0"/>
            <w:vAlign w:val="center"/>
          </w:tcPr>
          <w:p>
            <w:pPr>
              <w:spacing w:line="240" w:lineRule="exact"/>
              <w:rPr>
                <w:sz w:val="21"/>
                <w:szCs w:val="21"/>
              </w:rPr>
            </w:pPr>
            <w:r>
              <w:rPr>
                <w:sz w:val="21"/>
                <w:szCs w:val="21"/>
              </w:rPr>
              <w:t>布袋除尘</w:t>
            </w:r>
          </w:p>
        </w:tc>
        <w:tc>
          <w:tcPr>
            <w:tcW w:w="1089" w:type="dxa"/>
            <w:noWrap w:val="0"/>
            <w:vAlign w:val="center"/>
          </w:tcPr>
          <w:p>
            <w:pPr>
              <w:spacing w:line="240" w:lineRule="exact"/>
              <w:ind w:firstLine="105" w:firstLineChars="50"/>
              <w:rPr>
                <w:sz w:val="21"/>
                <w:szCs w:val="21"/>
              </w:rPr>
            </w:pPr>
            <w:r>
              <w:rPr>
                <w:sz w:val="21"/>
                <w:szCs w:val="21"/>
              </w:rPr>
              <w:t>37000</w:t>
            </w:r>
          </w:p>
        </w:tc>
        <w:tc>
          <w:tcPr>
            <w:tcW w:w="1168" w:type="dxa"/>
            <w:noWrap w:val="0"/>
            <w:vAlign w:val="center"/>
          </w:tcPr>
          <w:p>
            <w:pPr>
              <w:spacing w:line="240" w:lineRule="exact"/>
              <w:rPr>
                <w:sz w:val="21"/>
                <w:szCs w:val="21"/>
              </w:rPr>
            </w:pPr>
            <w:r>
              <w:rPr>
                <w:sz w:val="21"/>
                <w:szCs w:val="21"/>
              </w:rPr>
              <w:t>7200</w:t>
            </w:r>
          </w:p>
        </w:tc>
        <w:tc>
          <w:tcPr>
            <w:tcW w:w="1076" w:type="dxa"/>
            <w:noWrap w:val="0"/>
            <w:vAlign w:val="center"/>
          </w:tcPr>
          <w:p>
            <w:pPr>
              <w:spacing w:line="240" w:lineRule="exact"/>
              <w:rPr>
                <w:sz w:val="21"/>
                <w:szCs w:val="21"/>
              </w:rPr>
            </w:pPr>
            <w:r>
              <w:rPr>
                <w:sz w:val="21"/>
                <w:szCs w:val="21"/>
              </w:rPr>
              <w:t>150</w:t>
            </w:r>
          </w:p>
        </w:tc>
        <w:tc>
          <w:tcPr>
            <w:tcW w:w="1286" w:type="dxa"/>
            <w:noWrap w:val="0"/>
            <w:vAlign w:val="center"/>
          </w:tcPr>
          <w:p>
            <w:pPr>
              <w:spacing w:line="240" w:lineRule="exact"/>
              <w:rPr>
                <w:sz w:val="21"/>
                <w:szCs w:val="21"/>
              </w:rPr>
            </w:pPr>
            <w:r>
              <w:rPr>
                <w:sz w:val="21"/>
                <w:szCs w:val="21"/>
              </w:rPr>
              <w:t>5.55</w:t>
            </w:r>
          </w:p>
        </w:tc>
        <w:tc>
          <w:tcPr>
            <w:tcW w:w="1286" w:type="dxa"/>
            <w:noWrap w:val="0"/>
            <w:vAlign w:val="center"/>
          </w:tcPr>
          <w:p>
            <w:pPr>
              <w:spacing w:line="240" w:lineRule="exact"/>
              <w:rPr>
                <w:sz w:val="21"/>
                <w:szCs w:val="21"/>
              </w:rPr>
            </w:pPr>
            <w:r>
              <w:rPr>
                <w:sz w:val="21"/>
                <w:szCs w:val="21"/>
              </w:rPr>
              <w:t>39.96</w:t>
            </w:r>
          </w:p>
        </w:tc>
        <w:tc>
          <w:tcPr>
            <w:tcW w:w="1076" w:type="dxa"/>
            <w:noWrap w:val="0"/>
            <w:vAlign w:val="center"/>
          </w:tcPr>
          <w:p>
            <w:pPr>
              <w:spacing w:line="240" w:lineRule="exact"/>
              <w:rPr>
                <w:sz w:val="21"/>
                <w:szCs w:val="21"/>
              </w:rPr>
            </w:pPr>
            <w:r>
              <w:rPr>
                <w:sz w:val="21"/>
                <w:szCs w:val="21"/>
              </w:rPr>
              <w:t>0.095</w:t>
            </w:r>
          </w:p>
        </w:tc>
        <w:tc>
          <w:tcPr>
            <w:tcW w:w="1128" w:type="dxa"/>
            <w:noWrap w:val="0"/>
            <w:vAlign w:val="center"/>
          </w:tcPr>
          <w:p>
            <w:pPr>
              <w:spacing w:line="240" w:lineRule="exact"/>
              <w:rPr>
                <w:sz w:val="21"/>
                <w:szCs w:val="21"/>
              </w:rPr>
            </w:pPr>
            <w:r>
              <w:rPr>
                <w:sz w:val="21"/>
                <w:szCs w:val="21"/>
              </w:rPr>
              <w:t>30</w:t>
            </w:r>
          </w:p>
        </w:tc>
        <w:tc>
          <w:tcPr>
            <w:tcW w:w="1080" w:type="dxa"/>
            <w:noWrap w:val="0"/>
            <w:vAlign w:val="center"/>
          </w:tcPr>
          <w:p>
            <w:pPr>
              <w:spacing w:line="240" w:lineRule="exact"/>
              <w:rPr>
                <w:sz w:val="21"/>
                <w:szCs w:val="21"/>
              </w:rPr>
            </w:pPr>
            <w:r>
              <w:rPr>
                <w:sz w:val="21"/>
                <w:szCs w:val="21"/>
              </w:rPr>
              <w:t>0.024</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566" w:type="dxa"/>
            <w:noWrap w:val="0"/>
            <w:vAlign w:val="center"/>
          </w:tcPr>
          <w:p>
            <w:pPr>
              <w:spacing w:line="240" w:lineRule="exact"/>
              <w:rPr>
                <w:sz w:val="21"/>
                <w:szCs w:val="21"/>
              </w:rPr>
            </w:pPr>
            <w:r>
              <w:rPr>
                <w:sz w:val="21"/>
                <w:szCs w:val="21"/>
              </w:rPr>
              <w:t>2</w:t>
            </w:r>
          </w:p>
        </w:tc>
        <w:tc>
          <w:tcPr>
            <w:tcW w:w="904" w:type="dxa"/>
            <w:noWrap w:val="0"/>
            <w:vAlign w:val="center"/>
          </w:tcPr>
          <w:p>
            <w:pPr>
              <w:spacing w:line="240" w:lineRule="exact"/>
              <w:rPr>
                <w:sz w:val="21"/>
                <w:szCs w:val="21"/>
              </w:rPr>
            </w:pPr>
            <w:r>
              <w:rPr>
                <w:sz w:val="21"/>
                <w:szCs w:val="21"/>
              </w:rPr>
              <w:t>破碎机</w:t>
            </w:r>
          </w:p>
        </w:tc>
        <w:tc>
          <w:tcPr>
            <w:tcW w:w="921" w:type="dxa"/>
            <w:noWrap w:val="0"/>
            <w:vAlign w:val="center"/>
          </w:tcPr>
          <w:p>
            <w:pPr>
              <w:spacing w:line="240" w:lineRule="exact"/>
              <w:ind w:firstLine="105" w:firstLineChars="50"/>
              <w:rPr>
                <w:sz w:val="21"/>
                <w:szCs w:val="21"/>
              </w:rPr>
            </w:pPr>
            <w:r>
              <w:rPr>
                <w:sz w:val="21"/>
                <w:szCs w:val="21"/>
              </w:rPr>
              <w:t>粉尘</w:t>
            </w:r>
          </w:p>
        </w:tc>
        <w:tc>
          <w:tcPr>
            <w:tcW w:w="866" w:type="dxa"/>
            <w:noWrap w:val="0"/>
            <w:vAlign w:val="center"/>
          </w:tcPr>
          <w:p>
            <w:pPr>
              <w:spacing w:line="240" w:lineRule="exact"/>
              <w:rPr>
                <w:sz w:val="21"/>
                <w:szCs w:val="21"/>
              </w:rPr>
            </w:pPr>
            <w:r>
              <w:rPr>
                <w:sz w:val="21"/>
                <w:szCs w:val="21"/>
              </w:rPr>
              <w:t>布袋除尘</w:t>
            </w:r>
          </w:p>
        </w:tc>
        <w:tc>
          <w:tcPr>
            <w:tcW w:w="1089" w:type="dxa"/>
            <w:noWrap w:val="0"/>
            <w:vAlign w:val="center"/>
          </w:tcPr>
          <w:p>
            <w:pPr>
              <w:spacing w:line="240" w:lineRule="exact"/>
              <w:ind w:firstLine="105" w:firstLineChars="50"/>
              <w:rPr>
                <w:sz w:val="21"/>
                <w:szCs w:val="21"/>
              </w:rPr>
            </w:pPr>
            <w:r>
              <w:rPr>
                <w:sz w:val="21"/>
                <w:szCs w:val="21"/>
              </w:rPr>
              <w:t>29850</w:t>
            </w:r>
          </w:p>
        </w:tc>
        <w:tc>
          <w:tcPr>
            <w:tcW w:w="1168" w:type="dxa"/>
            <w:noWrap w:val="0"/>
            <w:vAlign w:val="top"/>
          </w:tcPr>
          <w:p>
            <w:r>
              <w:rPr>
                <w:sz w:val="21"/>
                <w:szCs w:val="21"/>
              </w:rPr>
              <w:t>7200</w:t>
            </w:r>
          </w:p>
        </w:tc>
        <w:tc>
          <w:tcPr>
            <w:tcW w:w="1076" w:type="dxa"/>
            <w:noWrap w:val="0"/>
            <w:vAlign w:val="center"/>
          </w:tcPr>
          <w:p>
            <w:pPr>
              <w:spacing w:line="240" w:lineRule="exact"/>
              <w:rPr>
                <w:sz w:val="21"/>
                <w:szCs w:val="21"/>
              </w:rPr>
            </w:pPr>
            <w:r>
              <w:rPr>
                <w:sz w:val="21"/>
                <w:szCs w:val="21"/>
              </w:rPr>
              <w:t>85</w:t>
            </w:r>
          </w:p>
        </w:tc>
        <w:tc>
          <w:tcPr>
            <w:tcW w:w="1286" w:type="dxa"/>
            <w:noWrap w:val="0"/>
            <w:vAlign w:val="center"/>
          </w:tcPr>
          <w:p>
            <w:pPr>
              <w:spacing w:line="240" w:lineRule="exact"/>
              <w:rPr>
                <w:sz w:val="21"/>
                <w:szCs w:val="21"/>
              </w:rPr>
            </w:pPr>
            <w:r>
              <w:rPr>
                <w:sz w:val="21"/>
                <w:szCs w:val="21"/>
              </w:rPr>
              <w:t>2.54</w:t>
            </w:r>
          </w:p>
        </w:tc>
        <w:tc>
          <w:tcPr>
            <w:tcW w:w="1286" w:type="dxa"/>
            <w:noWrap w:val="0"/>
            <w:vAlign w:val="center"/>
          </w:tcPr>
          <w:p>
            <w:pPr>
              <w:spacing w:line="240" w:lineRule="exact"/>
              <w:rPr>
                <w:sz w:val="21"/>
                <w:szCs w:val="21"/>
              </w:rPr>
            </w:pPr>
            <w:r>
              <w:rPr>
                <w:sz w:val="21"/>
                <w:szCs w:val="21"/>
              </w:rPr>
              <w:t>18.29</w:t>
            </w:r>
          </w:p>
        </w:tc>
        <w:tc>
          <w:tcPr>
            <w:tcW w:w="1076" w:type="dxa"/>
            <w:noWrap w:val="0"/>
            <w:vAlign w:val="center"/>
          </w:tcPr>
          <w:p>
            <w:pPr>
              <w:spacing w:line="240" w:lineRule="exact"/>
              <w:rPr>
                <w:sz w:val="21"/>
                <w:szCs w:val="21"/>
              </w:rPr>
            </w:pPr>
            <w:r>
              <w:rPr>
                <w:sz w:val="21"/>
                <w:szCs w:val="21"/>
              </w:rPr>
              <w:t>0.044</w:t>
            </w:r>
          </w:p>
        </w:tc>
        <w:tc>
          <w:tcPr>
            <w:tcW w:w="1128" w:type="dxa"/>
            <w:noWrap w:val="0"/>
            <w:vAlign w:val="center"/>
          </w:tcPr>
          <w:p>
            <w:pPr>
              <w:spacing w:line="240" w:lineRule="exact"/>
              <w:rPr>
                <w:sz w:val="21"/>
                <w:szCs w:val="21"/>
              </w:rPr>
            </w:pPr>
            <w:r>
              <w:rPr>
                <w:sz w:val="21"/>
                <w:szCs w:val="21"/>
              </w:rPr>
              <w:t>30</w:t>
            </w:r>
          </w:p>
        </w:tc>
        <w:tc>
          <w:tcPr>
            <w:tcW w:w="1080" w:type="dxa"/>
            <w:noWrap w:val="0"/>
            <w:vAlign w:val="center"/>
          </w:tcPr>
          <w:p>
            <w:pPr>
              <w:spacing w:line="240" w:lineRule="exact"/>
              <w:rPr>
                <w:sz w:val="21"/>
                <w:szCs w:val="21"/>
              </w:rPr>
            </w:pPr>
            <w:r>
              <w:rPr>
                <w:sz w:val="21"/>
                <w:szCs w:val="21"/>
              </w:rPr>
              <w:t>0.024</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566" w:type="dxa"/>
            <w:vMerge w:val="restart"/>
            <w:noWrap w:val="0"/>
            <w:vAlign w:val="center"/>
          </w:tcPr>
          <w:p>
            <w:pPr>
              <w:spacing w:line="240" w:lineRule="exact"/>
              <w:rPr>
                <w:sz w:val="21"/>
                <w:szCs w:val="21"/>
              </w:rPr>
            </w:pPr>
            <w:r>
              <w:rPr>
                <w:sz w:val="21"/>
                <w:szCs w:val="21"/>
              </w:rPr>
              <w:t>3</w:t>
            </w:r>
          </w:p>
        </w:tc>
        <w:tc>
          <w:tcPr>
            <w:tcW w:w="904" w:type="dxa"/>
            <w:vMerge w:val="restart"/>
            <w:noWrap w:val="0"/>
            <w:vAlign w:val="center"/>
          </w:tcPr>
          <w:p>
            <w:pPr>
              <w:spacing w:line="240" w:lineRule="exact"/>
              <w:rPr>
                <w:sz w:val="21"/>
                <w:szCs w:val="21"/>
              </w:rPr>
            </w:pPr>
            <w:r>
              <w:rPr>
                <w:sz w:val="21"/>
                <w:szCs w:val="21"/>
              </w:rPr>
              <w:t>机立窑</w:t>
            </w:r>
          </w:p>
        </w:tc>
        <w:tc>
          <w:tcPr>
            <w:tcW w:w="921" w:type="dxa"/>
            <w:noWrap w:val="0"/>
            <w:vAlign w:val="center"/>
          </w:tcPr>
          <w:p>
            <w:pPr>
              <w:spacing w:line="240" w:lineRule="exact"/>
              <w:ind w:firstLine="105" w:firstLineChars="50"/>
              <w:rPr>
                <w:sz w:val="21"/>
                <w:szCs w:val="21"/>
              </w:rPr>
            </w:pPr>
            <w:r>
              <w:rPr>
                <w:sz w:val="21"/>
                <w:szCs w:val="21"/>
              </w:rPr>
              <w:t>烟尘</w:t>
            </w:r>
          </w:p>
        </w:tc>
        <w:tc>
          <w:tcPr>
            <w:tcW w:w="866" w:type="dxa"/>
            <w:noWrap w:val="0"/>
            <w:vAlign w:val="center"/>
          </w:tcPr>
          <w:p>
            <w:pPr>
              <w:spacing w:line="240" w:lineRule="exact"/>
              <w:rPr>
                <w:sz w:val="21"/>
                <w:szCs w:val="21"/>
              </w:rPr>
            </w:pPr>
            <w:r>
              <w:rPr>
                <w:sz w:val="21"/>
                <w:szCs w:val="21"/>
              </w:rPr>
              <w:t>布袋除尘</w:t>
            </w:r>
          </w:p>
        </w:tc>
        <w:tc>
          <w:tcPr>
            <w:tcW w:w="1089" w:type="dxa"/>
            <w:vMerge w:val="restart"/>
            <w:noWrap w:val="0"/>
            <w:vAlign w:val="center"/>
          </w:tcPr>
          <w:p>
            <w:pPr>
              <w:spacing w:line="240" w:lineRule="exact"/>
              <w:ind w:firstLine="105" w:firstLineChars="50"/>
              <w:rPr>
                <w:sz w:val="21"/>
                <w:szCs w:val="21"/>
              </w:rPr>
            </w:pPr>
            <w:r>
              <w:rPr>
                <w:sz w:val="21"/>
                <w:szCs w:val="21"/>
              </w:rPr>
              <w:t>230000</w:t>
            </w:r>
          </w:p>
        </w:tc>
        <w:tc>
          <w:tcPr>
            <w:tcW w:w="1168" w:type="dxa"/>
            <w:vMerge w:val="restart"/>
            <w:noWrap w:val="0"/>
            <w:vAlign w:val="top"/>
          </w:tcPr>
          <w:p>
            <w:r>
              <w:rPr>
                <w:sz w:val="21"/>
                <w:szCs w:val="21"/>
              </w:rPr>
              <w:t>7200</w:t>
            </w:r>
          </w:p>
        </w:tc>
        <w:tc>
          <w:tcPr>
            <w:tcW w:w="1076" w:type="dxa"/>
            <w:noWrap w:val="0"/>
            <w:vAlign w:val="center"/>
          </w:tcPr>
          <w:p>
            <w:pPr>
              <w:spacing w:line="240" w:lineRule="exact"/>
              <w:rPr>
                <w:sz w:val="21"/>
                <w:szCs w:val="21"/>
              </w:rPr>
            </w:pPr>
            <w:r>
              <w:rPr>
                <w:sz w:val="21"/>
                <w:szCs w:val="21"/>
              </w:rPr>
              <w:t>118</w:t>
            </w:r>
          </w:p>
        </w:tc>
        <w:tc>
          <w:tcPr>
            <w:tcW w:w="1286" w:type="dxa"/>
            <w:noWrap w:val="0"/>
            <w:vAlign w:val="center"/>
          </w:tcPr>
          <w:p>
            <w:pPr>
              <w:spacing w:line="240" w:lineRule="exact"/>
              <w:rPr>
                <w:sz w:val="21"/>
                <w:szCs w:val="21"/>
              </w:rPr>
            </w:pPr>
            <w:r>
              <w:rPr>
                <w:sz w:val="21"/>
                <w:szCs w:val="21"/>
              </w:rPr>
              <w:t>27.17</w:t>
            </w:r>
          </w:p>
        </w:tc>
        <w:tc>
          <w:tcPr>
            <w:tcW w:w="1286" w:type="dxa"/>
            <w:noWrap w:val="0"/>
            <w:vAlign w:val="center"/>
          </w:tcPr>
          <w:p>
            <w:pPr>
              <w:spacing w:line="240" w:lineRule="exact"/>
              <w:rPr>
                <w:sz w:val="21"/>
                <w:szCs w:val="21"/>
              </w:rPr>
            </w:pPr>
            <w:r>
              <w:rPr>
                <w:sz w:val="21"/>
                <w:szCs w:val="21"/>
              </w:rPr>
              <w:t>195.6</w:t>
            </w:r>
          </w:p>
        </w:tc>
        <w:tc>
          <w:tcPr>
            <w:tcW w:w="1076" w:type="dxa"/>
            <w:noWrap w:val="0"/>
            <w:vAlign w:val="center"/>
          </w:tcPr>
          <w:p>
            <w:pPr>
              <w:spacing w:line="240" w:lineRule="exact"/>
              <w:rPr>
                <w:sz w:val="21"/>
                <w:szCs w:val="21"/>
              </w:rPr>
            </w:pPr>
            <w:r>
              <w:rPr>
                <w:sz w:val="21"/>
                <w:szCs w:val="21"/>
              </w:rPr>
              <w:t>0.466</w:t>
            </w:r>
          </w:p>
        </w:tc>
        <w:tc>
          <w:tcPr>
            <w:tcW w:w="1128" w:type="dxa"/>
            <w:noWrap w:val="0"/>
            <w:vAlign w:val="center"/>
          </w:tcPr>
          <w:p>
            <w:pPr>
              <w:spacing w:line="240" w:lineRule="exact"/>
              <w:rPr>
                <w:sz w:val="21"/>
                <w:szCs w:val="21"/>
              </w:rPr>
            </w:pPr>
            <w:r>
              <w:rPr>
                <w:sz w:val="21"/>
                <w:szCs w:val="21"/>
              </w:rPr>
              <w:t>50</w:t>
            </w:r>
          </w:p>
        </w:tc>
        <w:tc>
          <w:tcPr>
            <w:tcW w:w="1080" w:type="dxa"/>
            <w:noWrap w:val="0"/>
            <w:vAlign w:val="center"/>
          </w:tcPr>
          <w:p>
            <w:pPr>
              <w:spacing w:line="240" w:lineRule="exact"/>
              <w:rPr>
                <w:sz w:val="21"/>
                <w:szCs w:val="21"/>
              </w:rPr>
            </w:pPr>
            <w:r>
              <w:rPr>
                <w:sz w:val="21"/>
                <w:szCs w:val="21"/>
              </w:rPr>
              <w:t>0.15</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566" w:type="dxa"/>
            <w:vMerge w:val="continue"/>
            <w:noWrap w:val="0"/>
            <w:vAlign w:val="center"/>
          </w:tcPr>
          <w:p>
            <w:pPr>
              <w:spacing w:line="240" w:lineRule="exact"/>
              <w:ind w:firstLine="440"/>
              <w:rPr>
                <w:sz w:val="21"/>
                <w:szCs w:val="21"/>
              </w:rPr>
            </w:pPr>
          </w:p>
        </w:tc>
        <w:tc>
          <w:tcPr>
            <w:tcW w:w="904" w:type="dxa"/>
            <w:vMerge w:val="continue"/>
            <w:noWrap w:val="0"/>
            <w:vAlign w:val="center"/>
          </w:tcPr>
          <w:p>
            <w:pPr>
              <w:spacing w:line="240" w:lineRule="exact"/>
              <w:ind w:firstLine="440"/>
              <w:rPr>
                <w:sz w:val="21"/>
                <w:szCs w:val="21"/>
              </w:rPr>
            </w:pPr>
          </w:p>
        </w:tc>
        <w:tc>
          <w:tcPr>
            <w:tcW w:w="921" w:type="dxa"/>
            <w:noWrap w:val="0"/>
            <w:vAlign w:val="center"/>
          </w:tcPr>
          <w:p>
            <w:pPr>
              <w:spacing w:line="240" w:lineRule="exact"/>
              <w:ind w:firstLine="210" w:firstLineChars="100"/>
              <w:rPr>
                <w:sz w:val="21"/>
                <w:szCs w:val="21"/>
              </w:rPr>
            </w:pPr>
            <w:r>
              <w:rPr>
                <w:sz w:val="21"/>
                <w:szCs w:val="21"/>
              </w:rPr>
              <w:t>SO</w:t>
            </w:r>
            <w:r>
              <w:rPr>
                <w:sz w:val="21"/>
                <w:szCs w:val="21"/>
                <w:vertAlign w:val="subscript"/>
              </w:rPr>
              <w:t>2</w:t>
            </w:r>
          </w:p>
        </w:tc>
        <w:tc>
          <w:tcPr>
            <w:tcW w:w="866" w:type="dxa"/>
            <w:noWrap w:val="0"/>
            <w:vAlign w:val="center"/>
          </w:tcPr>
          <w:p>
            <w:pPr>
              <w:spacing w:line="240" w:lineRule="exact"/>
              <w:ind w:firstLine="210" w:firstLineChars="100"/>
              <w:rPr>
                <w:sz w:val="21"/>
                <w:szCs w:val="21"/>
              </w:rPr>
            </w:pPr>
            <w:r>
              <w:rPr>
                <w:sz w:val="21"/>
                <w:szCs w:val="21"/>
              </w:rPr>
              <w:t>/</w:t>
            </w: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top"/>
          </w:tcPr>
          <w:p>
            <w:pPr>
              <w:spacing w:line="240" w:lineRule="exact"/>
              <w:ind w:firstLine="440"/>
              <w:rPr>
                <w:sz w:val="21"/>
                <w:szCs w:val="21"/>
              </w:rPr>
            </w:pPr>
          </w:p>
        </w:tc>
        <w:tc>
          <w:tcPr>
            <w:tcW w:w="1076" w:type="dxa"/>
            <w:noWrap w:val="0"/>
            <w:vAlign w:val="center"/>
          </w:tcPr>
          <w:p>
            <w:pPr>
              <w:spacing w:line="240" w:lineRule="exact"/>
              <w:rPr>
                <w:sz w:val="21"/>
                <w:szCs w:val="21"/>
              </w:rPr>
            </w:pPr>
            <w:r>
              <w:rPr>
                <w:sz w:val="21"/>
                <w:szCs w:val="21"/>
              </w:rPr>
              <w:t>577</w:t>
            </w:r>
          </w:p>
        </w:tc>
        <w:tc>
          <w:tcPr>
            <w:tcW w:w="1286" w:type="dxa"/>
            <w:noWrap w:val="0"/>
            <w:vAlign w:val="center"/>
          </w:tcPr>
          <w:p>
            <w:pPr>
              <w:spacing w:line="240" w:lineRule="exact"/>
              <w:rPr>
                <w:sz w:val="21"/>
                <w:szCs w:val="21"/>
              </w:rPr>
            </w:pPr>
            <w:r>
              <w:rPr>
                <w:sz w:val="21"/>
                <w:szCs w:val="21"/>
              </w:rPr>
              <w:t>132.71</w:t>
            </w:r>
          </w:p>
        </w:tc>
        <w:tc>
          <w:tcPr>
            <w:tcW w:w="1286" w:type="dxa"/>
            <w:noWrap w:val="0"/>
            <w:vAlign w:val="center"/>
          </w:tcPr>
          <w:p>
            <w:pPr>
              <w:spacing w:line="240" w:lineRule="exact"/>
              <w:rPr>
                <w:sz w:val="21"/>
                <w:szCs w:val="21"/>
              </w:rPr>
            </w:pPr>
            <w:r>
              <w:rPr>
                <w:sz w:val="21"/>
                <w:szCs w:val="21"/>
              </w:rPr>
              <w:t>955.51</w:t>
            </w:r>
          </w:p>
        </w:tc>
        <w:tc>
          <w:tcPr>
            <w:tcW w:w="1076" w:type="dxa"/>
            <w:noWrap w:val="0"/>
            <w:vAlign w:val="center"/>
          </w:tcPr>
          <w:p>
            <w:pPr>
              <w:spacing w:line="240" w:lineRule="exact"/>
              <w:rPr>
                <w:sz w:val="21"/>
                <w:szCs w:val="21"/>
              </w:rPr>
            </w:pPr>
            <w:r>
              <w:rPr>
                <w:sz w:val="21"/>
                <w:szCs w:val="21"/>
              </w:rPr>
              <w:t>2.275</w:t>
            </w:r>
          </w:p>
        </w:tc>
        <w:tc>
          <w:tcPr>
            <w:tcW w:w="1128" w:type="dxa"/>
            <w:noWrap w:val="0"/>
            <w:vAlign w:val="center"/>
          </w:tcPr>
          <w:p>
            <w:pPr>
              <w:spacing w:line="240" w:lineRule="exact"/>
              <w:rPr>
                <w:sz w:val="21"/>
                <w:szCs w:val="21"/>
              </w:rPr>
            </w:pPr>
            <w:r>
              <w:rPr>
                <w:sz w:val="21"/>
                <w:szCs w:val="21"/>
              </w:rPr>
              <w:t>200</w:t>
            </w:r>
          </w:p>
        </w:tc>
        <w:tc>
          <w:tcPr>
            <w:tcW w:w="1080" w:type="dxa"/>
            <w:noWrap w:val="0"/>
            <w:vAlign w:val="center"/>
          </w:tcPr>
          <w:p>
            <w:pPr>
              <w:spacing w:line="240" w:lineRule="exact"/>
              <w:rPr>
                <w:sz w:val="21"/>
                <w:szCs w:val="21"/>
              </w:rPr>
            </w:pPr>
            <w:r>
              <w:rPr>
                <w:sz w:val="21"/>
                <w:szCs w:val="21"/>
              </w:rPr>
              <w:t>0.60</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566" w:type="dxa"/>
            <w:vMerge w:val="continue"/>
            <w:noWrap w:val="0"/>
            <w:vAlign w:val="center"/>
          </w:tcPr>
          <w:p>
            <w:pPr>
              <w:spacing w:line="240" w:lineRule="exact"/>
              <w:ind w:firstLine="440"/>
              <w:rPr>
                <w:sz w:val="21"/>
                <w:szCs w:val="21"/>
              </w:rPr>
            </w:pPr>
          </w:p>
        </w:tc>
        <w:tc>
          <w:tcPr>
            <w:tcW w:w="904" w:type="dxa"/>
            <w:vMerge w:val="continue"/>
            <w:noWrap w:val="0"/>
            <w:vAlign w:val="center"/>
          </w:tcPr>
          <w:p>
            <w:pPr>
              <w:spacing w:line="240" w:lineRule="exact"/>
              <w:ind w:firstLine="440"/>
              <w:rPr>
                <w:sz w:val="21"/>
                <w:szCs w:val="21"/>
              </w:rPr>
            </w:pPr>
          </w:p>
        </w:tc>
        <w:tc>
          <w:tcPr>
            <w:tcW w:w="921" w:type="dxa"/>
            <w:noWrap w:val="0"/>
            <w:vAlign w:val="center"/>
          </w:tcPr>
          <w:p>
            <w:pPr>
              <w:spacing w:line="240" w:lineRule="exact"/>
              <w:ind w:firstLine="210" w:firstLineChars="100"/>
              <w:rPr>
                <w:sz w:val="21"/>
                <w:szCs w:val="21"/>
              </w:rPr>
            </w:pPr>
            <w:r>
              <w:rPr>
                <w:sz w:val="21"/>
                <w:szCs w:val="21"/>
              </w:rPr>
              <w:t>NO</w:t>
            </w:r>
            <w:r>
              <w:rPr>
                <w:sz w:val="21"/>
                <w:szCs w:val="21"/>
                <w:vertAlign w:val="subscript"/>
              </w:rPr>
              <w:t>X</w:t>
            </w:r>
          </w:p>
        </w:tc>
        <w:tc>
          <w:tcPr>
            <w:tcW w:w="866" w:type="dxa"/>
            <w:noWrap w:val="0"/>
            <w:vAlign w:val="center"/>
          </w:tcPr>
          <w:p>
            <w:pPr>
              <w:spacing w:line="240" w:lineRule="exact"/>
              <w:ind w:firstLine="210" w:firstLineChars="100"/>
              <w:rPr>
                <w:sz w:val="21"/>
                <w:szCs w:val="21"/>
              </w:rPr>
            </w:pPr>
            <w:r>
              <w:rPr>
                <w:sz w:val="21"/>
                <w:szCs w:val="21"/>
              </w:rPr>
              <w:t>/</w:t>
            </w: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top"/>
          </w:tcPr>
          <w:p>
            <w:pPr>
              <w:spacing w:line="240" w:lineRule="exact"/>
              <w:ind w:firstLine="440"/>
              <w:rPr>
                <w:sz w:val="21"/>
                <w:szCs w:val="21"/>
              </w:rPr>
            </w:pPr>
          </w:p>
        </w:tc>
        <w:tc>
          <w:tcPr>
            <w:tcW w:w="1076" w:type="dxa"/>
            <w:noWrap w:val="0"/>
            <w:vAlign w:val="center"/>
          </w:tcPr>
          <w:p>
            <w:pPr>
              <w:spacing w:line="240" w:lineRule="exact"/>
              <w:rPr>
                <w:sz w:val="21"/>
                <w:szCs w:val="21"/>
              </w:rPr>
            </w:pPr>
            <w:r>
              <w:rPr>
                <w:sz w:val="21"/>
                <w:szCs w:val="21"/>
              </w:rPr>
              <w:t>550</w:t>
            </w:r>
          </w:p>
        </w:tc>
        <w:tc>
          <w:tcPr>
            <w:tcW w:w="1286" w:type="dxa"/>
            <w:noWrap w:val="0"/>
            <w:vAlign w:val="center"/>
          </w:tcPr>
          <w:p>
            <w:pPr>
              <w:spacing w:line="240" w:lineRule="exact"/>
              <w:rPr>
                <w:sz w:val="21"/>
                <w:szCs w:val="21"/>
              </w:rPr>
            </w:pPr>
            <w:r>
              <w:rPr>
                <w:sz w:val="21"/>
                <w:szCs w:val="21"/>
              </w:rPr>
              <w:t>126.5</w:t>
            </w:r>
          </w:p>
        </w:tc>
        <w:tc>
          <w:tcPr>
            <w:tcW w:w="1286" w:type="dxa"/>
            <w:noWrap w:val="0"/>
            <w:vAlign w:val="center"/>
          </w:tcPr>
          <w:p>
            <w:pPr>
              <w:spacing w:line="240" w:lineRule="exact"/>
              <w:rPr>
                <w:sz w:val="21"/>
                <w:szCs w:val="21"/>
              </w:rPr>
            </w:pPr>
            <w:r>
              <w:rPr>
                <w:sz w:val="21"/>
                <w:szCs w:val="21"/>
              </w:rPr>
              <w:t>910.8</w:t>
            </w:r>
          </w:p>
        </w:tc>
        <w:tc>
          <w:tcPr>
            <w:tcW w:w="1076" w:type="dxa"/>
            <w:noWrap w:val="0"/>
            <w:vAlign w:val="center"/>
          </w:tcPr>
          <w:p>
            <w:pPr>
              <w:spacing w:line="240" w:lineRule="exact"/>
              <w:rPr>
                <w:sz w:val="21"/>
                <w:szCs w:val="21"/>
              </w:rPr>
            </w:pPr>
            <w:r>
              <w:rPr>
                <w:sz w:val="21"/>
                <w:szCs w:val="21"/>
              </w:rPr>
              <w:t>2.169</w:t>
            </w:r>
          </w:p>
        </w:tc>
        <w:tc>
          <w:tcPr>
            <w:tcW w:w="1128" w:type="dxa"/>
            <w:noWrap w:val="0"/>
            <w:vAlign w:val="center"/>
          </w:tcPr>
          <w:p>
            <w:pPr>
              <w:spacing w:line="240" w:lineRule="exact"/>
              <w:rPr>
                <w:sz w:val="21"/>
                <w:szCs w:val="21"/>
              </w:rPr>
            </w:pPr>
            <w:r>
              <w:rPr>
                <w:sz w:val="21"/>
                <w:szCs w:val="21"/>
              </w:rPr>
              <w:t>800</w:t>
            </w:r>
          </w:p>
        </w:tc>
        <w:tc>
          <w:tcPr>
            <w:tcW w:w="1080" w:type="dxa"/>
            <w:noWrap w:val="0"/>
            <w:vAlign w:val="center"/>
          </w:tcPr>
          <w:p>
            <w:pPr>
              <w:spacing w:line="240" w:lineRule="exact"/>
              <w:rPr>
                <w:sz w:val="21"/>
                <w:szCs w:val="21"/>
              </w:rPr>
            </w:pPr>
            <w:r>
              <w:rPr>
                <w:sz w:val="21"/>
                <w:szCs w:val="21"/>
              </w:rPr>
              <w:t>2.40</w:t>
            </w:r>
          </w:p>
        </w:tc>
        <w:tc>
          <w:tcPr>
            <w:tcW w:w="900" w:type="dxa"/>
            <w:noWrap w:val="0"/>
            <w:vAlign w:val="center"/>
          </w:tcPr>
          <w:p>
            <w:pPr>
              <w:spacing w:line="240" w:lineRule="exact"/>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566" w:type="dxa"/>
            <w:noWrap w:val="0"/>
            <w:vAlign w:val="center"/>
          </w:tcPr>
          <w:p>
            <w:pPr>
              <w:spacing w:line="240" w:lineRule="exact"/>
              <w:rPr>
                <w:sz w:val="21"/>
                <w:szCs w:val="21"/>
              </w:rPr>
            </w:pPr>
            <w:r>
              <w:rPr>
                <w:sz w:val="21"/>
                <w:szCs w:val="21"/>
              </w:rPr>
              <w:t>4</w:t>
            </w:r>
          </w:p>
        </w:tc>
        <w:tc>
          <w:tcPr>
            <w:tcW w:w="904" w:type="dxa"/>
            <w:noWrap w:val="0"/>
            <w:vAlign w:val="center"/>
          </w:tcPr>
          <w:p>
            <w:pPr>
              <w:spacing w:line="240" w:lineRule="exact"/>
              <w:rPr>
                <w:sz w:val="21"/>
                <w:szCs w:val="21"/>
              </w:rPr>
            </w:pPr>
            <w:r>
              <w:rPr>
                <w:sz w:val="21"/>
                <w:szCs w:val="21"/>
              </w:rPr>
              <w:t>水泥磨机</w:t>
            </w:r>
          </w:p>
        </w:tc>
        <w:tc>
          <w:tcPr>
            <w:tcW w:w="921" w:type="dxa"/>
            <w:noWrap w:val="0"/>
            <w:vAlign w:val="center"/>
          </w:tcPr>
          <w:p>
            <w:pPr>
              <w:spacing w:line="240" w:lineRule="exact"/>
              <w:ind w:firstLine="105" w:firstLineChars="50"/>
              <w:rPr>
                <w:sz w:val="21"/>
                <w:szCs w:val="21"/>
              </w:rPr>
            </w:pPr>
            <w:r>
              <w:rPr>
                <w:sz w:val="21"/>
                <w:szCs w:val="21"/>
              </w:rPr>
              <w:t>粉尘</w:t>
            </w:r>
          </w:p>
        </w:tc>
        <w:tc>
          <w:tcPr>
            <w:tcW w:w="866" w:type="dxa"/>
            <w:noWrap w:val="0"/>
            <w:vAlign w:val="center"/>
          </w:tcPr>
          <w:p>
            <w:pPr>
              <w:spacing w:line="240" w:lineRule="exact"/>
              <w:rPr>
                <w:sz w:val="21"/>
                <w:szCs w:val="21"/>
              </w:rPr>
            </w:pPr>
            <w:r>
              <w:rPr>
                <w:sz w:val="21"/>
                <w:szCs w:val="21"/>
              </w:rPr>
              <w:t>布袋除尘</w:t>
            </w:r>
          </w:p>
        </w:tc>
        <w:tc>
          <w:tcPr>
            <w:tcW w:w="1089" w:type="dxa"/>
            <w:noWrap w:val="0"/>
            <w:vAlign w:val="center"/>
          </w:tcPr>
          <w:p>
            <w:pPr>
              <w:spacing w:line="240" w:lineRule="exact"/>
              <w:rPr>
                <w:sz w:val="21"/>
                <w:szCs w:val="21"/>
              </w:rPr>
            </w:pPr>
            <w:r>
              <w:rPr>
                <w:sz w:val="21"/>
                <w:szCs w:val="21"/>
              </w:rPr>
              <w:t>37000</w:t>
            </w:r>
          </w:p>
        </w:tc>
        <w:tc>
          <w:tcPr>
            <w:tcW w:w="1168" w:type="dxa"/>
            <w:noWrap w:val="0"/>
            <w:vAlign w:val="top"/>
          </w:tcPr>
          <w:p>
            <w:r>
              <w:rPr>
                <w:sz w:val="21"/>
                <w:szCs w:val="21"/>
              </w:rPr>
              <w:t>7200</w:t>
            </w:r>
          </w:p>
        </w:tc>
        <w:tc>
          <w:tcPr>
            <w:tcW w:w="1076" w:type="dxa"/>
            <w:noWrap w:val="0"/>
            <w:vAlign w:val="center"/>
          </w:tcPr>
          <w:p>
            <w:pPr>
              <w:spacing w:line="240" w:lineRule="exact"/>
              <w:rPr>
                <w:sz w:val="21"/>
                <w:szCs w:val="21"/>
              </w:rPr>
            </w:pPr>
            <w:r>
              <w:rPr>
                <w:sz w:val="21"/>
                <w:szCs w:val="21"/>
              </w:rPr>
              <w:t>100</w:t>
            </w:r>
          </w:p>
        </w:tc>
        <w:tc>
          <w:tcPr>
            <w:tcW w:w="1286" w:type="dxa"/>
            <w:noWrap w:val="0"/>
            <w:vAlign w:val="center"/>
          </w:tcPr>
          <w:p>
            <w:pPr>
              <w:spacing w:line="240" w:lineRule="exact"/>
              <w:rPr>
                <w:sz w:val="21"/>
                <w:szCs w:val="21"/>
              </w:rPr>
            </w:pPr>
            <w:r>
              <w:rPr>
                <w:sz w:val="21"/>
                <w:szCs w:val="21"/>
              </w:rPr>
              <w:t>3.7</w:t>
            </w:r>
          </w:p>
        </w:tc>
        <w:tc>
          <w:tcPr>
            <w:tcW w:w="1286" w:type="dxa"/>
            <w:noWrap w:val="0"/>
            <w:vAlign w:val="center"/>
          </w:tcPr>
          <w:p>
            <w:pPr>
              <w:spacing w:line="240" w:lineRule="exact"/>
              <w:rPr>
                <w:sz w:val="21"/>
                <w:szCs w:val="21"/>
              </w:rPr>
            </w:pPr>
            <w:r>
              <w:rPr>
                <w:sz w:val="21"/>
                <w:szCs w:val="21"/>
              </w:rPr>
              <w:t>26.64</w:t>
            </w:r>
          </w:p>
        </w:tc>
        <w:tc>
          <w:tcPr>
            <w:tcW w:w="1076" w:type="dxa"/>
            <w:noWrap w:val="0"/>
            <w:vAlign w:val="center"/>
          </w:tcPr>
          <w:p>
            <w:pPr>
              <w:spacing w:line="240" w:lineRule="exact"/>
              <w:rPr>
                <w:sz w:val="21"/>
                <w:szCs w:val="21"/>
              </w:rPr>
            </w:pPr>
            <w:r>
              <w:rPr>
                <w:sz w:val="21"/>
                <w:szCs w:val="21"/>
              </w:rPr>
              <w:t>0.063</w:t>
            </w:r>
          </w:p>
        </w:tc>
        <w:tc>
          <w:tcPr>
            <w:tcW w:w="1128" w:type="dxa"/>
            <w:noWrap w:val="0"/>
            <w:vAlign w:val="center"/>
          </w:tcPr>
          <w:p>
            <w:pPr>
              <w:spacing w:line="240" w:lineRule="exact"/>
              <w:rPr>
                <w:sz w:val="21"/>
                <w:szCs w:val="21"/>
              </w:rPr>
            </w:pPr>
            <w:r>
              <w:rPr>
                <w:sz w:val="21"/>
                <w:szCs w:val="21"/>
              </w:rPr>
              <w:t>30</w:t>
            </w:r>
          </w:p>
        </w:tc>
        <w:tc>
          <w:tcPr>
            <w:tcW w:w="1080" w:type="dxa"/>
            <w:noWrap w:val="0"/>
            <w:vAlign w:val="center"/>
          </w:tcPr>
          <w:p>
            <w:pPr>
              <w:spacing w:line="240" w:lineRule="exact"/>
              <w:rPr>
                <w:sz w:val="21"/>
                <w:szCs w:val="21"/>
              </w:rPr>
            </w:pPr>
            <w:r>
              <w:rPr>
                <w:sz w:val="21"/>
                <w:szCs w:val="21"/>
              </w:rPr>
              <w:t>0.024</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trPr>
        <w:tc>
          <w:tcPr>
            <w:tcW w:w="566" w:type="dxa"/>
            <w:vMerge w:val="restart"/>
            <w:noWrap w:val="0"/>
            <w:vAlign w:val="center"/>
          </w:tcPr>
          <w:p>
            <w:pPr>
              <w:spacing w:line="240" w:lineRule="exact"/>
              <w:rPr>
                <w:sz w:val="21"/>
                <w:szCs w:val="21"/>
              </w:rPr>
            </w:pPr>
            <w:r>
              <w:rPr>
                <w:sz w:val="21"/>
                <w:szCs w:val="21"/>
              </w:rPr>
              <w:t>5</w:t>
            </w:r>
          </w:p>
        </w:tc>
        <w:tc>
          <w:tcPr>
            <w:tcW w:w="904" w:type="dxa"/>
            <w:vMerge w:val="restart"/>
            <w:noWrap w:val="0"/>
            <w:vAlign w:val="center"/>
          </w:tcPr>
          <w:p>
            <w:pPr>
              <w:spacing w:line="240" w:lineRule="exact"/>
              <w:rPr>
                <w:sz w:val="21"/>
                <w:szCs w:val="21"/>
              </w:rPr>
            </w:pPr>
            <w:r>
              <w:rPr>
                <w:sz w:val="21"/>
                <w:szCs w:val="21"/>
              </w:rPr>
              <w:t>烘干机</w:t>
            </w:r>
          </w:p>
        </w:tc>
        <w:tc>
          <w:tcPr>
            <w:tcW w:w="921" w:type="dxa"/>
            <w:noWrap w:val="0"/>
            <w:vAlign w:val="center"/>
          </w:tcPr>
          <w:p>
            <w:pPr>
              <w:spacing w:line="240" w:lineRule="exact"/>
              <w:ind w:firstLine="105" w:firstLineChars="50"/>
              <w:rPr>
                <w:sz w:val="21"/>
                <w:szCs w:val="21"/>
              </w:rPr>
            </w:pPr>
            <w:r>
              <w:rPr>
                <w:sz w:val="21"/>
                <w:szCs w:val="21"/>
              </w:rPr>
              <w:t>烟尘</w:t>
            </w:r>
          </w:p>
        </w:tc>
        <w:tc>
          <w:tcPr>
            <w:tcW w:w="866" w:type="dxa"/>
            <w:noWrap w:val="0"/>
            <w:vAlign w:val="center"/>
          </w:tcPr>
          <w:p>
            <w:pPr>
              <w:spacing w:line="240" w:lineRule="exact"/>
              <w:rPr>
                <w:sz w:val="21"/>
                <w:szCs w:val="21"/>
              </w:rPr>
            </w:pPr>
            <w:r>
              <w:rPr>
                <w:sz w:val="21"/>
                <w:szCs w:val="21"/>
              </w:rPr>
              <w:t>布袋除尘</w:t>
            </w:r>
          </w:p>
        </w:tc>
        <w:tc>
          <w:tcPr>
            <w:tcW w:w="1089" w:type="dxa"/>
            <w:vMerge w:val="restart"/>
            <w:noWrap w:val="0"/>
            <w:vAlign w:val="center"/>
          </w:tcPr>
          <w:p>
            <w:pPr>
              <w:spacing w:line="240" w:lineRule="exact"/>
              <w:ind w:firstLine="210" w:firstLineChars="100"/>
              <w:rPr>
                <w:sz w:val="21"/>
                <w:szCs w:val="21"/>
              </w:rPr>
            </w:pPr>
            <w:r>
              <w:rPr>
                <w:sz w:val="21"/>
                <w:szCs w:val="21"/>
              </w:rPr>
              <w:t>48120</w:t>
            </w:r>
          </w:p>
        </w:tc>
        <w:tc>
          <w:tcPr>
            <w:tcW w:w="1168" w:type="dxa"/>
            <w:vMerge w:val="restart"/>
            <w:noWrap w:val="0"/>
            <w:vAlign w:val="top"/>
          </w:tcPr>
          <w:p>
            <w:r>
              <w:rPr>
                <w:sz w:val="21"/>
                <w:szCs w:val="21"/>
              </w:rPr>
              <w:t>7200</w:t>
            </w:r>
          </w:p>
        </w:tc>
        <w:tc>
          <w:tcPr>
            <w:tcW w:w="1076" w:type="dxa"/>
            <w:noWrap w:val="0"/>
            <w:vAlign w:val="center"/>
          </w:tcPr>
          <w:p>
            <w:pPr>
              <w:spacing w:line="240" w:lineRule="exact"/>
              <w:rPr>
                <w:sz w:val="21"/>
                <w:szCs w:val="21"/>
              </w:rPr>
            </w:pPr>
            <w:r>
              <w:rPr>
                <w:sz w:val="21"/>
                <w:szCs w:val="21"/>
              </w:rPr>
              <w:t>95</w:t>
            </w:r>
          </w:p>
        </w:tc>
        <w:tc>
          <w:tcPr>
            <w:tcW w:w="1286" w:type="dxa"/>
            <w:noWrap w:val="0"/>
            <w:vAlign w:val="center"/>
          </w:tcPr>
          <w:p>
            <w:pPr>
              <w:spacing w:line="240" w:lineRule="exact"/>
              <w:rPr>
                <w:sz w:val="21"/>
                <w:szCs w:val="21"/>
              </w:rPr>
            </w:pPr>
            <w:r>
              <w:rPr>
                <w:sz w:val="21"/>
                <w:szCs w:val="21"/>
              </w:rPr>
              <w:t>4.57</w:t>
            </w:r>
          </w:p>
        </w:tc>
        <w:tc>
          <w:tcPr>
            <w:tcW w:w="1286" w:type="dxa"/>
            <w:noWrap w:val="0"/>
            <w:vAlign w:val="center"/>
          </w:tcPr>
          <w:p>
            <w:pPr>
              <w:spacing w:line="240" w:lineRule="exact"/>
              <w:rPr>
                <w:sz w:val="21"/>
                <w:szCs w:val="21"/>
              </w:rPr>
            </w:pPr>
            <w:r>
              <w:rPr>
                <w:sz w:val="21"/>
                <w:szCs w:val="21"/>
              </w:rPr>
              <w:t>32.9</w:t>
            </w:r>
          </w:p>
        </w:tc>
        <w:tc>
          <w:tcPr>
            <w:tcW w:w="1076" w:type="dxa"/>
            <w:noWrap w:val="0"/>
            <w:vAlign w:val="center"/>
          </w:tcPr>
          <w:p>
            <w:pPr>
              <w:spacing w:line="240" w:lineRule="exact"/>
              <w:rPr>
                <w:sz w:val="21"/>
                <w:szCs w:val="21"/>
              </w:rPr>
            </w:pPr>
            <w:r>
              <w:rPr>
                <w:sz w:val="21"/>
                <w:szCs w:val="21"/>
              </w:rPr>
              <w:t>0.078</w:t>
            </w:r>
          </w:p>
        </w:tc>
        <w:tc>
          <w:tcPr>
            <w:tcW w:w="1128" w:type="dxa"/>
            <w:noWrap w:val="0"/>
            <w:vAlign w:val="center"/>
          </w:tcPr>
          <w:p>
            <w:pPr>
              <w:spacing w:line="240" w:lineRule="exact"/>
              <w:rPr>
                <w:sz w:val="21"/>
                <w:szCs w:val="21"/>
              </w:rPr>
            </w:pPr>
            <w:r>
              <w:rPr>
                <w:sz w:val="21"/>
                <w:szCs w:val="21"/>
              </w:rPr>
              <w:t>50</w:t>
            </w:r>
          </w:p>
        </w:tc>
        <w:tc>
          <w:tcPr>
            <w:tcW w:w="1080" w:type="dxa"/>
            <w:noWrap w:val="0"/>
            <w:vAlign w:val="center"/>
          </w:tcPr>
          <w:p>
            <w:pPr>
              <w:spacing w:line="240" w:lineRule="exact"/>
              <w:rPr>
                <w:sz w:val="21"/>
                <w:szCs w:val="21"/>
              </w:rPr>
            </w:pPr>
            <w:r>
              <w:rPr>
                <w:sz w:val="21"/>
                <w:szCs w:val="21"/>
              </w:rPr>
              <w:t>0.15</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6" w:type="dxa"/>
            <w:vMerge w:val="continue"/>
            <w:noWrap w:val="0"/>
            <w:vAlign w:val="center"/>
          </w:tcPr>
          <w:p>
            <w:pPr>
              <w:spacing w:line="240" w:lineRule="exact"/>
              <w:ind w:firstLine="440"/>
              <w:rPr>
                <w:sz w:val="21"/>
                <w:szCs w:val="21"/>
              </w:rPr>
            </w:pPr>
          </w:p>
        </w:tc>
        <w:tc>
          <w:tcPr>
            <w:tcW w:w="904" w:type="dxa"/>
            <w:vMerge w:val="continue"/>
            <w:noWrap w:val="0"/>
            <w:vAlign w:val="center"/>
          </w:tcPr>
          <w:p>
            <w:pPr>
              <w:spacing w:line="240" w:lineRule="exact"/>
              <w:ind w:firstLine="440"/>
              <w:rPr>
                <w:sz w:val="21"/>
                <w:szCs w:val="21"/>
              </w:rPr>
            </w:pPr>
          </w:p>
        </w:tc>
        <w:tc>
          <w:tcPr>
            <w:tcW w:w="921" w:type="dxa"/>
            <w:noWrap w:val="0"/>
            <w:vAlign w:val="center"/>
          </w:tcPr>
          <w:p>
            <w:pPr>
              <w:spacing w:line="240" w:lineRule="exact"/>
              <w:ind w:firstLine="210" w:firstLineChars="100"/>
              <w:rPr>
                <w:sz w:val="21"/>
                <w:szCs w:val="21"/>
              </w:rPr>
            </w:pPr>
            <w:r>
              <w:rPr>
                <w:sz w:val="21"/>
                <w:szCs w:val="21"/>
              </w:rPr>
              <w:t>SO</w:t>
            </w:r>
            <w:r>
              <w:rPr>
                <w:sz w:val="21"/>
                <w:szCs w:val="21"/>
                <w:vertAlign w:val="subscript"/>
              </w:rPr>
              <w:t>2</w:t>
            </w:r>
          </w:p>
        </w:tc>
        <w:tc>
          <w:tcPr>
            <w:tcW w:w="866" w:type="dxa"/>
            <w:noWrap w:val="0"/>
            <w:vAlign w:val="center"/>
          </w:tcPr>
          <w:p>
            <w:pPr>
              <w:spacing w:line="240" w:lineRule="exact"/>
              <w:ind w:firstLine="210" w:firstLineChars="100"/>
              <w:rPr>
                <w:sz w:val="21"/>
                <w:szCs w:val="21"/>
              </w:rPr>
            </w:pPr>
            <w:r>
              <w:rPr>
                <w:sz w:val="21"/>
                <w:szCs w:val="21"/>
              </w:rPr>
              <w:t>/</w:t>
            </w: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top"/>
          </w:tcPr>
          <w:p>
            <w:pPr>
              <w:spacing w:line="240" w:lineRule="exact"/>
              <w:ind w:firstLine="440"/>
              <w:rPr>
                <w:sz w:val="21"/>
                <w:szCs w:val="21"/>
              </w:rPr>
            </w:pPr>
          </w:p>
        </w:tc>
        <w:tc>
          <w:tcPr>
            <w:tcW w:w="1076" w:type="dxa"/>
            <w:noWrap w:val="0"/>
            <w:vAlign w:val="center"/>
          </w:tcPr>
          <w:p>
            <w:pPr>
              <w:spacing w:line="240" w:lineRule="exact"/>
              <w:rPr>
                <w:sz w:val="21"/>
                <w:szCs w:val="21"/>
              </w:rPr>
            </w:pPr>
            <w:r>
              <w:rPr>
                <w:sz w:val="21"/>
                <w:szCs w:val="21"/>
              </w:rPr>
              <w:t>166</w:t>
            </w:r>
          </w:p>
        </w:tc>
        <w:tc>
          <w:tcPr>
            <w:tcW w:w="1286" w:type="dxa"/>
            <w:noWrap w:val="0"/>
            <w:vAlign w:val="center"/>
          </w:tcPr>
          <w:p>
            <w:pPr>
              <w:spacing w:line="240" w:lineRule="exact"/>
              <w:rPr>
                <w:sz w:val="21"/>
                <w:szCs w:val="21"/>
              </w:rPr>
            </w:pPr>
            <w:r>
              <w:rPr>
                <w:sz w:val="21"/>
                <w:szCs w:val="21"/>
              </w:rPr>
              <w:t>8</w:t>
            </w:r>
          </w:p>
        </w:tc>
        <w:tc>
          <w:tcPr>
            <w:tcW w:w="1286" w:type="dxa"/>
            <w:noWrap w:val="0"/>
            <w:vAlign w:val="center"/>
          </w:tcPr>
          <w:p>
            <w:pPr>
              <w:spacing w:line="240" w:lineRule="exact"/>
              <w:rPr>
                <w:sz w:val="21"/>
                <w:szCs w:val="21"/>
              </w:rPr>
            </w:pPr>
            <w:r>
              <w:rPr>
                <w:sz w:val="21"/>
                <w:szCs w:val="21"/>
              </w:rPr>
              <w:t>57.6</w:t>
            </w:r>
          </w:p>
        </w:tc>
        <w:tc>
          <w:tcPr>
            <w:tcW w:w="1076" w:type="dxa"/>
            <w:noWrap w:val="0"/>
            <w:vAlign w:val="center"/>
          </w:tcPr>
          <w:p>
            <w:pPr>
              <w:spacing w:line="240" w:lineRule="exact"/>
              <w:rPr>
                <w:sz w:val="21"/>
                <w:szCs w:val="21"/>
              </w:rPr>
            </w:pPr>
            <w:r>
              <w:rPr>
                <w:sz w:val="21"/>
                <w:szCs w:val="21"/>
              </w:rPr>
              <w:t>0.137</w:t>
            </w:r>
          </w:p>
        </w:tc>
        <w:tc>
          <w:tcPr>
            <w:tcW w:w="1128" w:type="dxa"/>
            <w:noWrap w:val="0"/>
            <w:vAlign w:val="center"/>
          </w:tcPr>
          <w:p>
            <w:pPr>
              <w:spacing w:line="240" w:lineRule="exact"/>
              <w:rPr>
                <w:sz w:val="21"/>
                <w:szCs w:val="21"/>
              </w:rPr>
            </w:pPr>
            <w:r>
              <w:rPr>
                <w:sz w:val="21"/>
                <w:szCs w:val="21"/>
              </w:rPr>
              <w:t>/</w:t>
            </w:r>
          </w:p>
        </w:tc>
        <w:tc>
          <w:tcPr>
            <w:tcW w:w="1080" w:type="dxa"/>
            <w:noWrap w:val="0"/>
            <w:vAlign w:val="center"/>
          </w:tcPr>
          <w:p>
            <w:pPr>
              <w:spacing w:line="240" w:lineRule="exact"/>
              <w:rPr>
                <w:sz w:val="21"/>
                <w:szCs w:val="21"/>
              </w:rPr>
            </w:pPr>
            <w:r>
              <w:rPr>
                <w:sz w:val="21"/>
                <w:szCs w:val="21"/>
              </w:rPr>
              <w:t>/</w:t>
            </w:r>
          </w:p>
        </w:tc>
        <w:tc>
          <w:tcPr>
            <w:tcW w:w="900" w:type="dxa"/>
            <w:noWrap w:val="0"/>
            <w:vAlign w:val="center"/>
          </w:tcPr>
          <w:p>
            <w:pPr>
              <w:spacing w:line="24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6" w:type="dxa"/>
            <w:vMerge w:val="continue"/>
            <w:noWrap w:val="0"/>
            <w:vAlign w:val="center"/>
          </w:tcPr>
          <w:p>
            <w:pPr>
              <w:spacing w:line="240" w:lineRule="exact"/>
              <w:ind w:firstLine="440"/>
              <w:rPr>
                <w:sz w:val="21"/>
                <w:szCs w:val="21"/>
              </w:rPr>
            </w:pPr>
          </w:p>
        </w:tc>
        <w:tc>
          <w:tcPr>
            <w:tcW w:w="904" w:type="dxa"/>
            <w:vMerge w:val="continue"/>
            <w:noWrap w:val="0"/>
            <w:vAlign w:val="center"/>
          </w:tcPr>
          <w:p>
            <w:pPr>
              <w:spacing w:line="240" w:lineRule="exact"/>
              <w:ind w:firstLine="440"/>
              <w:rPr>
                <w:sz w:val="21"/>
                <w:szCs w:val="21"/>
              </w:rPr>
            </w:pPr>
          </w:p>
        </w:tc>
        <w:tc>
          <w:tcPr>
            <w:tcW w:w="921" w:type="dxa"/>
            <w:noWrap w:val="0"/>
            <w:vAlign w:val="center"/>
          </w:tcPr>
          <w:p>
            <w:pPr>
              <w:spacing w:line="240" w:lineRule="exact"/>
              <w:ind w:firstLine="210" w:firstLineChars="100"/>
              <w:rPr>
                <w:sz w:val="21"/>
                <w:szCs w:val="21"/>
              </w:rPr>
            </w:pPr>
            <w:r>
              <w:rPr>
                <w:sz w:val="21"/>
                <w:szCs w:val="21"/>
              </w:rPr>
              <w:t>NO</w:t>
            </w:r>
            <w:r>
              <w:rPr>
                <w:sz w:val="21"/>
                <w:szCs w:val="21"/>
                <w:vertAlign w:val="subscript"/>
              </w:rPr>
              <w:t>2</w:t>
            </w:r>
          </w:p>
        </w:tc>
        <w:tc>
          <w:tcPr>
            <w:tcW w:w="866" w:type="dxa"/>
            <w:noWrap w:val="0"/>
            <w:vAlign w:val="center"/>
          </w:tcPr>
          <w:p>
            <w:pPr>
              <w:spacing w:line="240" w:lineRule="exact"/>
              <w:ind w:firstLine="210" w:firstLineChars="100"/>
              <w:rPr>
                <w:sz w:val="21"/>
                <w:szCs w:val="21"/>
              </w:rPr>
            </w:pPr>
            <w:r>
              <w:rPr>
                <w:sz w:val="21"/>
                <w:szCs w:val="21"/>
              </w:rPr>
              <w:t>/</w:t>
            </w: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top"/>
          </w:tcPr>
          <w:p>
            <w:pPr>
              <w:spacing w:line="240" w:lineRule="exact"/>
              <w:ind w:firstLine="440"/>
              <w:rPr>
                <w:sz w:val="21"/>
                <w:szCs w:val="21"/>
              </w:rPr>
            </w:pPr>
          </w:p>
        </w:tc>
        <w:tc>
          <w:tcPr>
            <w:tcW w:w="1076" w:type="dxa"/>
            <w:noWrap w:val="0"/>
            <w:vAlign w:val="center"/>
          </w:tcPr>
          <w:p>
            <w:pPr>
              <w:spacing w:line="240" w:lineRule="exact"/>
              <w:rPr>
                <w:sz w:val="21"/>
                <w:szCs w:val="21"/>
              </w:rPr>
            </w:pPr>
            <w:r>
              <w:rPr>
                <w:sz w:val="21"/>
                <w:szCs w:val="21"/>
              </w:rPr>
              <w:t>120</w:t>
            </w:r>
          </w:p>
        </w:tc>
        <w:tc>
          <w:tcPr>
            <w:tcW w:w="1286" w:type="dxa"/>
            <w:noWrap w:val="0"/>
            <w:vAlign w:val="center"/>
          </w:tcPr>
          <w:p>
            <w:pPr>
              <w:spacing w:line="240" w:lineRule="exact"/>
              <w:rPr>
                <w:sz w:val="21"/>
                <w:szCs w:val="21"/>
              </w:rPr>
            </w:pPr>
            <w:r>
              <w:rPr>
                <w:sz w:val="21"/>
                <w:szCs w:val="21"/>
              </w:rPr>
              <w:t>5.77</w:t>
            </w:r>
          </w:p>
        </w:tc>
        <w:tc>
          <w:tcPr>
            <w:tcW w:w="1286" w:type="dxa"/>
            <w:noWrap w:val="0"/>
            <w:vAlign w:val="center"/>
          </w:tcPr>
          <w:p>
            <w:pPr>
              <w:spacing w:line="240" w:lineRule="exact"/>
              <w:rPr>
                <w:sz w:val="21"/>
                <w:szCs w:val="21"/>
              </w:rPr>
            </w:pPr>
            <w:r>
              <w:rPr>
                <w:sz w:val="21"/>
                <w:szCs w:val="21"/>
              </w:rPr>
              <w:t>41.54</w:t>
            </w:r>
          </w:p>
        </w:tc>
        <w:tc>
          <w:tcPr>
            <w:tcW w:w="1076" w:type="dxa"/>
            <w:noWrap w:val="0"/>
            <w:vAlign w:val="center"/>
          </w:tcPr>
          <w:p>
            <w:pPr>
              <w:spacing w:line="240" w:lineRule="exact"/>
              <w:rPr>
                <w:sz w:val="21"/>
                <w:szCs w:val="21"/>
              </w:rPr>
            </w:pPr>
            <w:r>
              <w:rPr>
                <w:sz w:val="21"/>
                <w:szCs w:val="21"/>
              </w:rPr>
              <w:t>0.099</w:t>
            </w:r>
          </w:p>
        </w:tc>
        <w:tc>
          <w:tcPr>
            <w:tcW w:w="1128" w:type="dxa"/>
            <w:noWrap w:val="0"/>
            <w:vAlign w:val="center"/>
          </w:tcPr>
          <w:p>
            <w:pPr>
              <w:spacing w:line="240" w:lineRule="exact"/>
              <w:rPr>
                <w:sz w:val="21"/>
                <w:szCs w:val="21"/>
              </w:rPr>
            </w:pPr>
            <w:r>
              <w:rPr>
                <w:sz w:val="21"/>
                <w:szCs w:val="21"/>
              </w:rPr>
              <w:t>/</w:t>
            </w:r>
          </w:p>
        </w:tc>
        <w:tc>
          <w:tcPr>
            <w:tcW w:w="1080" w:type="dxa"/>
            <w:noWrap w:val="0"/>
            <w:vAlign w:val="center"/>
          </w:tcPr>
          <w:p>
            <w:pPr>
              <w:spacing w:line="240" w:lineRule="exact"/>
              <w:rPr>
                <w:sz w:val="21"/>
                <w:szCs w:val="21"/>
              </w:rPr>
            </w:pPr>
            <w:r>
              <w:rPr>
                <w:sz w:val="21"/>
                <w:szCs w:val="21"/>
              </w:rPr>
              <w:t>/</w:t>
            </w:r>
          </w:p>
        </w:tc>
        <w:tc>
          <w:tcPr>
            <w:tcW w:w="900" w:type="dxa"/>
            <w:noWrap w:val="0"/>
            <w:vAlign w:val="center"/>
          </w:tcPr>
          <w:p>
            <w:pPr>
              <w:spacing w:line="24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66" w:type="dxa"/>
            <w:noWrap w:val="0"/>
            <w:vAlign w:val="center"/>
          </w:tcPr>
          <w:p>
            <w:pPr>
              <w:spacing w:line="240" w:lineRule="exact"/>
              <w:rPr>
                <w:sz w:val="21"/>
                <w:szCs w:val="21"/>
              </w:rPr>
            </w:pPr>
            <w:r>
              <w:rPr>
                <w:sz w:val="21"/>
                <w:szCs w:val="21"/>
              </w:rPr>
              <w:t>6</w:t>
            </w:r>
          </w:p>
        </w:tc>
        <w:tc>
          <w:tcPr>
            <w:tcW w:w="904" w:type="dxa"/>
            <w:noWrap w:val="0"/>
            <w:vAlign w:val="center"/>
          </w:tcPr>
          <w:p>
            <w:pPr>
              <w:spacing w:line="240" w:lineRule="exact"/>
              <w:rPr>
                <w:sz w:val="21"/>
                <w:szCs w:val="21"/>
              </w:rPr>
            </w:pPr>
            <w:r>
              <w:rPr>
                <w:sz w:val="21"/>
                <w:szCs w:val="21"/>
              </w:rPr>
              <w:t>包装机</w:t>
            </w:r>
          </w:p>
        </w:tc>
        <w:tc>
          <w:tcPr>
            <w:tcW w:w="921" w:type="dxa"/>
            <w:noWrap w:val="0"/>
            <w:vAlign w:val="center"/>
          </w:tcPr>
          <w:p>
            <w:pPr>
              <w:spacing w:line="240" w:lineRule="exact"/>
              <w:ind w:firstLine="105" w:firstLineChars="50"/>
              <w:rPr>
                <w:sz w:val="21"/>
                <w:szCs w:val="21"/>
              </w:rPr>
            </w:pPr>
            <w:r>
              <w:rPr>
                <w:sz w:val="21"/>
                <w:szCs w:val="21"/>
              </w:rPr>
              <w:t>粉尘</w:t>
            </w:r>
          </w:p>
        </w:tc>
        <w:tc>
          <w:tcPr>
            <w:tcW w:w="866" w:type="dxa"/>
            <w:noWrap w:val="0"/>
            <w:vAlign w:val="center"/>
          </w:tcPr>
          <w:p>
            <w:pPr>
              <w:spacing w:line="240" w:lineRule="exact"/>
              <w:rPr>
                <w:sz w:val="21"/>
                <w:szCs w:val="21"/>
              </w:rPr>
            </w:pPr>
            <w:r>
              <w:rPr>
                <w:sz w:val="21"/>
                <w:szCs w:val="21"/>
              </w:rPr>
              <w:t>布袋除尘</w:t>
            </w:r>
          </w:p>
        </w:tc>
        <w:tc>
          <w:tcPr>
            <w:tcW w:w="1089" w:type="dxa"/>
            <w:noWrap w:val="0"/>
            <w:vAlign w:val="center"/>
          </w:tcPr>
          <w:p>
            <w:pPr>
              <w:spacing w:line="240" w:lineRule="exact"/>
              <w:ind w:firstLine="105" w:firstLineChars="50"/>
              <w:rPr>
                <w:sz w:val="21"/>
                <w:szCs w:val="21"/>
              </w:rPr>
            </w:pPr>
            <w:r>
              <w:rPr>
                <w:sz w:val="21"/>
                <w:szCs w:val="21"/>
              </w:rPr>
              <w:t>29850</w:t>
            </w:r>
          </w:p>
        </w:tc>
        <w:tc>
          <w:tcPr>
            <w:tcW w:w="1168" w:type="dxa"/>
            <w:noWrap w:val="0"/>
            <w:vAlign w:val="top"/>
          </w:tcPr>
          <w:p>
            <w:r>
              <w:rPr>
                <w:sz w:val="21"/>
                <w:szCs w:val="21"/>
              </w:rPr>
              <w:t>7200</w:t>
            </w:r>
          </w:p>
        </w:tc>
        <w:tc>
          <w:tcPr>
            <w:tcW w:w="1076" w:type="dxa"/>
            <w:noWrap w:val="0"/>
            <w:vAlign w:val="center"/>
          </w:tcPr>
          <w:p>
            <w:pPr>
              <w:spacing w:line="240" w:lineRule="exact"/>
              <w:rPr>
                <w:sz w:val="21"/>
                <w:szCs w:val="21"/>
              </w:rPr>
            </w:pPr>
            <w:r>
              <w:rPr>
                <w:sz w:val="21"/>
                <w:szCs w:val="21"/>
              </w:rPr>
              <w:t>100</w:t>
            </w:r>
          </w:p>
        </w:tc>
        <w:tc>
          <w:tcPr>
            <w:tcW w:w="1286" w:type="dxa"/>
            <w:noWrap w:val="0"/>
            <w:vAlign w:val="center"/>
          </w:tcPr>
          <w:p>
            <w:pPr>
              <w:spacing w:line="240" w:lineRule="exact"/>
              <w:rPr>
                <w:sz w:val="21"/>
                <w:szCs w:val="21"/>
              </w:rPr>
            </w:pPr>
            <w:r>
              <w:rPr>
                <w:sz w:val="21"/>
                <w:szCs w:val="21"/>
              </w:rPr>
              <w:t>2.99</w:t>
            </w:r>
          </w:p>
        </w:tc>
        <w:tc>
          <w:tcPr>
            <w:tcW w:w="1286" w:type="dxa"/>
            <w:noWrap w:val="0"/>
            <w:vAlign w:val="center"/>
          </w:tcPr>
          <w:p>
            <w:pPr>
              <w:spacing w:line="240" w:lineRule="exact"/>
              <w:rPr>
                <w:sz w:val="21"/>
                <w:szCs w:val="21"/>
              </w:rPr>
            </w:pPr>
            <w:r>
              <w:rPr>
                <w:sz w:val="21"/>
                <w:szCs w:val="21"/>
              </w:rPr>
              <w:t>21.53</w:t>
            </w:r>
          </w:p>
        </w:tc>
        <w:tc>
          <w:tcPr>
            <w:tcW w:w="1076" w:type="dxa"/>
            <w:noWrap w:val="0"/>
            <w:vAlign w:val="center"/>
          </w:tcPr>
          <w:p>
            <w:pPr>
              <w:spacing w:line="240" w:lineRule="exact"/>
              <w:rPr>
                <w:sz w:val="21"/>
                <w:szCs w:val="21"/>
              </w:rPr>
            </w:pPr>
            <w:r>
              <w:rPr>
                <w:sz w:val="21"/>
                <w:szCs w:val="21"/>
              </w:rPr>
              <w:t>0.051</w:t>
            </w:r>
          </w:p>
        </w:tc>
        <w:tc>
          <w:tcPr>
            <w:tcW w:w="1128" w:type="dxa"/>
            <w:noWrap w:val="0"/>
            <w:vAlign w:val="center"/>
          </w:tcPr>
          <w:p>
            <w:pPr>
              <w:spacing w:line="240" w:lineRule="exact"/>
              <w:rPr>
                <w:sz w:val="21"/>
                <w:szCs w:val="21"/>
              </w:rPr>
            </w:pPr>
            <w:r>
              <w:rPr>
                <w:sz w:val="21"/>
                <w:szCs w:val="21"/>
              </w:rPr>
              <w:t>30</w:t>
            </w:r>
          </w:p>
        </w:tc>
        <w:tc>
          <w:tcPr>
            <w:tcW w:w="1080" w:type="dxa"/>
            <w:noWrap w:val="0"/>
            <w:vAlign w:val="center"/>
          </w:tcPr>
          <w:p>
            <w:pPr>
              <w:spacing w:line="240" w:lineRule="exact"/>
              <w:rPr>
                <w:sz w:val="21"/>
                <w:szCs w:val="21"/>
              </w:rPr>
            </w:pPr>
            <w:r>
              <w:rPr>
                <w:sz w:val="21"/>
                <w:szCs w:val="21"/>
              </w:rPr>
              <w:t>0.024</w:t>
            </w:r>
          </w:p>
        </w:tc>
        <w:tc>
          <w:tcPr>
            <w:tcW w:w="900" w:type="dxa"/>
            <w:noWrap w:val="0"/>
            <w:vAlign w:val="center"/>
          </w:tcPr>
          <w:p>
            <w:pPr>
              <w:spacing w:line="240" w:lineRule="exact"/>
              <w:rPr>
                <w:sz w:val="21"/>
                <w:szCs w:val="21"/>
              </w:rPr>
            </w:pPr>
            <w:r>
              <w:rPr>
                <w:sz w:val="21"/>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70" w:type="dxa"/>
            <w:gridSpan w:val="2"/>
            <w:vMerge w:val="restart"/>
            <w:noWrap w:val="0"/>
            <w:vAlign w:val="center"/>
          </w:tcPr>
          <w:p>
            <w:pPr>
              <w:spacing w:line="240" w:lineRule="exact"/>
              <w:ind w:firstLine="440"/>
              <w:rPr>
                <w:sz w:val="21"/>
                <w:szCs w:val="21"/>
              </w:rPr>
            </w:pPr>
            <w:r>
              <w:rPr>
                <w:sz w:val="21"/>
                <w:szCs w:val="21"/>
              </w:rPr>
              <w:t>合计</w:t>
            </w:r>
          </w:p>
        </w:tc>
        <w:tc>
          <w:tcPr>
            <w:tcW w:w="921" w:type="dxa"/>
            <w:noWrap w:val="0"/>
            <w:vAlign w:val="center"/>
          </w:tcPr>
          <w:p>
            <w:pPr>
              <w:spacing w:line="240" w:lineRule="exact"/>
              <w:ind w:firstLine="105" w:firstLineChars="50"/>
              <w:rPr>
                <w:sz w:val="21"/>
                <w:szCs w:val="21"/>
              </w:rPr>
            </w:pPr>
            <w:r>
              <w:rPr>
                <w:sz w:val="21"/>
                <w:szCs w:val="21"/>
              </w:rPr>
              <w:t>烟尘</w:t>
            </w:r>
          </w:p>
        </w:tc>
        <w:tc>
          <w:tcPr>
            <w:tcW w:w="866" w:type="dxa"/>
            <w:noWrap w:val="0"/>
            <w:vAlign w:val="center"/>
          </w:tcPr>
          <w:p>
            <w:pPr>
              <w:spacing w:line="240" w:lineRule="exact"/>
              <w:rPr>
                <w:sz w:val="21"/>
                <w:szCs w:val="21"/>
              </w:rPr>
            </w:pPr>
          </w:p>
        </w:tc>
        <w:tc>
          <w:tcPr>
            <w:tcW w:w="1089" w:type="dxa"/>
            <w:vMerge w:val="restart"/>
            <w:noWrap w:val="0"/>
            <w:vAlign w:val="center"/>
          </w:tcPr>
          <w:p>
            <w:pPr>
              <w:spacing w:line="240" w:lineRule="exact"/>
              <w:ind w:firstLine="210" w:firstLineChars="100"/>
              <w:rPr>
                <w:sz w:val="21"/>
                <w:szCs w:val="21"/>
              </w:rPr>
            </w:pPr>
          </w:p>
        </w:tc>
        <w:tc>
          <w:tcPr>
            <w:tcW w:w="1168" w:type="dxa"/>
            <w:vMerge w:val="restart"/>
            <w:noWrap w:val="0"/>
            <w:vAlign w:val="center"/>
          </w:tcPr>
          <w:p>
            <w:pPr>
              <w:spacing w:line="240" w:lineRule="exact"/>
              <w:rPr>
                <w:sz w:val="21"/>
                <w:szCs w:val="21"/>
              </w:rPr>
            </w:pPr>
            <w:r>
              <w:rPr>
                <w:sz w:val="21"/>
                <w:szCs w:val="21"/>
              </w:rPr>
              <w:t>/</w:t>
            </w:r>
          </w:p>
        </w:tc>
        <w:tc>
          <w:tcPr>
            <w:tcW w:w="1076" w:type="dxa"/>
            <w:vMerge w:val="restart"/>
            <w:noWrap w:val="0"/>
            <w:vAlign w:val="center"/>
          </w:tcPr>
          <w:p>
            <w:pPr>
              <w:spacing w:line="240" w:lineRule="exact"/>
              <w:ind w:firstLine="210" w:firstLineChars="100"/>
              <w:rPr>
                <w:sz w:val="21"/>
                <w:szCs w:val="21"/>
              </w:rPr>
            </w:pPr>
          </w:p>
        </w:tc>
        <w:tc>
          <w:tcPr>
            <w:tcW w:w="1286" w:type="dxa"/>
            <w:noWrap w:val="0"/>
            <w:vAlign w:val="center"/>
          </w:tcPr>
          <w:p>
            <w:pPr>
              <w:spacing w:line="240" w:lineRule="exact"/>
              <w:rPr>
                <w:sz w:val="21"/>
                <w:szCs w:val="21"/>
              </w:rPr>
            </w:pPr>
            <w:r>
              <w:rPr>
                <w:sz w:val="21"/>
                <w:szCs w:val="21"/>
              </w:rPr>
              <w:t>31.74</w:t>
            </w:r>
          </w:p>
        </w:tc>
        <w:tc>
          <w:tcPr>
            <w:tcW w:w="1286" w:type="dxa"/>
            <w:noWrap w:val="0"/>
            <w:vAlign w:val="center"/>
          </w:tcPr>
          <w:p>
            <w:pPr>
              <w:spacing w:line="240" w:lineRule="exact"/>
              <w:rPr>
                <w:sz w:val="21"/>
                <w:szCs w:val="21"/>
              </w:rPr>
            </w:pPr>
            <w:r>
              <w:rPr>
                <w:sz w:val="21"/>
                <w:szCs w:val="21"/>
              </w:rPr>
              <w:t>228.5</w:t>
            </w:r>
          </w:p>
        </w:tc>
        <w:tc>
          <w:tcPr>
            <w:tcW w:w="1076" w:type="dxa"/>
            <w:noWrap w:val="0"/>
            <w:vAlign w:val="center"/>
          </w:tcPr>
          <w:p>
            <w:pPr>
              <w:spacing w:line="240" w:lineRule="exact"/>
              <w:rPr>
                <w:sz w:val="21"/>
                <w:szCs w:val="21"/>
              </w:rPr>
            </w:pPr>
          </w:p>
        </w:tc>
        <w:tc>
          <w:tcPr>
            <w:tcW w:w="1128" w:type="dxa"/>
            <w:noWrap w:val="0"/>
            <w:vAlign w:val="center"/>
          </w:tcPr>
          <w:p>
            <w:pPr>
              <w:spacing w:line="240" w:lineRule="exact"/>
              <w:rPr>
                <w:sz w:val="21"/>
                <w:szCs w:val="21"/>
              </w:rPr>
            </w:pPr>
          </w:p>
        </w:tc>
        <w:tc>
          <w:tcPr>
            <w:tcW w:w="1080" w:type="dxa"/>
            <w:noWrap w:val="0"/>
            <w:vAlign w:val="center"/>
          </w:tcPr>
          <w:p>
            <w:pPr>
              <w:spacing w:line="240" w:lineRule="exact"/>
              <w:rPr>
                <w:sz w:val="21"/>
                <w:szCs w:val="21"/>
              </w:rPr>
            </w:pPr>
          </w:p>
        </w:tc>
        <w:tc>
          <w:tcPr>
            <w:tcW w:w="900" w:type="dxa"/>
            <w:noWrap w:val="0"/>
            <w:vAlign w:val="center"/>
          </w:tcPr>
          <w:p>
            <w:pPr>
              <w:spacing w:line="2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70" w:type="dxa"/>
            <w:gridSpan w:val="2"/>
            <w:vMerge w:val="continue"/>
            <w:noWrap w:val="0"/>
            <w:vAlign w:val="center"/>
          </w:tcPr>
          <w:p>
            <w:pPr>
              <w:spacing w:line="240" w:lineRule="exact"/>
              <w:ind w:firstLine="440"/>
              <w:rPr>
                <w:sz w:val="21"/>
                <w:szCs w:val="21"/>
              </w:rPr>
            </w:pPr>
          </w:p>
        </w:tc>
        <w:tc>
          <w:tcPr>
            <w:tcW w:w="921" w:type="dxa"/>
            <w:noWrap w:val="0"/>
            <w:vAlign w:val="center"/>
          </w:tcPr>
          <w:p>
            <w:pPr>
              <w:spacing w:line="240" w:lineRule="exact"/>
              <w:rPr>
                <w:sz w:val="21"/>
                <w:szCs w:val="21"/>
              </w:rPr>
            </w:pPr>
            <w:r>
              <w:rPr>
                <w:sz w:val="21"/>
                <w:szCs w:val="21"/>
              </w:rPr>
              <w:t>粉尘</w:t>
            </w:r>
          </w:p>
        </w:tc>
        <w:tc>
          <w:tcPr>
            <w:tcW w:w="866" w:type="dxa"/>
            <w:noWrap w:val="0"/>
            <w:vAlign w:val="center"/>
          </w:tcPr>
          <w:p>
            <w:pPr>
              <w:spacing w:line="240" w:lineRule="exact"/>
              <w:ind w:firstLine="440"/>
              <w:rPr>
                <w:sz w:val="21"/>
                <w:szCs w:val="21"/>
              </w:rPr>
            </w:pPr>
          </w:p>
        </w:tc>
        <w:tc>
          <w:tcPr>
            <w:tcW w:w="1089" w:type="dxa"/>
            <w:vMerge w:val="continue"/>
            <w:noWrap w:val="0"/>
            <w:vAlign w:val="center"/>
          </w:tcPr>
          <w:p>
            <w:pPr>
              <w:spacing w:line="240" w:lineRule="exact"/>
              <w:ind w:firstLine="210" w:firstLineChars="100"/>
              <w:rPr>
                <w:sz w:val="21"/>
                <w:szCs w:val="21"/>
              </w:rPr>
            </w:pPr>
          </w:p>
        </w:tc>
        <w:tc>
          <w:tcPr>
            <w:tcW w:w="1168" w:type="dxa"/>
            <w:vMerge w:val="continue"/>
            <w:noWrap w:val="0"/>
            <w:vAlign w:val="center"/>
          </w:tcPr>
          <w:p>
            <w:pPr>
              <w:spacing w:line="240" w:lineRule="exact"/>
              <w:ind w:firstLine="440"/>
              <w:rPr>
                <w:sz w:val="21"/>
                <w:szCs w:val="21"/>
              </w:rPr>
            </w:pPr>
          </w:p>
        </w:tc>
        <w:tc>
          <w:tcPr>
            <w:tcW w:w="1076" w:type="dxa"/>
            <w:vMerge w:val="continue"/>
            <w:noWrap w:val="0"/>
            <w:vAlign w:val="center"/>
          </w:tcPr>
          <w:p>
            <w:pPr>
              <w:spacing w:line="240" w:lineRule="exact"/>
              <w:ind w:firstLine="440"/>
              <w:rPr>
                <w:sz w:val="21"/>
                <w:szCs w:val="21"/>
              </w:rPr>
            </w:pPr>
          </w:p>
        </w:tc>
        <w:tc>
          <w:tcPr>
            <w:tcW w:w="1286" w:type="dxa"/>
            <w:noWrap w:val="0"/>
            <w:vAlign w:val="center"/>
          </w:tcPr>
          <w:p>
            <w:pPr>
              <w:spacing w:line="240" w:lineRule="exact"/>
              <w:rPr>
                <w:sz w:val="21"/>
                <w:szCs w:val="21"/>
              </w:rPr>
            </w:pPr>
            <w:r>
              <w:rPr>
                <w:sz w:val="21"/>
                <w:szCs w:val="21"/>
              </w:rPr>
              <w:t>14.78</w:t>
            </w:r>
          </w:p>
        </w:tc>
        <w:tc>
          <w:tcPr>
            <w:tcW w:w="1286" w:type="dxa"/>
            <w:noWrap w:val="0"/>
            <w:vAlign w:val="center"/>
          </w:tcPr>
          <w:p>
            <w:pPr>
              <w:spacing w:line="240" w:lineRule="exact"/>
              <w:rPr>
                <w:sz w:val="21"/>
                <w:szCs w:val="21"/>
              </w:rPr>
            </w:pPr>
            <w:r>
              <w:rPr>
                <w:sz w:val="21"/>
                <w:szCs w:val="21"/>
              </w:rPr>
              <w:t>106.42</w:t>
            </w:r>
          </w:p>
        </w:tc>
        <w:tc>
          <w:tcPr>
            <w:tcW w:w="1076" w:type="dxa"/>
            <w:noWrap w:val="0"/>
            <w:vAlign w:val="center"/>
          </w:tcPr>
          <w:p>
            <w:pPr>
              <w:spacing w:line="240" w:lineRule="exact"/>
              <w:rPr>
                <w:sz w:val="21"/>
                <w:szCs w:val="21"/>
              </w:rPr>
            </w:pPr>
          </w:p>
        </w:tc>
        <w:tc>
          <w:tcPr>
            <w:tcW w:w="1128" w:type="dxa"/>
            <w:vMerge w:val="restart"/>
            <w:noWrap w:val="0"/>
            <w:vAlign w:val="center"/>
          </w:tcPr>
          <w:p>
            <w:pPr>
              <w:spacing w:line="240" w:lineRule="exact"/>
              <w:rPr>
                <w:sz w:val="21"/>
                <w:szCs w:val="21"/>
              </w:rPr>
            </w:pPr>
          </w:p>
        </w:tc>
        <w:tc>
          <w:tcPr>
            <w:tcW w:w="1080" w:type="dxa"/>
            <w:vMerge w:val="restart"/>
            <w:noWrap w:val="0"/>
            <w:vAlign w:val="center"/>
          </w:tcPr>
          <w:p>
            <w:pPr>
              <w:spacing w:line="240" w:lineRule="exact"/>
              <w:rPr>
                <w:sz w:val="21"/>
                <w:szCs w:val="21"/>
              </w:rPr>
            </w:pPr>
          </w:p>
        </w:tc>
        <w:tc>
          <w:tcPr>
            <w:tcW w:w="900" w:type="dxa"/>
            <w:vMerge w:val="restart"/>
            <w:noWrap w:val="0"/>
            <w:vAlign w:val="center"/>
          </w:tcPr>
          <w:p>
            <w:pPr>
              <w:spacing w:line="24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70" w:type="dxa"/>
            <w:gridSpan w:val="2"/>
            <w:vMerge w:val="continue"/>
            <w:noWrap w:val="0"/>
            <w:vAlign w:val="center"/>
          </w:tcPr>
          <w:p>
            <w:pPr>
              <w:spacing w:line="240" w:lineRule="exact"/>
              <w:ind w:firstLine="440"/>
              <w:rPr>
                <w:sz w:val="21"/>
                <w:szCs w:val="21"/>
              </w:rPr>
            </w:pPr>
          </w:p>
        </w:tc>
        <w:tc>
          <w:tcPr>
            <w:tcW w:w="921" w:type="dxa"/>
            <w:noWrap w:val="0"/>
            <w:vAlign w:val="center"/>
          </w:tcPr>
          <w:p>
            <w:pPr>
              <w:spacing w:line="240" w:lineRule="exact"/>
              <w:rPr>
                <w:sz w:val="21"/>
                <w:szCs w:val="21"/>
              </w:rPr>
            </w:pPr>
            <w:r>
              <w:rPr>
                <w:sz w:val="21"/>
                <w:szCs w:val="21"/>
              </w:rPr>
              <w:t>SO</w:t>
            </w:r>
            <w:r>
              <w:rPr>
                <w:sz w:val="21"/>
                <w:szCs w:val="21"/>
                <w:vertAlign w:val="subscript"/>
              </w:rPr>
              <w:t>2</w:t>
            </w:r>
          </w:p>
        </w:tc>
        <w:tc>
          <w:tcPr>
            <w:tcW w:w="866" w:type="dxa"/>
            <w:noWrap w:val="0"/>
            <w:vAlign w:val="center"/>
          </w:tcPr>
          <w:p>
            <w:pPr>
              <w:spacing w:line="240" w:lineRule="exact"/>
              <w:ind w:firstLine="440"/>
              <w:rPr>
                <w:sz w:val="21"/>
                <w:szCs w:val="21"/>
              </w:rPr>
            </w:pP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center"/>
          </w:tcPr>
          <w:p>
            <w:pPr>
              <w:spacing w:line="240" w:lineRule="exact"/>
              <w:ind w:firstLine="440"/>
              <w:rPr>
                <w:sz w:val="21"/>
                <w:szCs w:val="21"/>
              </w:rPr>
            </w:pPr>
          </w:p>
        </w:tc>
        <w:tc>
          <w:tcPr>
            <w:tcW w:w="1076" w:type="dxa"/>
            <w:vMerge w:val="continue"/>
            <w:noWrap w:val="0"/>
            <w:vAlign w:val="center"/>
          </w:tcPr>
          <w:p>
            <w:pPr>
              <w:spacing w:line="240" w:lineRule="exact"/>
              <w:ind w:firstLine="440"/>
              <w:rPr>
                <w:sz w:val="21"/>
                <w:szCs w:val="21"/>
              </w:rPr>
            </w:pPr>
          </w:p>
        </w:tc>
        <w:tc>
          <w:tcPr>
            <w:tcW w:w="1286" w:type="dxa"/>
            <w:noWrap w:val="0"/>
            <w:vAlign w:val="center"/>
          </w:tcPr>
          <w:p>
            <w:pPr>
              <w:spacing w:line="240" w:lineRule="exact"/>
              <w:rPr>
                <w:sz w:val="21"/>
                <w:szCs w:val="21"/>
              </w:rPr>
            </w:pPr>
            <w:r>
              <w:rPr>
                <w:sz w:val="21"/>
                <w:szCs w:val="21"/>
              </w:rPr>
              <w:t>140.71</w:t>
            </w:r>
          </w:p>
        </w:tc>
        <w:tc>
          <w:tcPr>
            <w:tcW w:w="1286" w:type="dxa"/>
            <w:noWrap w:val="0"/>
            <w:vAlign w:val="center"/>
          </w:tcPr>
          <w:p>
            <w:pPr>
              <w:rPr>
                <w:rFonts w:cs="宋体"/>
                <w:sz w:val="21"/>
                <w:szCs w:val="21"/>
              </w:rPr>
            </w:pPr>
            <w:r>
              <w:rPr>
                <w:sz w:val="21"/>
                <w:szCs w:val="21"/>
              </w:rPr>
              <w:t>1013.11</w:t>
            </w:r>
          </w:p>
        </w:tc>
        <w:tc>
          <w:tcPr>
            <w:tcW w:w="1076" w:type="dxa"/>
            <w:noWrap w:val="0"/>
            <w:vAlign w:val="center"/>
          </w:tcPr>
          <w:p>
            <w:pPr>
              <w:spacing w:line="240" w:lineRule="exact"/>
              <w:rPr>
                <w:sz w:val="21"/>
                <w:szCs w:val="21"/>
              </w:rPr>
            </w:pPr>
          </w:p>
        </w:tc>
        <w:tc>
          <w:tcPr>
            <w:tcW w:w="1128" w:type="dxa"/>
            <w:vMerge w:val="continue"/>
            <w:noWrap w:val="0"/>
            <w:vAlign w:val="center"/>
          </w:tcPr>
          <w:p>
            <w:pPr>
              <w:spacing w:line="240" w:lineRule="exact"/>
              <w:ind w:firstLine="440"/>
              <w:rPr>
                <w:sz w:val="21"/>
                <w:szCs w:val="21"/>
              </w:rPr>
            </w:pPr>
          </w:p>
        </w:tc>
        <w:tc>
          <w:tcPr>
            <w:tcW w:w="1080" w:type="dxa"/>
            <w:vMerge w:val="continue"/>
            <w:noWrap w:val="0"/>
            <w:vAlign w:val="center"/>
          </w:tcPr>
          <w:p>
            <w:pPr>
              <w:spacing w:line="240" w:lineRule="exact"/>
              <w:ind w:firstLine="440"/>
              <w:rPr>
                <w:sz w:val="21"/>
                <w:szCs w:val="21"/>
              </w:rPr>
            </w:pPr>
          </w:p>
        </w:tc>
        <w:tc>
          <w:tcPr>
            <w:tcW w:w="900" w:type="dxa"/>
            <w:vMerge w:val="continue"/>
            <w:noWrap w:val="0"/>
            <w:vAlign w:val="center"/>
          </w:tcPr>
          <w:p>
            <w:pPr>
              <w:spacing w:line="240" w:lineRule="exact"/>
              <w:ind w:firstLine="44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70" w:type="dxa"/>
            <w:gridSpan w:val="2"/>
            <w:vMerge w:val="continue"/>
            <w:noWrap w:val="0"/>
            <w:vAlign w:val="center"/>
          </w:tcPr>
          <w:p>
            <w:pPr>
              <w:spacing w:line="240" w:lineRule="exact"/>
              <w:ind w:firstLine="440"/>
              <w:rPr>
                <w:sz w:val="21"/>
                <w:szCs w:val="21"/>
              </w:rPr>
            </w:pPr>
          </w:p>
        </w:tc>
        <w:tc>
          <w:tcPr>
            <w:tcW w:w="921" w:type="dxa"/>
            <w:noWrap w:val="0"/>
            <w:vAlign w:val="center"/>
          </w:tcPr>
          <w:p>
            <w:pPr>
              <w:spacing w:line="240" w:lineRule="exact"/>
              <w:rPr>
                <w:sz w:val="21"/>
                <w:szCs w:val="21"/>
              </w:rPr>
            </w:pPr>
            <w:r>
              <w:rPr>
                <w:sz w:val="21"/>
                <w:szCs w:val="21"/>
              </w:rPr>
              <w:t>NO</w:t>
            </w:r>
            <w:r>
              <w:rPr>
                <w:sz w:val="21"/>
                <w:szCs w:val="21"/>
                <w:vertAlign w:val="subscript"/>
              </w:rPr>
              <w:t>x</w:t>
            </w:r>
          </w:p>
        </w:tc>
        <w:tc>
          <w:tcPr>
            <w:tcW w:w="866" w:type="dxa"/>
            <w:noWrap w:val="0"/>
            <w:vAlign w:val="center"/>
          </w:tcPr>
          <w:p>
            <w:pPr>
              <w:spacing w:line="240" w:lineRule="exact"/>
              <w:ind w:firstLine="440"/>
              <w:rPr>
                <w:sz w:val="21"/>
                <w:szCs w:val="21"/>
              </w:rPr>
            </w:pPr>
          </w:p>
        </w:tc>
        <w:tc>
          <w:tcPr>
            <w:tcW w:w="1089" w:type="dxa"/>
            <w:vMerge w:val="continue"/>
            <w:noWrap w:val="0"/>
            <w:vAlign w:val="center"/>
          </w:tcPr>
          <w:p>
            <w:pPr>
              <w:spacing w:line="240" w:lineRule="exact"/>
              <w:ind w:firstLine="440"/>
              <w:rPr>
                <w:sz w:val="21"/>
                <w:szCs w:val="21"/>
              </w:rPr>
            </w:pPr>
          </w:p>
        </w:tc>
        <w:tc>
          <w:tcPr>
            <w:tcW w:w="1168" w:type="dxa"/>
            <w:vMerge w:val="continue"/>
            <w:noWrap w:val="0"/>
            <w:vAlign w:val="center"/>
          </w:tcPr>
          <w:p>
            <w:pPr>
              <w:spacing w:line="240" w:lineRule="exact"/>
              <w:ind w:firstLine="440"/>
              <w:rPr>
                <w:sz w:val="21"/>
                <w:szCs w:val="21"/>
              </w:rPr>
            </w:pPr>
          </w:p>
        </w:tc>
        <w:tc>
          <w:tcPr>
            <w:tcW w:w="1076" w:type="dxa"/>
            <w:vMerge w:val="continue"/>
            <w:noWrap w:val="0"/>
            <w:vAlign w:val="center"/>
          </w:tcPr>
          <w:p>
            <w:pPr>
              <w:spacing w:line="240" w:lineRule="exact"/>
              <w:ind w:firstLine="440"/>
              <w:rPr>
                <w:sz w:val="21"/>
                <w:szCs w:val="21"/>
              </w:rPr>
            </w:pPr>
          </w:p>
        </w:tc>
        <w:tc>
          <w:tcPr>
            <w:tcW w:w="1286" w:type="dxa"/>
            <w:noWrap w:val="0"/>
            <w:vAlign w:val="center"/>
          </w:tcPr>
          <w:p>
            <w:pPr>
              <w:spacing w:line="240" w:lineRule="exact"/>
              <w:rPr>
                <w:sz w:val="21"/>
                <w:szCs w:val="21"/>
              </w:rPr>
            </w:pPr>
            <w:r>
              <w:rPr>
                <w:sz w:val="21"/>
                <w:szCs w:val="21"/>
              </w:rPr>
              <w:t>132.27</w:t>
            </w:r>
          </w:p>
        </w:tc>
        <w:tc>
          <w:tcPr>
            <w:tcW w:w="1286" w:type="dxa"/>
            <w:noWrap w:val="0"/>
            <w:vAlign w:val="center"/>
          </w:tcPr>
          <w:p>
            <w:pPr>
              <w:rPr>
                <w:rFonts w:cs="宋体"/>
                <w:sz w:val="21"/>
                <w:szCs w:val="21"/>
              </w:rPr>
            </w:pPr>
            <w:r>
              <w:rPr>
                <w:rFonts w:cs="宋体"/>
                <w:sz w:val="21"/>
                <w:szCs w:val="21"/>
              </w:rPr>
              <w:t>952.34</w:t>
            </w:r>
          </w:p>
        </w:tc>
        <w:tc>
          <w:tcPr>
            <w:tcW w:w="1076" w:type="dxa"/>
            <w:noWrap w:val="0"/>
            <w:vAlign w:val="center"/>
          </w:tcPr>
          <w:p>
            <w:pPr>
              <w:spacing w:line="240" w:lineRule="exact"/>
              <w:rPr>
                <w:sz w:val="21"/>
                <w:szCs w:val="21"/>
              </w:rPr>
            </w:pPr>
          </w:p>
        </w:tc>
        <w:tc>
          <w:tcPr>
            <w:tcW w:w="1128" w:type="dxa"/>
            <w:vMerge w:val="continue"/>
            <w:noWrap w:val="0"/>
            <w:vAlign w:val="center"/>
          </w:tcPr>
          <w:p>
            <w:pPr>
              <w:spacing w:line="240" w:lineRule="exact"/>
              <w:ind w:firstLine="440"/>
              <w:rPr>
                <w:sz w:val="21"/>
                <w:szCs w:val="21"/>
              </w:rPr>
            </w:pPr>
          </w:p>
        </w:tc>
        <w:tc>
          <w:tcPr>
            <w:tcW w:w="1080" w:type="dxa"/>
            <w:vMerge w:val="continue"/>
            <w:noWrap w:val="0"/>
            <w:vAlign w:val="center"/>
          </w:tcPr>
          <w:p>
            <w:pPr>
              <w:spacing w:line="240" w:lineRule="exact"/>
              <w:ind w:firstLine="440"/>
              <w:rPr>
                <w:sz w:val="21"/>
                <w:szCs w:val="21"/>
              </w:rPr>
            </w:pPr>
          </w:p>
        </w:tc>
        <w:tc>
          <w:tcPr>
            <w:tcW w:w="900" w:type="dxa"/>
            <w:vMerge w:val="continue"/>
            <w:noWrap w:val="0"/>
            <w:vAlign w:val="center"/>
          </w:tcPr>
          <w:p>
            <w:pPr>
              <w:spacing w:line="240" w:lineRule="exact"/>
              <w:ind w:firstLine="440"/>
              <w:rPr>
                <w:sz w:val="21"/>
                <w:szCs w:val="21"/>
              </w:rPr>
            </w:pPr>
          </w:p>
        </w:tc>
      </w:tr>
    </w:tbl>
    <w:p>
      <w:pPr>
        <w:sectPr>
          <w:pgSz w:w="16838" w:h="11906" w:orient="landscape"/>
          <w:pgMar w:top="1531" w:right="1418" w:bottom="1531" w:left="1418" w:header="851" w:footer="992" w:gutter="0"/>
          <w:paperSrc w:first="20070" w:other="20070"/>
          <w:cols w:space="425" w:num="1"/>
          <w:docGrid w:linePitch="312" w:charSpace="0"/>
        </w:sectPr>
      </w:pPr>
    </w:p>
    <w:p>
      <w:pPr>
        <w:spacing w:line="480" w:lineRule="exact"/>
        <w:ind w:firstLine="420" w:firstLineChars="200"/>
        <w:rPr>
          <w:rFonts w:hint="eastAsia" w:ascii="宋体" w:hAnsi="宋体"/>
        </w:rPr>
      </w:pPr>
      <w:r>
        <w:rPr>
          <w:rFonts w:hint="eastAsia" w:ascii="宋体" w:hAnsi="宋体"/>
        </w:rPr>
        <w:t>（2）无组织排放</w:t>
      </w:r>
    </w:p>
    <w:p>
      <w:pPr>
        <w:spacing w:line="480" w:lineRule="exact"/>
        <w:ind w:firstLine="420" w:firstLineChars="200"/>
        <w:rPr>
          <w:rFonts w:hint="eastAsia" w:ascii="宋体" w:hAnsi="宋体"/>
        </w:rPr>
      </w:pPr>
      <w:r>
        <w:rPr>
          <w:rFonts w:hint="eastAsia" w:ascii="宋体" w:hAnsi="宋体"/>
        </w:rPr>
        <w:t>水泥厂无组织排放源的来源有原料堆场的风蚀扬尘、作业扬尘和运输中的洒落。根据目前重庆永荣青鹏煤业有限公司水泥厂的生产水平，无组织排放源不考虑生产中的物料泄漏和汽车夹带携带扬尘，仅考虑物料装卸、作业扬尘、堆场风蚀扬尘和运输过程的物料损失。重庆永荣青鹏煤业有限公司水泥厂无组织排放分析表见表2-4。</w:t>
      </w:r>
    </w:p>
    <w:p>
      <w:pPr>
        <w:spacing w:line="480" w:lineRule="exact"/>
        <w:jc w:val="center"/>
        <w:rPr>
          <w:rFonts w:hint="eastAsia" w:ascii="宋体" w:hAnsi="宋体"/>
          <w:b/>
        </w:rPr>
      </w:pPr>
      <w:r>
        <w:rPr>
          <w:rFonts w:hint="eastAsia" w:ascii="宋体" w:hAnsi="宋体"/>
          <w:b/>
        </w:rPr>
        <w:t>表2-4   现有水泥厂无组织排放分析表</w:t>
      </w:r>
    </w:p>
    <w:tbl>
      <w:tblPr>
        <w:tblStyle w:val="20"/>
        <w:tblW w:w="8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946"/>
        <w:gridCol w:w="1974"/>
        <w:gridCol w:w="2148"/>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序号</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污染物名称</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排放强度（％）</w:t>
            </w:r>
          </w:p>
        </w:tc>
        <w:tc>
          <w:tcPr>
            <w:tcW w:w="2148" w:type="dxa"/>
            <w:noWrap w:val="0"/>
            <w:vAlign w:val="center"/>
          </w:tcPr>
          <w:p>
            <w:pPr>
              <w:pStyle w:val="26"/>
              <w:spacing w:before="100" w:beforeAutospacing="1" w:after="100" w:afterAutospacing="1" w:line="360" w:lineRule="exact"/>
              <w:ind w:firstLine="0" w:firstLineChars="0"/>
              <w:rPr>
                <w:rFonts w:hint="eastAsia" w:eastAsia="宋体"/>
                <w:color w:val="auto"/>
                <w:sz w:val="21"/>
                <w:szCs w:val="21"/>
              </w:rPr>
            </w:pPr>
            <w:r>
              <w:rPr>
                <w:rFonts w:hint="eastAsia" w:eastAsia="宋体"/>
                <w:color w:val="auto"/>
                <w:sz w:val="21"/>
                <w:szCs w:val="21"/>
              </w:rPr>
              <w:t>原、辅料总用量（t/a）</w:t>
            </w:r>
          </w:p>
        </w:tc>
        <w:tc>
          <w:tcPr>
            <w:tcW w:w="1911" w:type="dxa"/>
            <w:noWrap w:val="0"/>
            <w:vAlign w:val="center"/>
          </w:tcPr>
          <w:p>
            <w:pPr>
              <w:pStyle w:val="26"/>
              <w:spacing w:before="100" w:beforeAutospacing="1" w:after="100" w:afterAutospacing="1" w:line="360" w:lineRule="exact"/>
              <w:ind w:firstLine="0" w:firstLineChars="0"/>
              <w:rPr>
                <w:rFonts w:hint="eastAsia" w:eastAsia="宋体"/>
                <w:color w:val="auto"/>
                <w:sz w:val="21"/>
                <w:szCs w:val="21"/>
              </w:rPr>
            </w:pPr>
            <w:r>
              <w:rPr>
                <w:rFonts w:hint="eastAsia" w:eastAsia="宋体"/>
                <w:color w:val="auto"/>
                <w:sz w:val="21"/>
                <w:szCs w:val="21"/>
              </w:rPr>
              <w:t>粉尘排放量（t/a）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煤堆场</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0.02</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83000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2</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煤卸车</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0.12</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83000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石膏堆场、卸车</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12000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石灰石卸车</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0.002</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533600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石灰石堆场</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0.01</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533600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6</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煤矸石堆场</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41600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7</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粉煤灰堆场</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0.05</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180000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6</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磷矿渣、冶炼废渣堆场、卸车</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0.03</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34800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w:t>
            </w:r>
          </w:p>
        </w:tc>
        <w:tc>
          <w:tcPr>
            <w:tcW w:w="1946" w:type="dxa"/>
            <w:noWrap w:val="0"/>
            <w:vAlign w:val="center"/>
          </w:tcPr>
          <w:p>
            <w:pPr>
              <w:spacing w:before="100" w:beforeAutospacing="1" w:after="100" w:afterAutospacing="1" w:line="360" w:lineRule="exact"/>
              <w:ind w:left="211"/>
              <w:jc w:val="center"/>
              <w:rPr>
                <w:rFonts w:hint="eastAsia" w:ascii="宋体" w:hAnsi="宋体"/>
                <w:sz w:val="21"/>
                <w:szCs w:val="21"/>
              </w:rPr>
            </w:pPr>
            <w:r>
              <w:rPr>
                <w:rFonts w:hint="eastAsia" w:ascii="宋体" w:hAnsi="宋体"/>
                <w:sz w:val="21"/>
                <w:szCs w:val="21"/>
              </w:rPr>
              <w:t>各种原、辅料、燃料运输损失</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0.01</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885000</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9</w:t>
            </w:r>
          </w:p>
        </w:tc>
        <w:tc>
          <w:tcPr>
            <w:tcW w:w="1946"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合计</w:t>
            </w:r>
          </w:p>
        </w:tc>
        <w:tc>
          <w:tcPr>
            <w:tcW w:w="1974"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w:t>
            </w:r>
          </w:p>
        </w:tc>
        <w:tc>
          <w:tcPr>
            <w:tcW w:w="2148"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w:t>
            </w:r>
          </w:p>
        </w:tc>
        <w:tc>
          <w:tcPr>
            <w:tcW w:w="1911" w:type="dxa"/>
            <w:noWrap w:val="0"/>
            <w:vAlign w:val="center"/>
          </w:tcPr>
          <w:p>
            <w:pPr>
              <w:spacing w:before="100" w:beforeAutospacing="1" w:after="100" w:afterAutospacing="1" w:line="360" w:lineRule="exact"/>
              <w:jc w:val="center"/>
              <w:rPr>
                <w:rFonts w:hint="eastAsia" w:ascii="宋体" w:hAnsi="宋体"/>
                <w:sz w:val="21"/>
                <w:szCs w:val="21"/>
              </w:rPr>
            </w:pPr>
            <w:r>
              <w:rPr>
                <w:rFonts w:hint="eastAsia" w:ascii="宋体" w:hAnsi="宋体"/>
                <w:sz w:val="21"/>
                <w:szCs w:val="21"/>
              </w:rPr>
              <w:t>438.61</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2.7.2 废水</w:t>
      </w:r>
    </w:p>
    <w:p>
      <w:pPr>
        <w:spacing w:line="480" w:lineRule="exact"/>
        <w:ind w:firstLine="471"/>
        <w:rPr>
          <w:rFonts w:hint="eastAsia" w:ascii="宋体" w:hAnsi="宋体"/>
        </w:rPr>
      </w:pPr>
      <w:r>
        <w:rPr>
          <w:rFonts w:hint="eastAsia" w:ascii="宋体" w:hAnsi="宋体"/>
        </w:rPr>
        <w:t>重庆永荣青鹏煤业有限公司现有水泥厂废水主要为生产废水和厂区生活污水。生产废水为冷却系统产生的循环冷却水，经处理后全部回用。厂区化验室废水（10m</w:t>
      </w:r>
      <w:r>
        <w:rPr>
          <w:rFonts w:hint="eastAsia" w:ascii="宋体" w:hAnsi="宋体"/>
          <w:vertAlign w:val="superscript"/>
        </w:rPr>
        <w:t>3</w:t>
      </w:r>
      <w:r>
        <w:rPr>
          <w:rFonts w:hint="eastAsia" w:ascii="宋体" w:hAnsi="宋体"/>
        </w:rPr>
        <w:t>/d</w:t>
      </w:r>
      <w:r>
        <w:rPr>
          <w:rFonts w:ascii="宋体" w:hAnsi="宋体"/>
        </w:rPr>
        <w:t>）</w:t>
      </w:r>
      <w:r>
        <w:rPr>
          <w:rFonts w:hint="eastAsia" w:ascii="宋体" w:hAnsi="宋体"/>
        </w:rPr>
        <w:t>和生活污水(26.5m</w:t>
      </w:r>
      <w:r>
        <w:rPr>
          <w:rFonts w:hint="eastAsia" w:ascii="宋体" w:hAnsi="宋体"/>
          <w:vertAlign w:val="superscript"/>
        </w:rPr>
        <w:t>3</w:t>
      </w:r>
      <w:r>
        <w:rPr>
          <w:rFonts w:hint="eastAsia" w:ascii="宋体" w:hAnsi="宋体"/>
        </w:rPr>
        <w:t>/d)经化粪池处理后排入厂区北侧的无名小沟,</w:t>
      </w:r>
      <w:r>
        <w:rPr>
          <w:rFonts w:hint="eastAsia"/>
        </w:rPr>
        <w:t>废水污染物产生及排放统计见表</w:t>
      </w:r>
      <w:r>
        <w:t>2</w:t>
      </w:r>
      <w:r>
        <w:rPr>
          <w:rFonts w:hint="eastAsia"/>
        </w:rPr>
        <w:t>－5.</w:t>
      </w:r>
    </w:p>
    <w:p>
      <w:pPr>
        <w:jc w:val="center"/>
        <w:rPr>
          <w:rFonts w:hint="eastAsia"/>
          <w:b/>
        </w:rPr>
      </w:pPr>
    </w:p>
    <w:p>
      <w:pPr>
        <w:jc w:val="center"/>
        <w:rPr>
          <w:rFonts w:hint="eastAsia"/>
          <w:b/>
        </w:rPr>
      </w:pPr>
      <w:r>
        <w:rPr>
          <w:rFonts w:hint="eastAsia"/>
          <w:b/>
        </w:rPr>
        <w:t>表</w:t>
      </w:r>
      <w:r>
        <w:rPr>
          <w:b/>
        </w:rPr>
        <w:t>2</w:t>
      </w:r>
      <w:r>
        <w:rPr>
          <w:rFonts w:hint="eastAsia"/>
          <w:b/>
        </w:rPr>
        <w:t>-5</w:t>
      </w:r>
      <w:r>
        <w:rPr>
          <w:b/>
        </w:rPr>
        <w:t xml:space="preserve">    </w:t>
      </w:r>
      <w:r>
        <w:rPr>
          <w:rFonts w:hint="eastAsia"/>
          <w:b/>
        </w:rPr>
        <w:t>现有生产、生活设施废水污染物产生及排放统计表</w:t>
      </w:r>
    </w:p>
    <w:tbl>
      <w:tblPr>
        <w:tblStyle w:val="20"/>
        <w:tblW w:w="9275"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91"/>
        <w:gridCol w:w="1408"/>
        <w:gridCol w:w="1104"/>
        <w:gridCol w:w="1068"/>
        <w:gridCol w:w="1061"/>
        <w:gridCol w:w="1282"/>
        <w:gridCol w:w="1061"/>
        <w:gridCol w:w="11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91" w:type="dxa"/>
            <w:vMerge w:val="restart"/>
            <w:noWrap w:val="0"/>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污染源</w:t>
            </w:r>
          </w:p>
        </w:tc>
        <w:tc>
          <w:tcPr>
            <w:tcW w:w="1408" w:type="dxa"/>
            <w:vMerge w:val="restart"/>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废水产生量36.5</w:t>
            </w:r>
            <w:r>
              <w:rPr>
                <w:rFonts w:ascii="宋体" w:hAnsi="宋体"/>
                <w:sz w:val="21"/>
                <w:szCs w:val="21"/>
              </w:rPr>
              <w:t>m</w:t>
            </w:r>
            <w:r>
              <w:rPr>
                <w:rFonts w:ascii="宋体" w:hAnsi="宋体"/>
                <w:sz w:val="21"/>
                <w:szCs w:val="21"/>
                <w:vertAlign w:val="superscript"/>
              </w:rPr>
              <w:t>3</w:t>
            </w:r>
            <w:r>
              <w:rPr>
                <w:rFonts w:ascii="宋体" w:hAnsi="宋体"/>
                <w:sz w:val="21"/>
                <w:szCs w:val="21"/>
              </w:rPr>
              <w:t>/</w:t>
            </w:r>
            <w:r>
              <w:rPr>
                <w:rFonts w:hint="eastAsia" w:ascii="宋体" w:hAnsi="宋体"/>
                <w:sz w:val="21"/>
                <w:szCs w:val="21"/>
              </w:rPr>
              <w:t>d</w:t>
            </w:r>
          </w:p>
        </w:tc>
        <w:tc>
          <w:tcPr>
            <w:tcW w:w="1104" w:type="dxa"/>
            <w:vMerge w:val="restart"/>
            <w:noWrap w:val="0"/>
            <w:vAlign w:val="top"/>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主要</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污染物</w:t>
            </w:r>
          </w:p>
        </w:tc>
        <w:tc>
          <w:tcPr>
            <w:tcW w:w="1068" w:type="dxa"/>
            <w:vMerge w:val="restart"/>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治理</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措施</w:t>
            </w:r>
          </w:p>
        </w:tc>
        <w:tc>
          <w:tcPr>
            <w:tcW w:w="2343" w:type="dxa"/>
            <w:gridSpan w:val="2"/>
            <w:noWrap w:val="0"/>
            <w:vAlign w:val="top"/>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污染物浓度，</w:t>
            </w:r>
            <w:r>
              <w:rPr>
                <w:rFonts w:ascii="宋体" w:hAnsi="宋体"/>
                <w:sz w:val="21"/>
                <w:szCs w:val="21"/>
              </w:rPr>
              <w:t>mg/L</w:t>
            </w:r>
          </w:p>
        </w:tc>
        <w:tc>
          <w:tcPr>
            <w:tcW w:w="2161" w:type="dxa"/>
            <w:gridSpan w:val="2"/>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污染物排放量，t/a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91" w:type="dxa"/>
            <w:vMerge w:val="continue"/>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408" w:type="dxa"/>
            <w:vMerge w:val="continue"/>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104" w:type="dxa"/>
            <w:vMerge w:val="continue"/>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068" w:type="dxa"/>
            <w:vMerge w:val="continue"/>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p>
        </w:tc>
        <w:tc>
          <w:tcPr>
            <w:tcW w:w="1061" w:type="dxa"/>
            <w:noWrap w:val="0"/>
            <w:vAlign w:val="top"/>
          </w:tcPr>
          <w:p>
            <w:pPr>
              <w:tabs>
                <w:tab w:val="right" w:leader="dot" w:pos="9344"/>
              </w:tabs>
              <w:spacing w:before="120" w:after="120" w:line="240" w:lineRule="exact"/>
              <w:rPr>
                <w:rFonts w:hint="eastAsia" w:ascii="宋体" w:hAnsi="宋体"/>
                <w:sz w:val="21"/>
                <w:szCs w:val="21"/>
              </w:rPr>
            </w:pPr>
            <w:r>
              <w:rPr>
                <w:rFonts w:hint="eastAsia" w:ascii="宋体" w:hAnsi="宋体"/>
                <w:sz w:val="21"/>
                <w:szCs w:val="21"/>
              </w:rPr>
              <w:t>处理前</w:t>
            </w:r>
          </w:p>
        </w:tc>
        <w:tc>
          <w:tcPr>
            <w:tcW w:w="1282"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处理后</w:t>
            </w:r>
          </w:p>
        </w:tc>
        <w:tc>
          <w:tcPr>
            <w:tcW w:w="1061" w:type="dxa"/>
            <w:noWrap w:val="0"/>
            <w:vAlign w:val="top"/>
          </w:tcPr>
          <w:p>
            <w:pPr>
              <w:tabs>
                <w:tab w:val="right" w:leader="dot" w:pos="9344"/>
              </w:tabs>
              <w:spacing w:before="120" w:after="120" w:line="240" w:lineRule="exact"/>
              <w:rPr>
                <w:rFonts w:hint="eastAsia" w:ascii="宋体" w:hAnsi="宋体"/>
                <w:sz w:val="21"/>
                <w:szCs w:val="21"/>
              </w:rPr>
            </w:pPr>
            <w:r>
              <w:rPr>
                <w:rFonts w:hint="eastAsia" w:ascii="宋体" w:hAnsi="宋体"/>
                <w:sz w:val="21"/>
                <w:szCs w:val="21"/>
              </w:rPr>
              <w:t>处理前</w:t>
            </w:r>
          </w:p>
        </w:tc>
        <w:tc>
          <w:tcPr>
            <w:tcW w:w="1100"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处理后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191" w:type="dxa"/>
            <w:noWrap w:val="0"/>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生活污水</w:t>
            </w:r>
          </w:p>
        </w:tc>
        <w:tc>
          <w:tcPr>
            <w:tcW w:w="1408" w:type="dxa"/>
            <w:noWrap w:val="0"/>
            <w:vAlign w:val="center"/>
          </w:tcPr>
          <w:p>
            <w:pPr>
              <w:tabs>
                <w:tab w:val="right" w:leader="dot" w:pos="9344"/>
              </w:tabs>
              <w:spacing w:before="120" w:after="120" w:line="240" w:lineRule="exact"/>
              <w:ind w:firstLine="210" w:firstLineChars="100"/>
              <w:jc w:val="center"/>
              <w:rPr>
                <w:rFonts w:ascii="宋体" w:hAnsi="宋体"/>
                <w:sz w:val="21"/>
                <w:szCs w:val="21"/>
              </w:rPr>
            </w:pPr>
            <w:r>
              <w:rPr>
                <w:rFonts w:hint="eastAsia" w:ascii="宋体" w:hAnsi="宋体"/>
                <w:sz w:val="21"/>
                <w:szCs w:val="21"/>
              </w:rPr>
              <w:t>36.5</w:t>
            </w:r>
          </w:p>
        </w:tc>
        <w:tc>
          <w:tcPr>
            <w:tcW w:w="1104"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COD</w:t>
            </w:r>
          </w:p>
          <w:p>
            <w:pPr>
              <w:tabs>
                <w:tab w:val="right" w:leader="dot" w:pos="9344"/>
              </w:tabs>
              <w:spacing w:before="120" w:after="120" w:line="240" w:lineRule="exact"/>
              <w:ind w:firstLine="210" w:firstLineChars="100"/>
              <w:jc w:val="center"/>
              <w:rPr>
                <w:rFonts w:hint="eastAsia" w:ascii="宋体" w:hAnsi="宋体"/>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r>
              <w:rPr>
                <w:rFonts w:hint="eastAsia" w:ascii="宋体" w:hAnsi="宋体"/>
                <w:sz w:val="21"/>
                <w:szCs w:val="21"/>
              </w:rPr>
              <w:t xml:space="preserve"> SS</w:t>
            </w:r>
          </w:p>
        </w:tc>
        <w:tc>
          <w:tcPr>
            <w:tcW w:w="1068" w:type="dxa"/>
            <w:noWrap w:val="0"/>
            <w:vAlign w:val="center"/>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化粪池</w:t>
            </w:r>
          </w:p>
        </w:tc>
        <w:tc>
          <w:tcPr>
            <w:tcW w:w="1061"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350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250</w:t>
            </w:r>
          </w:p>
        </w:tc>
        <w:tc>
          <w:tcPr>
            <w:tcW w:w="1282"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200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20</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100</w:t>
            </w:r>
          </w:p>
        </w:tc>
        <w:tc>
          <w:tcPr>
            <w:tcW w:w="1061"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3.83</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0.33</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2.74</w:t>
            </w:r>
          </w:p>
        </w:tc>
        <w:tc>
          <w:tcPr>
            <w:tcW w:w="1100" w:type="dxa"/>
            <w:noWrap w:val="0"/>
            <w:vAlign w:val="top"/>
          </w:tcPr>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2.19</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0.22</w:t>
            </w:r>
          </w:p>
          <w:p>
            <w:pPr>
              <w:tabs>
                <w:tab w:val="right" w:leader="dot" w:pos="9344"/>
              </w:tabs>
              <w:spacing w:before="120" w:after="120" w:line="240" w:lineRule="exact"/>
              <w:ind w:firstLine="210" w:firstLineChars="100"/>
              <w:jc w:val="center"/>
              <w:rPr>
                <w:rFonts w:hint="eastAsia" w:ascii="宋体" w:hAnsi="宋体"/>
                <w:sz w:val="21"/>
                <w:szCs w:val="21"/>
              </w:rPr>
            </w:pPr>
            <w:r>
              <w:rPr>
                <w:rFonts w:hint="eastAsia" w:ascii="宋体" w:hAnsi="宋体"/>
                <w:sz w:val="21"/>
                <w:szCs w:val="21"/>
              </w:rPr>
              <w:t>1.10</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2.7.3 噪声</w:t>
      </w:r>
    </w:p>
    <w:p>
      <w:pPr>
        <w:spacing w:line="480" w:lineRule="exact"/>
        <w:ind w:firstLine="420" w:firstLineChars="200"/>
        <w:rPr>
          <w:rFonts w:hint="eastAsia" w:ascii="宋体" w:hAnsi="宋体"/>
        </w:rPr>
      </w:pPr>
      <w:r>
        <w:rPr>
          <w:rFonts w:hint="eastAsia" w:ascii="宋体" w:hAnsi="宋体"/>
        </w:rPr>
        <w:t>主要噪声源有破碎机、磨机、风机、泵、空压机等，声级较高，在85～105</w:t>
      </w:r>
      <w:r>
        <w:rPr>
          <w:rFonts w:ascii="宋体" w:hAnsi="宋体"/>
        </w:rPr>
        <w:t>dB</w:t>
      </w:r>
      <w:r>
        <w:rPr>
          <w:rFonts w:hint="eastAsia" w:ascii="宋体" w:hAnsi="宋体"/>
        </w:rPr>
        <w:t>之间，高噪声设备及噪声级见表2-6。</w:t>
      </w:r>
    </w:p>
    <w:p>
      <w:pPr>
        <w:spacing w:line="480" w:lineRule="exact"/>
        <w:jc w:val="center"/>
        <w:rPr>
          <w:rFonts w:hint="eastAsia" w:ascii="宋体" w:hAnsi="宋体"/>
          <w:b/>
        </w:rPr>
      </w:pPr>
      <w:r>
        <w:rPr>
          <w:rFonts w:hint="eastAsia" w:ascii="宋体" w:hAnsi="宋体"/>
          <w:b/>
        </w:rPr>
        <w:t>表2-6  现有水泥厂主要噪声设备及噪声  单位：</w:t>
      </w:r>
      <w:r>
        <w:rPr>
          <w:rFonts w:ascii="宋体" w:hAnsi="宋体"/>
          <w:b/>
        </w:rPr>
        <w:t>dB</w:t>
      </w:r>
    </w:p>
    <w:tbl>
      <w:tblPr>
        <w:tblStyle w:val="20"/>
        <w:tblW w:w="8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720"/>
        <w:gridCol w:w="991"/>
        <w:gridCol w:w="1346"/>
        <w:gridCol w:w="2573"/>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声源名称</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台数</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治理前</w:t>
            </w:r>
          </w:p>
          <w:p>
            <w:pPr>
              <w:spacing w:line="300" w:lineRule="exact"/>
              <w:jc w:val="center"/>
              <w:rPr>
                <w:rFonts w:hint="eastAsia" w:ascii="宋体" w:hAnsi="宋体"/>
                <w:sz w:val="21"/>
                <w:szCs w:val="21"/>
              </w:rPr>
            </w:pPr>
            <w:r>
              <w:rPr>
                <w:rFonts w:hint="eastAsia" w:ascii="宋体" w:hAnsi="宋体"/>
                <w:sz w:val="21"/>
                <w:szCs w:val="21"/>
              </w:rPr>
              <w:t>声级</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频谱</w:t>
            </w:r>
          </w:p>
          <w:p>
            <w:pPr>
              <w:spacing w:line="300" w:lineRule="exact"/>
              <w:jc w:val="center"/>
              <w:rPr>
                <w:rFonts w:hint="eastAsia" w:ascii="宋体" w:hAnsi="宋体"/>
                <w:sz w:val="21"/>
                <w:szCs w:val="21"/>
              </w:rPr>
            </w:pPr>
            <w:r>
              <w:rPr>
                <w:rFonts w:hint="eastAsia" w:ascii="宋体" w:hAnsi="宋体"/>
                <w:sz w:val="21"/>
                <w:szCs w:val="21"/>
              </w:rPr>
              <w:t>特性</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治理措施</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治理后</w:t>
            </w:r>
          </w:p>
          <w:p>
            <w:pPr>
              <w:spacing w:line="300" w:lineRule="exact"/>
              <w:jc w:val="center"/>
              <w:rPr>
                <w:rFonts w:hint="eastAsia" w:ascii="宋体" w:hAnsi="宋体"/>
                <w:sz w:val="21"/>
                <w:szCs w:val="21"/>
              </w:rPr>
            </w:pPr>
            <w:r>
              <w:rPr>
                <w:rFonts w:hint="eastAsia" w:ascii="宋体" w:hAnsi="宋体"/>
                <w:sz w:val="21"/>
                <w:szCs w:val="21"/>
              </w:rPr>
              <w:t>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破碎机</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4</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100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烘干机</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100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生料磨</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2</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中、高频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建筑隔声、吸声、减振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水泥磨</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2</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建筑隔声、吸声、减振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棒磨</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110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筑隔声、吸声、减振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水泵</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1</w:t>
            </w:r>
          </w:p>
        </w:tc>
        <w:tc>
          <w:tcPr>
            <w:tcW w:w="991" w:type="dxa"/>
            <w:noWrap w:val="0"/>
            <w:vAlign w:val="center"/>
          </w:tcPr>
          <w:p>
            <w:pPr>
              <w:spacing w:line="300" w:lineRule="exact"/>
              <w:jc w:val="center"/>
              <w:rPr>
                <w:rFonts w:ascii="宋体" w:hAnsi="宋体"/>
                <w:sz w:val="21"/>
                <w:szCs w:val="21"/>
              </w:rPr>
            </w:pPr>
            <w:r>
              <w:rPr>
                <w:rFonts w:hint="eastAsia" w:ascii="宋体" w:hAnsi="宋体"/>
                <w:sz w:val="21"/>
                <w:szCs w:val="21"/>
              </w:rPr>
              <w:t>100</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建筑隔声、减振</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5"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空压机</w:t>
            </w:r>
          </w:p>
        </w:tc>
        <w:tc>
          <w:tcPr>
            <w:tcW w:w="720" w:type="dxa"/>
            <w:noWrap w:val="0"/>
            <w:vAlign w:val="center"/>
          </w:tcPr>
          <w:p>
            <w:pPr>
              <w:spacing w:line="300" w:lineRule="exact"/>
              <w:jc w:val="center"/>
              <w:rPr>
                <w:rFonts w:hint="eastAsia" w:ascii="宋体" w:hAnsi="宋体"/>
                <w:sz w:val="21"/>
                <w:szCs w:val="21"/>
              </w:rPr>
            </w:pPr>
            <w:r>
              <w:rPr>
                <w:rFonts w:hint="eastAsia" w:ascii="宋体" w:hAnsi="宋体"/>
                <w:sz w:val="21"/>
                <w:szCs w:val="21"/>
              </w:rPr>
              <w:t>6</w:t>
            </w:r>
          </w:p>
        </w:tc>
        <w:tc>
          <w:tcPr>
            <w:tcW w:w="991" w:type="dxa"/>
            <w:noWrap w:val="0"/>
            <w:vAlign w:val="center"/>
          </w:tcPr>
          <w:p>
            <w:pPr>
              <w:spacing w:line="300" w:lineRule="exact"/>
              <w:jc w:val="center"/>
              <w:rPr>
                <w:rFonts w:hint="eastAsia" w:ascii="宋体" w:hAnsi="宋体"/>
                <w:sz w:val="21"/>
                <w:szCs w:val="21"/>
              </w:rPr>
            </w:pPr>
            <w:r>
              <w:rPr>
                <w:rFonts w:hint="eastAsia" w:ascii="宋体" w:hAnsi="宋体"/>
                <w:sz w:val="21"/>
                <w:szCs w:val="21"/>
              </w:rPr>
              <w:t>95</w:t>
            </w:r>
          </w:p>
        </w:tc>
        <w:tc>
          <w:tcPr>
            <w:tcW w:w="1346" w:type="dxa"/>
            <w:noWrap w:val="0"/>
            <w:vAlign w:val="center"/>
          </w:tcPr>
          <w:p>
            <w:pPr>
              <w:spacing w:line="300" w:lineRule="exact"/>
              <w:jc w:val="center"/>
              <w:rPr>
                <w:rFonts w:hint="eastAsia" w:ascii="宋体" w:hAnsi="宋体"/>
                <w:sz w:val="21"/>
                <w:szCs w:val="21"/>
              </w:rPr>
            </w:pPr>
            <w:r>
              <w:rPr>
                <w:rFonts w:hint="eastAsia" w:ascii="宋体" w:hAnsi="宋体"/>
                <w:sz w:val="21"/>
                <w:szCs w:val="21"/>
              </w:rPr>
              <w:t>中频</w:t>
            </w:r>
          </w:p>
        </w:tc>
        <w:tc>
          <w:tcPr>
            <w:tcW w:w="2573" w:type="dxa"/>
            <w:noWrap w:val="0"/>
            <w:vAlign w:val="center"/>
          </w:tcPr>
          <w:p>
            <w:pPr>
              <w:spacing w:line="300" w:lineRule="exact"/>
              <w:jc w:val="center"/>
              <w:rPr>
                <w:rFonts w:hint="eastAsia" w:ascii="宋体" w:hAnsi="宋体"/>
                <w:sz w:val="21"/>
                <w:szCs w:val="21"/>
              </w:rPr>
            </w:pPr>
            <w:r>
              <w:rPr>
                <w:rFonts w:hint="eastAsia" w:ascii="宋体" w:hAnsi="宋体"/>
                <w:sz w:val="21"/>
                <w:szCs w:val="21"/>
              </w:rPr>
              <w:t>置于专用房</w:t>
            </w:r>
          </w:p>
        </w:tc>
        <w:tc>
          <w:tcPr>
            <w:tcW w:w="1062" w:type="dxa"/>
            <w:noWrap w:val="0"/>
            <w:vAlign w:val="center"/>
          </w:tcPr>
          <w:p>
            <w:pPr>
              <w:spacing w:line="300" w:lineRule="exact"/>
              <w:jc w:val="center"/>
              <w:rPr>
                <w:rFonts w:hint="eastAsia" w:ascii="宋体" w:hAnsi="宋体"/>
                <w:sz w:val="21"/>
                <w:szCs w:val="21"/>
              </w:rPr>
            </w:pPr>
            <w:r>
              <w:rPr>
                <w:rFonts w:hint="eastAsia" w:ascii="宋体" w:hAnsi="宋体"/>
                <w:sz w:val="21"/>
                <w:szCs w:val="21"/>
              </w:rPr>
              <w:t>85</w:t>
            </w:r>
          </w:p>
        </w:tc>
      </w:tr>
    </w:tbl>
    <w:p>
      <w:pPr>
        <w:spacing w:line="240" w:lineRule="exact"/>
        <w:rPr>
          <w:rFonts w:hint="eastAsia"/>
          <w:sz w:val="18"/>
        </w:rPr>
      </w:pPr>
      <w:r>
        <w:rPr>
          <w:rFonts w:hint="eastAsia"/>
        </w:rPr>
        <w:t xml:space="preserve">    </w:t>
      </w:r>
    </w:p>
    <w:p>
      <w:pPr>
        <w:spacing w:line="360" w:lineRule="auto"/>
        <w:outlineLvl w:val="2"/>
        <w:rPr>
          <w:rFonts w:hint="eastAsia"/>
          <w:b/>
          <w:bCs/>
          <w:szCs w:val="20"/>
        </w:rPr>
      </w:pPr>
      <w:r>
        <w:rPr>
          <w:rFonts w:hint="eastAsia"/>
          <w:b/>
          <w:bCs/>
          <w:szCs w:val="20"/>
        </w:rPr>
        <w:t>2.7.4 固体废物</w:t>
      </w:r>
    </w:p>
    <w:p>
      <w:pPr>
        <w:pStyle w:val="9"/>
        <w:ind w:firstLine="480" w:firstLineChars="200"/>
        <w:rPr>
          <w:rFonts w:hint="eastAsia" w:ascii="宋体" w:hAnsi="宋体"/>
          <w:sz w:val="24"/>
        </w:rPr>
      </w:pPr>
      <w:r>
        <w:rPr>
          <w:rFonts w:hint="eastAsia" w:ascii="宋体" w:hAnsi="宋体"/>
          <w:sz w:val="24"/>
        </w:rPr>
        <w:t>所有除尘设备收集下来的烟尘、粉尘回用于水泥生产，不外排，整个水泥生产过程中无工艺废渣排放。</w:t>
      </w:r>
    </w:p>
    <w:p>
      <w:pPr>
        <w:spacing w:line="360" w:lineRule="auto"/>
        <w:ind w:firstLine="420" w:firstLineChars="200"/>
        <w:rPr>
          <w:rFonts w:hint="eastAsia"/>
        </w:rPr>
      </w:pPr>
      <w:r>
        <w:rPr>
          <w:rFonts w:hint="eastAsia" w:ascii="宋体" w:hAnsi="宋体"/>
        </w:rPr>
        <w:t>厂区生活垃圾排放量39.75t/a，送</w:t>
      </w:r>
      <w:r>
        <w:rPr>
          <w:rFonts w:hint="eastAsia" w:ascii="宋体" w:hAnsi="宋体"/>
          <w:lang w:val="en-GB"/>
        </w:rPr>
        <w:t>青木关镇环卫部门统一集中处置</w:t>
      </w:r>
      <w:r>
        <w:rPr>
          <w:rFonts w:hint="eastAsia" w:ascii="宋体" w:hAnsi="宋体"/>
        </w:rPr>
        <w:t>。</w:t>
      </w:r>
    </w:p>
    <w:p>
      <w:pPr>
        <w:spacing w:line="360" w:lineRule="auto"/>
        <w:outlineLvl w:val="2"/>
        <w:rPr>
          <w:rFonts w:hint="eastAsia"/>
          <w:b/>
          <w:bCs/>
          <w:szCs w:val="20"/>
        </w:rPr>
      </w:pPr>
      <w:r>
        <w:rPr>
          <w:rFonts w:hint="eastAsia"/>
          <w:b/>
          <w:bCs/>
          <w:szCs w:val="20"/>
        </w:rPr>
        <w:t>2.7.5 重庆永荣青鹏煤业有限公司水泥厂污染物排放汇总</w:t>
      </w:r>
    </w:p>
    <w:p>
      <w:pPr>
        <w:pStyle w:val="9"/>
        <w:ind w:firstLine="480" w:firstLineChars="200"/>
        <w:rPr>
          <w:rFonts w:hint="eastAsia" w:ascii="宋体" w:hAnsi="宋体"/>
          <w:sz w:val="24"/>
        </w:rPr>
      </w:pPr>
      <w:r>
        <w:rPr>
          <w:rFonts w:hint="eastAsia" w:ascii="宋体" w:hAnsi="宋体"/>
          <w:sz w:val="24"/>
        </w:rPr>
        <w:t>现有水泥厂污染物排放汇总见表2-7。</w:t>
      </w:r>
    </w:p>
    <w:p>
      <w:pPr>
        <w:spacing w:line="480" w:lineRule="exact"/>
        <w:jc w:val="center"/>
        <w:rPr>
          <w:rFonts w:hint="eastAsia" w:ascii="宋体" w:hAnsi="宋体"/>
          <w:b/>
          <w:snapToGrid w:val="0"/>
          <w:kern w:val="0"/>
        </w:rPr>
      </w:pPr>
      <w:r>
        <w:rPr>
          <w:rFonts w:hint="eastAsia" w:ascii="宋体" w:hAnsi="宋体"/>
          <w:b/>
          <w:snapToGrid w:val="0"/>
          <w:kern w:val="0"/>
        </w:rPr>
        <w:t>表2-7  现有水泥厂污染物排放汇总表</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940"/>
        <w:gridCol w:w="823"/>
        <w:gridCol w:w="940"/>
        <w:gridCol w:w="1057"/>
        <w:gridCol w:w="940"/>
        <w:gridCol w:w="706"/>
        <w:gridCol w:w="767"/>
        <w:gridCol w:w="594"/>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347" w:type="dxa"/>
            <w:vMerge w:val="restart"/>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污染源</w:t>
            </w:r>
          </w:p>
        </w:tc>
        <w:tc>
          <w:tcPr>
            <w:tcW w:w="4700" w:type="dxa"/>
            <w:gridSpan w:val="5"/>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大气污染物</w:t>
            </w:r>
          </w:p>
        </w:tc>
        <w:tc>
          <w:tcPr>
            <w:tcW w:w="2067" w:type="dxa"/>
            <w:gridSpan w:val="3"/>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水污染物</w:t>
            </w:r>
          </w:p>
        </w:tc>
        <w:tc>
          <w:tcPr>
            <w:tcW w:w="1172" w:type="dxa"/>
            <w:vMerge w:val="restart"/>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固体</w:t>
            </w:r>
          </w:p>
          <w:p>
            <w:pPr>
              <w:spacing w:line="240" w:lineRule="exact"/>
              <w:jc w:val="center"/>
              <w:rPr>
                <w:rFonts w:hint="eastAsia" w:ascii="宋体" w:hAnsi="宋体"/>
                <w:bCs/>
                <w:caps/>
                <w:sz w:val="21"/>
                <w:szCs w:val="21"/>
              </w:rPr>
            </w:pPr>
            <w:r>
              <w:rPr>
                <w:rFonts w:hint="eastAsia" w:ascii="宋体" w:hAnsi="宋体"/>
                <w:bCs/>
                <w:caps/>
                <w:sz w:val="21"/>
                <w:szCs w:val="21"/>
              </w:rPr>
              <w:t>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47" w:type="dxa"/>
            <w:vMerge w:val="continue"/>
            <w:noWrap w:val="0"/>
            <w:vAlign w:val="center"/>
          </w:tcPr>
          <w:p>
            <w:pPr>
              <w:spacing w:line="240" w:lineRule="exact"/>
              <w:jc w:val="center"/>
              <w:rPr>
                <w:rFonts w:hint="eastAsia" w:ascii="宋体" w:hAnsi="宋体"/>
                <w:bCs/>
                <w:caps/>
                <w:sz w:val="21"/>
                <w:szCs w:val="21"/>
              </w:rPr>
            </w:pPr>
          </w:p>
        </w:tc>
        <w:tc>
          <w:tcPr>
            <w:tcW w:w="940" w:type="dxa"/>
            <w:vMerge w:val="restart"/>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无组织</w:t>
            </w:r>
          </w:p>
        </w:tc>
        <w:tc>
          <w:tcPr>
            <w:tcW w:w="3760" w:type="dxa"/>
            <w:gridSpan w:val="4"/>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有组织</w:t>
            </w:r>
          </w:p>
        </w:tc>
        <w:tc>
          <w:tcPr>
            <w:tcW w:w="706" w:type="dxa"/>
            <w:vMerge w:val="restart"/>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COD</w:t>
            </w:r>
          </w:p>
        </w:tc>
        <w:tc>
          <w:tcPr>
            <w:tcW w:w="767" w:type="dxa"/>
            <w:vMerge w:val="restart"/>
            <w:noWrap w:val="0"/>
            <w:vAlign w:val="center"/>
          </w:tcPr>
          <w:p>
            <w:pPr>
              <w:spacing w:line="240" w:lineRule="exact"/>
              <w:jc w:val="center"/>
              <w:rPr>
                <w:rFonts w:hint="eastAsia" w:ascii="宋体" w:hAnsi="宋体"/>
                <w:bCs/>
                <w:caps/>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p>
        </w:tc>
        <w:tc>
          <w:tcPr>
            <w:tcW w:w="594" w:type="dxa"/>
            <w:vMerge w:val="restart"/>
            <w:noWrap w:val="0"/>
            <w:vAlign w:val="center"/>
          </w:tcPr>
          <w:p>
            <w:pPr>
              <w:spacing w:line="240" w:lineRule="exact"/>
              <w:jc w:val="center"/>
              <w:rPr>
                <w:rFonts w:hint="eastAsia" w:ascii="宋体" w:hAnsi="宋体"/>
                <w:sz w:val="21"/>
                <w:szCs w:val="21"/>
              </w:rPr>
            </w:pPr>
            <w:r>
              <w:rPr>
                <w:rFonts w:hint="eastAsia" w:ascii="宋体" w:hAnsi="宋体"/>
                <w:bCs/>
                <w:caps/>
                <w:sz w:val="21"/>
                <w:szCs w:val="21"/>
              </w:rPr>
              <w:t>SS</w:t>
            </w:r>
          </w:p>
        </w:tc>
        <w:tc>
          <w:tcPr>
            <w:tcW w:w="1172" w:type="dxa"/>
            <w:vMerge w:val="continue"/>
            <w:noWrap w:val="0"/>
            <w:vAlign w:val="center"/>
          </w:tcPr>
          <w:p>
            <w:pPr>
              <w:spacing w:line="240" w:lineRule="exact"/>
              <w:jc w:val="center"/>
              <w:rPr>
                <w:rFonts w:hint="eastAsia" w:ascii="宋体" w:hAnsi="宋体"/>
                <w:bCs/>
                <w: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47" w:type="dxa"/>
            <w:vMerge w:val="continue"/>
            <w:noWrap w:val="0"/>
            <w:vAlign w:val="center"/>
          </w:tcPr>
          <w:p>
            <w:pPr>
              <w:spacing w:line="240" w:lineRule="exact"/>
              <w:jc w:val="center"/>
              <w:rPr>
                <w:rFonts w:hint="eastAsia" w:ascii="宋体" w:hAnsi="宋体"/>
                <w:bCs/>
                <w:caps/>
                <w:sz w:val="21"/>
                <w:szCs w:val="21"/>
              </w:rPr>
            </w:pPr>
          </w:p>
        </w:tc>
        <w:tc>
          <w:tcPr>
            <w:tcW w:w="940" w:type="dxa"/>
            <w:vMerge w:val="continue"/>
            <w:noWrap w:val="0"/>
            <w:vAlign w:val="center"/>
          </w:tcPr>
          <w:p>
            <w:pPr>
              <w:spacing w:line="240" w:lineRule="exact"/>
              <w:jc w:val="center"/>
              <w:rPr>
                <w:rFonts w:hint="eastAsia" w:ascii="宋体" w:hAnsi="宋体"/>
                <w:bCs/>
                <w:caps/>
                <w:sz w:val="21"/>
                <w:szCs w:val="21"/>
              </w:rPr>
            </w:pPr>
          </w:p>
        </w:tc>
        <w:tc>
          <w:tcPr>
            <w:tcW w:w="823"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烟尘</w:t>
            </w:r>
          </w:p>
        </w:tc>
        <w:tc>
          <w:tcPr>
            <w:tcW w:w="940"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粉尘</w:t>
            </w:r>
          </w:p>
        </w:tc>
        <w:tc>
          <w:tcPr>
            <w:tcW w:w="1057"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SO</w:t>
            </w:r>
            <w:r>
              <w:rPr>
                <w:rFonts w:hint="eastAsia" w:ascii="宋体" w:hAnsi="宋体"/>
                <w:bCs/>
                <w:caps/>
                <w:sz w:val="21"/>
                <w:szCs w:val="21"/>
                <w:vertAlign w:val="subscript"/>
              </w:rPr>
              <w:t>2</w:t>
            </w:r>
          </w:p>
        </w:tc>
        <w:tc>
          <w:tcPr>
            <w:tcW w:w="940"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NO</w:t>
            </w:r>
            <w:r>
              <w:rPr>
                <w:rFonts w:hint="eastAsia" w:ascii="宋体" w:hAnsi="宋体"/>
                <w:bCs/>
                <w:caps/>
                <w:sz w:val="21"/>
                <w:szCs w:val="21"/>
                <w:vertAlign w:val="subscript"/>
              </w:rPr>
              <w:t>2</w:t>
            </w:r>
          </w:p>
        </w:tc>
        <w:tc>
          <w:tcPr>
            <w:tcW w:w="706" w:type="dxa"/>
            <w:vMerge w:val="continue"/>
            <w:noWrap w:val="0"/>
            <w:vAlign w:val="center"/>
          </w:tcPr>
          <w:p>
            <w:pPr>
              <w:spacing w:line="240" w:lineRule="exact"/>
              <w:jc w:val="center"/>
              <w:rPr>
                <w:rFonts w:hint="eastAsia" w:ascii="宋体" w:hAnsi="宋体"/>
                <w:bCs/>
                <w:caps/>
                <w:sz w:val="21"/>
                <w:szCs w:val="21"/>
              </w:rPr>
            </w:pPr>
          </w:p>
        </w:tc>
        <w:tc>
          <w:tcPr>
            <w:tcW w:w="767" w:type="dxa"/>
            <w:vMerge w:val="continue"/>
            <w:noWrap w:val="0"/>
            <w:vAlign w:val="center"/>
          </w:tcPr>
          <w:p>
            <w:pPr>
              <w:spacing w:line="240" w:lineRule="exact"/>
              <w:jc w:val="center"/>
              <w:rPr>
                <w:rFonts w:hint="eastAsia" w:ascii="宋体" w:hAnsi="宋体"/>
                <w:bCs/>
                <w:caps/>
                <w:sz w:val="21"/>
                <w:szCs w:val="21"/>
              </w:rPr>
            </w:pPr>
          </w:p>
        </w:tc>
        <w:tc>
          <w:tcPr>
            <w:tcW w:w="594" w:type="dxa"/>
            <w:vMerge w:val="continue"/>
            <w:noWrap w:val="0"/>
            <w:vAlign w:val="center"/>
          </w:tcPr>
          <w:p>
            <w:pPr>
              <w:spacing w:line="240" w:lineRule="exact"/>
              <w:jc w:val="center"/>
              <w:rPr>
                <w:rFonts w:hint="eastAsia" w:ascii="宋体" w:hAnsi="宋体"/>
                <w:sz w:val="21"/>
                <w:szCs w:val="21"/>
              </w:rPr>
            </w:pPr>
          </w:p>
        </w:tc>
        <w:tc>
          <w:tcPr>
            <w:tcW w:w="1172" w:type="dxa"/>
            <w:vMerge w:val="continue"/>
            <w:noWrap w:val="0"/>
            <w:vAlign w:val="center"/>
          </w:tcPr>
          <w:p>
            <w:pPr>
              <w:spacing w:line="240" w:lineRule="exact"/>
              <w:jc w:val="center"/>
              <w:rPr>
                <w:rFonts w:hint="eastAsia" w:ascii="宋体" w:hAnsi="宋体"/>
                <w:bCs/>
                <w:cap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47"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 xml:space="preserve"> 排放量</w:t>
            </w:r>
            <w:r>
              <w:rPr>
                <w:rFonts w:hint="eastAsia" w:ascii="宋体" w:hAnsi="宋体"/>
              </w:rPr>
              <w:t>t/a</w:t>
            </w:r>
          </w:p>
        </w:tc>
        <w:tc>
          <w:tcPr>
            <w:tcW w:w="940"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438.61</w:t>
            </w:r>
          </w:p>
        </w:tc>
        <w:tc>
          <w:tcPr>
            <w:tcW w:w="823"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228.5</w:t>
            </w:r>
          </w:p>
        </w:tc>
        <w:tc>
          <w:tcPr>
            <w:tcW w:w="940"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106.42</w:t>
            </w:r>
          </w:p>
        </w:tc>
        <w:tc>
          <w:tcPr>
            <w:tcW w:w="1057"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1013.11</w:t>
            </w:r>
          </w:p>
        </w:tc>
        <w:tc>
          <w:tcPr>
            <w:tcW w:w="940"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952.34</w:t>
            </w:r>
          </w:p>
        </w:tc>
        <w:tc>
          <w:tcPr>
            <w:tcW w:w="706"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1.59</w:t>
            </w:r>
          </w:p>
        </w:tc>
        <w:tc>
          <w:tcPr>
            <w:tcW w:w="767"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0.16</w:t>
            </w:r>
          </w:p>
        </w:tc>
        <w:tc>
          <w:tcPr>
            <w:tcW w:w="594" w:type="dxa"/>
            <w:noWrap w:val="0"/>
            <w:vAlign w:val="center"/>
          </w:tcPr>
          <w:p>
            <w:pPr>
              <w:spacing w:line="240" w:lineRule="exact"/>
              <w:jc w:val="center"/>
              <w:rPr>
                <w:rFonts w:hint="eastAsia" w:ascii="宋体" w:hAnsi="宋体"/>
                <w:sz w:val="21"/>
                <w:szCs w:val="21"/>
              </w:rPr>
            </w:pPr>
            <w:r>
              <w:rPr>
                <w:rFonts w:hint="eastAsia" w:ascii="宋体" w:hAnsi="宋体"/>
                <w:sz w:val="21"/>
                <w:szCs w:val="21"/>
              </w:rPr>
              <w:t>0.8</w:t>
            </w:r>
          </w:p>
        </w:tc>
        <w:tc>
          <w:tcPr>
            <w:tcW w:w="1172" w:type="dxa"/>
            <w:noWrap w:val="0"/>
            <w:vAlign w:val="center"/>
          </w:tcPr>
          <w:p>
            <w:pPr>
              <w:spacing w:line="240" w:lineRule="exact"/>
              <w:jc w:val="center"/>
              <w:rPr>
                <w:rFonts w:hint="eastAsia" w:ascii="宋体" w:hAnsi="宋体"/>
                <w:bCs/>
                <w:caps/>
                <w:sz w:val="21"/>
                <w:szCs w:val="21"/>
              </w:rPr>
            </w:pPr>
            <w:r>
              <w:rPr>
                <w:rFonts w:hint="eastAsia" w:ascii="宋体" w:hAnsi="宋体"/>
                <w:bCs/>
                <w:caps/>
                <w:sz w:val="21"/>
                <w:szCs w:val="21"/>
              </w:rPr>
              <w:t>39.75</w:t>
            </w:r>
            <w:r>
              <w:rPr>
                <w:rFonts w:hint="eastAsia" w:ascii="宋体" w:hAnsi="宋体"/>
              </w:rPr>
              <w:t xml:space="preserve"> t/a</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2.7.6重庆永荣青鹏煤业有限公司水泥厂目前存在的主要环境问题</w:t>
      </w:r>
    </w:p>
    <w:p>
      <w:pPr>
        <w:spacing w:line="480" w:lineRule="exact"/>
        <w:ind w:firstLine="420" w:firstLineChars="200"/>
        <w:rPr>
          <w:rFonts w:hint="eastAsia" w:ascii="宋体" w:hAnsi="宋体"/>
        </w:rPr>
      </w:pPr>
      <w:r>
        <w:rPr>
          <w:rFonts w:hint="eastAsia"/>
          <w:bCs/>
          <w:szCs w:val="20"/>
        </w:rPr>
        <w:t>重庆永荣青鹏煤业有限公司</w:t>
      </w:r>
      <w:r>
        <w:rPr>
          <w:rFonts w:hint="eastAsia" w:ascii="宋体" w:hAnsi="宋体"/>
        </w:rPr>
        <w:t>现有水泥生产线由于建设于上世纪90年代初，其设计相对落后，由于除尘设备安装不尽合理，加之运行时间较长，造成除尘效果不佳，不能稳定达标排放。同时原辅材料的堆存及输送也未采取密闭装置，从而造成无组织排放的粉尘量较大，对周边环境造成了较严重的污染。</w:t>
      </w: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sectPr>
          <w:pgSz w:w="11906" w:h="16838"/>
          <w:pgMar w:top="1418" w:right="1418" w:bottom="1418" w:left="1418" w:header="851" w:footer="992" w:gutter="0"/>
          <w:paperSrc w:first="20070" w:other="20070"/>
          <w:cols w:space="425" w:num="1"/>
          <w:docGrid w:linePitch="312" w:charSpace="0"/>
        </w:sectPr>
      </w:pPr>
    </w:p>
    <w:p>
      <w:pPr>
        <w:spacing w:line="360" w:lineRule="auto"/>
        <w:outlineLvl w:val="0"/>
        <w:rPr>
          <w:rFonts w:hint="eastAsia"/>
          <w:b/>
          <w:sz w:val="28"/>
          <w:szCs w:val="28"/>
        </w:rPr>
      </w:pPr>
      <w:bookmarkStart w:id="66" w:name="_Toc473281486"/>
      <w:bookmarkStart w:id="67" w:name="_Toc189814128"/>
      <w:bookmarkStart w:id="68" w:name="_Toc175479783"/>
      <w:bookmarkStart w:id="69" w:name="_Toc276372228"/>
      <w:r>
        <w:rPr>
          <w:rFonts w:hint="eastAsia"/>
          <w:b/>
          <w:sz w:val="28"/>
          <w:szCs w:val="28"/>
        </w:rPr>
        <w:t>3 技改项目概况</w:t>
      </w:r>
      <w:bookmarkEnd w:id="66"/>
      <w:bookmarkEnd w:id="67"/>
      <w:bookmarkEnd w:id="68"/>
      <w:r>
        <w:rPr>
          <w:rFonts w:hint="eastAsia"/>
          <w:b/>
          <w:sz w:val="28"/>
          <w:szCs w:val="28"/>
        </w:rPr>
        <w:t>及工程分析</w:t>
      </w:r>
      <w:bookmarkEnd w:id="69"/>
    </w:p>
    <w:p>
      <w:pPr>
        <w:spacing w:line="360" w:lineRule="auto"/>
        <w:outlineLvl w:val="1"/>
        <w:rPr>
          <w:rFonts w:hint="eastAsia"/>
          <w:b/>
          <w:szCs w:val="20"/>
        </w:rPr>
      </w:pPr>
      <w:bookmarkStart w:id="70" w:name="_Toc276372229"/>
      <w:r>
        <w:rPr>
          <w:rFonts w:hint="eastAsia"/>
          <w:b/>
          <w:szCs w:val="20"/>
        </w:rPr>
        <w:t>3.1 技改项目概况</w:t>
      </w:r>
      <w:bookmarkEnd w:id="70"/>
    </w:p>
    <w:p>
      <w:pPr>
        <w:spacing w:line="360" w:lineRule="auto"/>
        <w:outlineLvl w:val="2"/>
        <w:rPr>
          <w:b/>
          <w:bCs/>
          <w:szCs w:val="20"/>
        </w:rPr>
      </w:pPr>
      <w:bookmarkStart w:id="71" w:name="_Toc143060703"/>
      <w:bookmarkStart w:id="72" w:name="_Toc105399139"/>
      <w:bookmarkStart w:id="73" w:name="_Toc141523048"/>
      <w:bookmarkStart w:id="74" w:name="_Toc141522060"/>
      <w:bookmarkStart w:id="75" w:name="_Toc141522926"/>
      <w:bookmarkStart w:id="76" w:name="_Toc165607341"/>
      <w:bookmarkStart w:id="77" w:name="_Toc473281487"/>
      <w:bookmarkStart w:id="78" w:name="_Toc175479784"/>
      <w:bookmarkStart w:id="79" w:name="_Toc189814129"/>
      <w:r>
        <w:rPr>
          <w:rFonts w:hint="eastAsia"/>
          <w:b/>
          <w:bCs/>
          <w:szCs w:val="20"/>
        </w:rPr>
        <w:t>3</w:t>
      </w:r>
      <w:r>
        <w:rPr>
          <w:b/>
          <w:bCs/>
          <w:szCs w:val="20"/>
        </w:rPr>
        <w:t xml:space="preserve">.1 </w:t>
      </w:r>
      <w:r>
        <w:rPr>
          <w:rFonts w:hint="eastAsia"/>
          <w:b/>
          <w:bCs/>
          <w:szCs w:val="20"/>
        </w:rPr>
        <w:t>.1项目名称、建设性质、建设地点</w:t>
      </w:r>
      <w:bookmarkEnd w:id="71"/>
      <w:bookmarkEnd w:id="72"/>
      <w:bookmarkEnd w:id="73"/>
      <w:bookmarkEnd w:id="74"/>
      <w:bookmarkEnd w:id="75"/>
      <w:bookmarkEnd w:id="76"/>
      <w:bookmarkEnd w:id="77"/>
      <w:bookmarkEnd w:id="78"/>
      <w:bookmarkEnd w:id="79"/>
    </w:p>
    <w:p>
      <w:pPr>
        <w:adjustRightInd w:val="0"/>
        <w:snapToGrid w:val="0"/>
        <w:spacing w:line="360" w:lineRule="auto"/>
        <w:ind w:firstLine="452" w:firstLineChars="200"/>
        <w:rPr>
          <w:rFonts w:hint="eastAsia" w:ascii="宋体" w:hAnsi="宋体"/>
          <w:spacing w:val="8"/>
        </w:rPr>
      </w:pPr>
      <w:r>
        <w:rPr>
          <w:rFonts w:hint="eastAsia" w:ascii="宋体" w:hAnsi="宋体"/>
          <w:spacing w:val="8"/>
        </w:rPr>
        <w:t>项目名称：重庆永荣青鹏煤业有限公司环保节能技改2500t/d熟料水泥生产线项目</w:t>
      </w:r>
    </w:p>
    <w:p>
      <w:pPr>
        <w:snapToGrid w:val="0"/>
        <w:spacing w:line="360" w:lineRule="auto"/>
        <w:ind w:firstLine="452" w:firstLineChars="200"/>
        <w:rPr>
          <w:rFonts w:ascii="宋体" w:hAnsi="宋体"/>
          <w:spacing w:val="8"/>
        </w:rPr>
      </w:pPr>
      <w:r>
        <w:rPr>
          <w:rFonts w:hint="eastAsia" w:ascii="宋体" w:hAnsi="宋体"/>
          <w:spacing w:val="8"/>
        </w:rPr>
        <w:t>建设性质：技改</w:t>
      </w:r>
    </w:p>
    <w:p>
      <w:pPr>
        <w:snapToGrid w:val="0"/>
        <w:spacing w:line="360" w:lineRule="auto"/>
        <w:ind w:firstLine="452" w:firstLineChars="200"/>
        <w:rPr>
          <w:rFonts w:ascii="宋体" w:hAnsi="宋体"/>
          <w:spacing w:val="8"/>
        </w:rPr>
      </w:pPr>
      <w:r>
        <w:rPr>
          <w:rFonts w:hint="eastAsia" w:ascii="宋体" w:hAnsi="宋体"/>
          <w:spacing w:val="8"/>
        </w:rPr>
        <w:t>建设地点：</w:t>
      </w:r>
      <w:r>
        <w:rPr>
          <w:rFonts w:ascii="宋体" w:hAnsi="宋体"/>
          <w:szCs w:val="28"/>
        </w:rPr>
        <w:t>重庆市</w:t>
      </w:r>
      <w:r>
        <w:rPr>
          <w:rFonts w:hint="eastAsia" w:ascii="宋体" w:hAnsi="宋体"/>
          <w:szCs w:val="28"/>
        </w:rPr>
        <w:t>沙坪坝区青木关镇关口村</w:t>
      </w:r>
      <w:r>
        <w:rPr>
          <w:rFonts w:hint="eastAsia" w:ascii="宋体" w:hAnsi="宋体"/>
          <w:spacing w:val="8"/>
        </w:rPr>
        <w:t>，青鹏煤业有限公司原立窑生产线。</w:t>
      </w:r>
    </w:p>
    <w:p>
      <w:pPr>
        <w:spacing w:line="360" w:lineRule="auto"/>
        <w:outlineLvl w:val="2"/>
        <w:rPr>
          <w:rFonts w:hint="eastAsia"/>
          <w:b/>
          <w:bCs/>
          <w:szCs w:val="20"/>
        </w:rPr>
      </w:pPr>
      <w:bookmarkStart w:id="80" w:name="_Toc175479785"/>
      <w:bookmarkStart w:id="81" w:name="_Toc189814130"/>
      <w:bookmarkStart w:id="82" w:name="_Toc141522927"/>
      <w:bookmarkStart w:id="83" w:name="_Toc105399140"/>
      <w:bookmarkStart w:id="84" w:name="_Toc141523049"/>
      <w:bookmarkStart w:id="85" w:name="_Toc143060704"/>
      <w:bookmarkStart w:id="86" w:name="_Toc473281488"/>
      <w:bookmarkStart w:id="87" w:name="_Toc165607342"/>
      <w:bookmarkStart w:id="88" w:name="_Toc141522061"/>
      <w:r>
        <w:rPr>
          <w:rFonts w:hint="eastAsia"/>
          <w:b/>
          <w:bCs/>
          <w:szCs w:val="20"/>
        </w:rPr>
        <w:t>3.1</w:t>
      </w:r>
      <w:r>
        <w:rPr>
          <w:b/>
          <w:bCs/>
          <w:szCs w:val="20"/>
        </w:rPr>
        <w:t>.</w:t>
      </w:r>
      <w:r>
        <w:rPr>
          <w:rFonts w:hint="eastAsia"/>
          <w:b/>
          <w:bCs/>
          <w:szCs w:val="20"/>
        </w:rPr>
        <w:t>2 建设规模及产品方案</w:t>
      </w:r>
      <w:bookmarkEnd w:id="80"/>
      <w:bookmarkEnd w:id="81"/>
      <w:bookmarkEnd w:id="82"/>
      <w:bookmarkEnd w:id="83"/>
      <w:bookmarkEnd w:id="84"/>
      <w:bookmarkEnd w:id="85"/>
      <w:bookmarkEnd w:id="86"/>
      <w:bookmarkEnd w:id="87"/>
      <w:bookmarkEnd w:id="88"/>
    </w:p>
    <w:p>
      <w:pPr>
        <w:spacing w:line="360" w:lineRule="auto"/>
        <w:outlineLvl w:val="2"/>
        <w:rPr>
          <w:rFonts w:hint="eastAsia"/>
          <w:b/>
          <w:bCs/>
          <w:szCs w:val="20"/>
        </w:rPr>
      </w:pPr>
      <w:r>
        <w:rPr>
          <w:rFonts w:hint="eastAsia"/>
          <w:b/>
          <w:bCs/>
          <w:szCs w:val="20"/>
        </w:rPr>
        <w:t>3.1.2.1建设规模</w:t>
      </w:r>
    </w:p>
    <w:p>
      <w:pPr>
        <w:adjustRightInd w:val="0"/>
        <w:snapToGrid w:val="0"/>
        <w:spacing w:line="360" w:lineRule="auto"/>
        <w:ind w:firstLine="452" w:firstLineChars="200"/>
        <w:rPr>
          <w:rFonts w:ascii="宋体" w:hAnsi="宋体"/>
          <w:spacing w:val="8"/>
        </w:rPr>
      </w:pPr>
      <w:r>
        <w:rPr>
          <w:rFonts w:hint="eastAsia" w:ascii="宋体" w:hAnsi="宋体"/>
          <w:spacing w:val="8"/>
        </w:rPr>
        <w:t>熟料</w:t>
      </w:r>
      <w:r>
        <w:rPr>
          <w:rFonts w:ascii="宋体" w:hAnsi="宋体"/>
          <w:spacing w:val="8"/>
        </w:rPr>
        <w:t xml:space="preserve">装置：              </w:t>
      </w:r>
      <w:r>
        <w:rPr>
          <w:rFonts w:hint="eastAsia" w:ascii="宋体" w:hAnsi="宋体"/>
          <w:spacing w:val="8"/>
        </w:rPr>
        <w:t xml:space="preserve"> 77.5</w:t>
      </w:r>
      <w:r>
        <w:rPr>
          <w:rFonts w:ascii="宋体" w:hAnsi="宋体"/>
          <w:spacing w:val="8"/>
        </w:rPr>
        <w:t>万吨</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水泥</w:t>
      </w:r>
      <w:r>
        <w:rPr>
          <w:rFonts w:ascii="宋体" w:hAnsi="宋体"/>
          <w:spacing w:val="8"/>
        </w:rPr>
        <w:t xml:space="preserve">装置：             </w:t>
      </w:r>
      <w:r>
        <w:rPr>
          <w:rFonts w:hint="eastAsia" w:ascii="宋体" w:hAnsi="宋体"/>
          <w:spacing w:val="8"/>
        </w:rPr>
        <w:t xml:space="preserve">  100</w:t>
      </w:r>
      <w:r>
        <w:rPr>
          <w:rFonts w:ascii="宋体" w:hAnsi="宋体"/>
          <w:spacing w:val="8"/>
        </w:rPr>
        <w:t>万t/a</w:t>
      </w:r>
      <w:r>
        <w:rPr>
          <w:rFonts w:hint="eastAsia" w:ascii="宋体" w:hAnsi="宋体"/>
          <w:spacing w:val="8"/>
        </w:rPr>
        <w:t xml:space="preserve"> </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余热发电装置：           4.5M</w:t>
      </w:r>
      <w:r>
        <w:rPr>
          <w:rFonts w:ascii="宋体" w:hAnsi="宋体"/>
          <w:spacing w:val="8"/>
        </w:rPr>
        <w:t>W</w:t>
      </w:r>
    </w:p>
    <w:p>
      <w:pPr>
        <w:spacing w:line="360" w:lineRule="auto"/>
        <w:outlineLvl w:val="2"/>
        <w:rPr>
          <w:rFonts w:hint="eastAsia"/>
          <w:b/>
          <w:bCs/>
          <w:szCs w:val="20"/>
        </w:rPr>
      </w:pPr>
      <w:r>
        <w:rPr>
          <w:rFonts w:hint="eastAsia"/>
          <w:b/>
          <w:bCs/>
          <w:szCs w:val="20"/>
        </w:rPr>
        <w:t>3.1.2.2产品方案</w:t>
      </w:r>
    </w:p>
    <w:p>
      <w:pPr>
        <w:adjustRightInd w:val="0"/>
        <w:snapToGrid w:val="0"/>
        <w:spacing w:line="360" w:lineRule="auto"/>
        <w:ind w:firstLine="452" w:firstLineChars="200"/>
        <w:rPr>
          <w:rFonts w:ascii="宋体" w:hAnsi="宋体"/>
          <w:spacing w:val="8"/>
        </w:rPr>
      </w:pPr>
      <w:r>
        <w:rPr>
          <w:rFonts w:hint="eastAsia" w:ascii="宋体" w:hAnsi="宋体"/>
          <w:spacing w:val="8"/>
        </w:rPr>
        <w:t>熟料</w:t>
      </w:r>
      <w:r>
        <w:rPr>
          <w:rFonts w:ascii="宋体" w:hAnsi="宋体"/>
          <w:spacing w:val="8"/>
        </w:rPr>
        <w:t xml:space="preserve">：                </w:t>
      </w:r>
      <w:r>
        <w:rPr>
          <w:rFonts w:hint="eastAsia" w:ascii="宋体" w:hAnsi="宋体"/>
          <w:spacing w:val="8"/>
        </w:rPr>
        <w:t xml:space="preserve">    77.5万</w:t>
      </w:r>
      <w:r>
        <w:rPr>
          <w:rFonts w:ascii="宋体" w:hAnsi="宋体"/>
          <w:spacing w:val="8"/>
        </w:rPr>
        <w:t>t/a</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水泥</w:t>
      </w:r>
      <w:r>
        <w:rPr>
          <w:rFonts w:ascii="宋体" w:hAnsi="宋体"/>
          <w:spacing w:val="8"/>
        </w:rPr>
        <w:t xml:space="preserve">：             </w:t>
      </w:r>
      <w:r>
        <w:rPr>
          <w:rFonts w:hint="eastAsia" w:ascii="宋体" w:hAnsi="宋体"/>
          <w:spacing w:val="8"/>
        </w:rPr>
        <w:t xml:space="preserve">       100</w:t>
      </w:r>
      <w:r>
        <w:rPr>
          <w:rFonts w:ascii="宋体" w:hAnsi="宋体"/>
          <w:spacing w:val="8"/>
        </w:rPr>
        <w:t>万t/a</w:t>
      </w:r>
    </w:p>
    <w:p>
      <w:pPr>
        <w:adjustRightInd w:val="0"/>
        <w:snapToGrid w:val="0"/>
        <w:spacing w:line="360" w:lineRule="auto"/>
        <w:ind w:firstLine="452" w:firstLineChars="200"/>
        <w:rPr>
          <w:rFonts w:hint="eastAsia" w:ascii="宋体" w:hAnsi="宋体"/>
          <w:spacing w:val="8"/>
        </w:rPr>
      </w:pPr>
      <w:r>
        <w:rPr>
          <w:rFonts w:hint="eastAsia" w:ascii="宋体" w:hAnsi="宋体"/>
          <w:spacing w:val="8"/>
        </w:rPr>
        <w:t xml:space="preserve">发电：                </w:t>
      </w:r>
      <w:bookmarkStart w:id="89" w:name="_Toc175479786"/>
      <w:bookmarkStart w:id="90" w:name="_Toc473281489"/>
      <w:bookmarkStart w:id="91" w:name="_Toc189814131"/>
      <w:bookmarkStart w:id="92" w:name="_Toc165607343"/>
      <w:bookmarkStart w:id="93" w:name="_Toc129763698"/>
      <w:r>
        <w:rPr>
          <w:rFonts w:hint="eastAsia" w:ascii="宋体" w:hAnsi="宋体"/>
          <w:spacing w:val="8"/>
        </w:rPr>
        <w:t xml:space="preserve">    4.5M</w:t>
      </w:r>
      <w:r>
        <w:rPr>
          <w:rFonts w:ascii="宋体" w:hAnsi="宋体"/>
          <w:spacing w:val="8"/>
        </w:rPr>
        <w:t>W</w:t>
      </w:r>
    </w:p>
    <w:p>
      <w:pPr>
        <w:adjustRightInd w:val="0"/>
        <w:snapToGrid w:val="0"/>
        <w:spacing w:line="360" w:lineRule="auto"/>
        <w:ind w:firstLine="422" w:firstLineChars="200"/>
        <w:rPr>
          <w:rFonts w:hint="eastAsia"/>
          <w:b/>
          <w:bCs/>
          <w:szCs w:val="20"/>
        </w:rPr>
      </w:pPr>
      <w:r>
        <w:rPr>
          <w:rFonts w:hint="eastAsia"/>
          <w:b/>
          <w:bCs/>
          <w:szCs w:val="20"/>
        </w:rPr>
        <w:t>3.1</w:t>
      </w:r>
      <w:r>
        <w:rPr>
          <w:b/>
          <w:bCs/>
          <w:szCs w:val="20"/>
        </w:rPr>
        <w:t xml:space="preserve">.3 </w:t>
      </w:r>
      <w:r>
        <w:rPr>
          <w:rFonts w:hint="eastAsia"/>
          <w:b/>
          <w:bCs/>
          <w:szCs w:val="20"/>
        </w:rPr>
        <w:t>项目组成及主要内容</w:t>
      </w:r>
      <w:bookmarkEnd w:id="89"/>
      <w:bookmarkEnd w:id="90"/>
      <w:bookmarkEnd w:id="91"/>
      <w:bookmarkEnd w:id="92"/>
      <w:bookmarkEnd w:id="93"/>
    </w:p>
    <w:p>
      <w:pPr>
        <w:spacing w:line="360" w:lineRule="auto"/>
        <w:ind w:firstLine="420" w:firstLineChars="200"/>
        <w:rPr>
          <w:rFonts w:hint="eastAsia" w:ascii="宋体" w:hAnsi="宋体"/>
        </w:rPr>
      </w:pPr>
      <w:r>
        <w:rPr>
          <w:rFonts w:hint="eastAsia" w:ascii="宋体" w:hAnsi="宋体"/>
        </w:rPr>
        <w:t>技改项目组成主要由生产装置、公用工程、辅助设施及配套建筑等项目组成，详见表3-1。</w:t>
      </w:r>
    </w:p>
    <w:p>
      <w:pPr>
        <w:spacing w:line="360" w:lineRule="auto"/>
        <w:outlineLvl w:val="2"/>
        <w:rPr>
          <w:rFonts w:hint="eastAsia"/>
          <w:b/>
          <w:bCs/>
          <w:szCs w:val="20"/>
        </w:rPr>
      </w:pPr>
      <w:bookmarkStart w:id="94" w:name="_Toc189814132"/>
      <w:bookmarkStart w:id="95" w:name="_Toc165607344"/>
      <w:bookmarkStart w:id="96" w:name="_Toc175479787"/>
      <w:bookmarkStart w:id="97" w:name="_Toc473281490"/>
      <w:r>
        <w:rPr>
          <w:rFonts w:hint="eastAsia"/>
          <w:b/>
          <w:bCs/>
          <w:szCs w:val="20"/>
        </w:rPr>
        <w:t>3.1.4主要生产设备</w:t>
      </w:r>
      <w:bookmarkEnd w:id="94"/>
      <w:bookmarkEnd w:id="95"/>
      <w:bookmarkEnd w:id="96"/>
      <w:bookmarkEnd w:id="97"/>
      <w:r>
        <w:rPr>
          <w:rFonts w:hint="eastAsia"/>
          <w:b/>
          <w:bCs/>
          <w:szCs w:val="20"/>
        </w:rPr>
        <w:t>及物料储存装置</w:t>
      </w:r>
    </w:p>
    <w:p>
      <w:pPr>
        <w:spacing w:line="360" w:lineRule="auto"/>
        <w:ind w:firstLine="420" w:firstLineChars="200"/>
        <w:rPr>
          <w:rFonts w:hint="eastAsia" w:ascii="宋体" w:hAnsi="宋体"/>
        </w:rPr>
      </w:pPr>
      <w:r>
        <w:rPr>
          <w:rFonts w:hint="eastAsia" w:ascii="宋体" w:hAnsi="宋体"/>
        </w:rPr>
        <w:t>技改项目主要生产设备见表3-2，物料储存见表3-3。</w:t>
      </w:r>
    </w:p>
    <w:p>
      <w:pPr>
        <w:spacing w:line="360" w:lineRule="auto"/>
        <w:outlineLvl w:val="2"/>
        <w:rPr>
          <w:rFonts w:hint="eastAsia"/>
          <w:b/>
          <w:bCs/>
          <w:szCs w:val="20"/>
        </w:rPr>
      </w:pPr>
      <w:bookmarkStart w:id="98" w:name="_Toc129763700"/>
      <w:bookmarkStart w:id="99" w:name="_Toc175479788"/>
      <w:bookmarkStart w:id="100" w:name="_Toc165607345"/>
      <w:bookmarkStart w:id="101" w:name="_Toc189814133"/>
      <w:bookmarkStart w:id="102" w:name="_Toc473281491"/>
      <w:r>
        <w:rPr>
          <w:rFonts w:hint="eastAsia"/>
          <w:b/>
          <w:bCs/>
          <w:szCs w:val="20"/>
        </w:rPr>
        <w:t>3.1.5主要原辅料和燃料来源、规格、消耗量</w:t>
      </w:r>
      <w:bookmarkEnd w:id="98"/>
      <w:bookmarkEnd w:id="99"/>
      <w:bookmarkEnd w:id="100"/>
      <w:r>
        <w:rPr>
          <w:rFonts w:hint="eastAsia"/>
          <w:b/>
          <w:bCs/>
          <w:szCs w:val="20"/>
        </w:rPr>
        <w:t>及化学组成</w:t>
      </w:r>
      <w:bookmarkEnd w:id="101"/>
      <w:bookmarkEnd w:id="102"/>
    </w:p>
    <w:p>
      <w:pPr>
        <w:spacing w:line="360" w:lineRule="auto"/>
        <w:ind w:firstLine="420" w:firstLineChars="200"/>
        <w:rPr>
          <w:rFonts w:hint="eastAsia" w:ascii="宋体" w:hAnsi="宋体"/>
        </w:rPr>
      </w:pPr>
      <w:r>
        <w:rPr>
          <w:rFonts w:hint="eastAsia" w:ascii="宋体" w:hAnsi="宋体"/>
        </w:rPr>
        <w:t>技改项目主要原辅料和燃料来源、规格、消耗量见表3-4，原辅料化学成分见表3-5，燃煤工业分析见表3-6。</w:t>
      </w:r>
    </w:p>
    <w:p>
      <w:pPr>
        <w:spacing w:line="360" w:lineRule="auto"/>
        <w:outlineLvl w:val="2"/>
        <w:rPr>
          <w:rFonts w:hint="eastAsia"/>
          <w:b/>
          <w:bCs/>
          <w:szCs w:val="20"/>
        </w:rPr>
      </w:pPr>
      <w:bookmarkStart w:id="103" w:name="_Toc189814134"/>
      <w:bookmarkStart w:id="104" w:name="_Toc473281492"/>
      <w:r>
        <w:rPr>
          <w:rFonts w:hint="eastAsia"/>
          <w:b/>
          <w:bCs/>
          <w:szCs w:val="20"/>
        </w:rPr>
        <w:t>3.1.6 原料配比</w:t>
      </w:r>
      <w:bookmarkEnd w:id="103"/>
      <w:bookmarkEnd w:id="104"/>
    </w:p>
    <w:p>
      <w:pPr>
        <w:spacing w:line="360" w:lineRule="auto"/>
        <w:ind w:firstLine="420" w:firstLineChars="200"/>
        <w:rPr>
          <w:rFonts w:hint="eastAsia" w:ascii="宋体" w:hAnsi="宋体"/>
        </w:rPr>
      </w:pPr>
      <w:r>
        <w:rPr>
          <w:rFonts w:hint="eastAsia" w:ascii="宋体" w:hAnsi="宋体"/>
        </w:rPr>
        <w:t>水泥熟料生产原料配比见表3-7。</w:t>
      </w:r>
    </w:p>
    <w:p>
      <w:pPr>
        <w:spacing w:line="360" w:lineRule="auto"/>
        <w:outlineLvl w:val="2"/>
        <w:rPr>
          <w:rFonts w:hint="eastAsia"/>
          <w:b/>
          <w:bCs/>
          <w:szCs w:val="20"/>
        </w:rPr>
      </w:pPr>
      <w:bookmarkStart w:id="105" w:name="_Toc175479789"/>
      <w:bookmarkStart w:id="106" w:name="_Toc165607346"/>
      <w:bookmarkStart w:id="107" w:name="_Toc129763701"/>
      <w:bookmarkStart w:id="108" w:name="_Toc189814135"/>
      <w:bookmarkStart w:id="109" w:name="_Toc473281493"/>
      <w:r>
        <w:rPr>
          <w:rFonts w:hint="eastAsia"/>
          <w:b/>
          <w:bCs/>
          <w:szCs w:val="20"/>
        </w:rPr>
        <w:t>3.1.7 劳动定员、工作制度</w:t>
      </w:r>
      <w:bookmarkEnd w:id="105"/>
      <w:bookmarkEnd w:id="106"/>
      <w:bookmarkEnd w:id="107"/>
      <w:bookmarkEnd w:id="108"/>
      <w:bookmarkEnd w:id="109"/>
    </w:p>
    <w:p>
      <w:pPr>
        <w:spacing w:line="360" w:lineRule="auto"/>
        <w:ind w:firstLine="420" w:firstLineChars="200"/>
        <w:rPr>
          <w:rFonts w:hint="eastAsia" w:ascii="宋体" w:hAnsi="宋体"/>
        </w:rPr>
      </w:pPr>
      <w:r>
        <w:rPr>
          <w:rFonts w:hint="eastAsia" w:ascii="宋体" w:hAnsi="宋体"/>
        </w:rPr>
        <w:t>劳动定员273人，其中管理及工程技术人员19人、生产人员254人，人员全部来自老厂。</w:t>
      </w:r>
    </w:p>
    <w:p>
      <w:pPr>
        <w:spacing w:line="500" w:lineRule="exact"/>
        <w:jc w:val="center"/>
        <w:rPr>
          <w:rFonts w:hint="eastAsia"/>
          <w:b/>
          <w:spacing w:val="8"/>
        </w:rPr>
      </w:pPr>
    </w:p>
    <w:p>
      <w:pPr>
        <w:spacing w:line="480" w:lineRule="exact"/>
        <w:ind w:firstLine="454" w:firstLineChars="200"/>
        <w:jc w:val="center"/>
        <w:rPr>
          <w:rFonts w:hint="eastAsia" w:ascii="宋体" w:hAnsi="宋体"/>
          <w:b/>
          <w:spacing w:val="8"/>
        </w:rPr>
      </w:pPr>
      <w:r>
        <w:rPr>
          <w:rFonts w:hint="eastAsia" w:ascii="宋体" w:hAnsi="宋体"/>
          <w:b/>
          <w:spacing w:val="8"/>
        </w:rPr>
        <w:t>表3-1  技改项目组成及依托公司工程内容</w:t>
      </w:r>
    </w:p>
    <w:tbl>
      <w:tblPr>
        <w:tblStyle w:val="20"/>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4036"/>
        <w:gridCol w:w="3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6" w:type="dxa"/>
            <w:gridSpan w:val="2"/>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技改项目组成</w:t>
            </w:r>
          </w:p>
        </w:tc>
        <w:tc>
          <w:tcPr>
            <w:tcW w:w="3303"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依托重庆永荣青鹏煤业有限公司工程内容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ascii="宋体" w:hAnsi="宋体"/>
                <w:sz w:val="21"/>
                <w:szCs w:val="21"/>
                <w:lang w:val="zh-CN"/>
              </w:rPr>
            </w:pPr>
            <w:r>
              <w:rPr>
                <w:rFonts w:hint="eastAsia" w:ascii="宋体" w:hAnsi="宋体" w:cs="宋体"/>
                <w:sz w:val="21"/>
                <w:szCs w:val="21"/>
                <w:lang w:val="zh-CN"/>
              </w:rPr>
              <w:t>项目名称</w:t>
            </w:r>
          </w:p>
        </w:tc>
        <w:tc>
          <w:tcPr>
            <w:tcW w:w="4036" w:type="dxa"/>
            <w:noWrap w:val="0"/>
            <w:vAlign w:val="center"/>
          </w:tcPr>
          <w:p>
            <w:pPr>
              <w:autoSpaceDE w:val="0"/>
              <w:autoSpaceDN w:val="0"/>
              <w:adjustRightInd w:val="0"/>
              <w:rPr>
                <w:rFonts w:ascii="宋体" w:hAnsi="宋体"/>
                <w:sz w:val="21"/>
                <w:szCs w:val="21"/>
                <w:lang w:val="zh-CN"/>
              </w:rPr>
            </w:pPr>
            <w:r>
              <w:rPr>
                <w:rFonts w:hint="eastAsia" w:ascii="宋体" w:hAnsi="宋体" w:cs="宋体"/>
                <w:sz w:val="21"/>
                <w:szCs w:val="21"/>
                <w:lang w:val="zh-CN"/>
              </w:rPr>
              <w:t>组成</w:t>
            </w:r>
          </w:p>
        </w:tc>
        <w:tc>
          <w:tcPr>
            <w:tcW w:w="3303"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①供水系统（适当改造即可）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ascii="宋体" w:hAnsi="宋体"/>
                <w:b/>
                <w:sz w:val="21"/>
                <w:szCs w:val="21"/>
                <w:lang w:val="zh-CN"/>
              </w:rPr>
            </w:pPr>
            <w:r>
              <w:rPr>
                <w:rFonts w:hint="eastAsia" w:ascii="宋体" w:hAnsi="宋体" w:cs="宋体"/>
                <w:b/>
                <w:sz w:val="21"/>
                <w:szCs w:val="21"/>
                <w:lang w:val="zh-CN"/>
              </w:rPr>
              <w:t>①主要生产装置</w:t>
            </w:r>
          </w:p>
        </w:tc>
        <w:tc>
          <w:tcPr>
            <w:tcW w:w="4036" w:type="dxa"/>
            <w:noWrap w:val="0"/>
            <w:vAlign w:val="center"/>
          </w:tcPr>
          <w:p>
            <w:pPr>
              <w:autoSpaceDE w:val="0"/>
              <w:autoSpaceDN w:val="0"/>
              <w:adjustRightInd w:val="0"/>
              <w:rPr>
                <w:rFonts w:hint="eastAsia" w:ascii="宋体" w:hAnsi="宋体"/>
                <w:sz w:val="21"/>
                <w:szCs w:val="21"/>
                <w:lang w:val="zh-CN"/>
              </w:rPr>
            </w:pPr>
          </w:p>
        </w:tc>
        <w:tc>
          <w:tcPr>
            <w:tcW w:w="3303" w:type="dxa"/>
            <w:noWrap w:val="0"/>
            <w:vAlign w:val="center"/>
          </w:tcPr>
          <w:p>
            <w:pPr>
              <w:autoSpaceDE w:val="0"/>
              <w:autoSpaceDN w:val="0"/>
              <w:adjustRightInd w:val="0"/>
              <w:rPr>
                <w:rFonts w:hint="eastAsia" w:ascii="宋体" w:hAnsi="宋体"/>
                <w:sz w:val="21"/>
                <w:szCs w:val="21"/>
                <w:lang w:val="zh-CN"/>
              </w:rPr>
            </w:pPr>
            <w:r>
              <w:rPr>
                <w:rFonts w:hint="eastAsia" w:ascii="宋体" w:hAnsi="宋体" w:cs="宋体"/>
                <w:sz w:val="21"/>
                <w:szCs w:val="21"/>
                <w:lang w:val="zh-CN"/>
              </w:rPr>
              <w:t>②生活设施（食堂、浴室、宿舍）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原料调配系统</w:t>
            </w:r>
          </w:p>
        </w:tc>
        <w:tc>
          <w:tcPr>
            <w:tcW w:w="4036" w:type="dxa"/>
            <w:noWrap w:val="0"/>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矿石堆存及输送、砂岩破碎及预均化堆场</w:t>
            </w:r>
          </w:p>
        </w:tc>
        <w:tc>
          <w:tcPr>
            <w:tcW w:w="3303" w:type="dxa"/>
            <w:noWrap w:val="0"/>
            <w:vAlign w:val="center"/>
          </w:tcPr>
          <w:p>
            <w:pPr>
              <w:autoSpaceDE w:val="0"/>
              <w:autoSpaceDN w:val="0"/>
              <w:adjustRightInd w:val="0"/>
              <w:rPr>
                <w:rFonts w:hint="eastAsia" w:ascii="宋体" w:hAnsi="宋体"/>
                <w:sz w:val="21"/>
                <w:szCs w:val="21"/>
                <w:lang w:val="zh-CN"/>
              </w:rPr>
            </w:pPr>
            <w:r>
              <w:rPr>
                <w:rFonts w:hint="eastAsia" w:ascii="宋体" w:hAnsi="宋体" w:cs="宋体"/>
                <w:sz w:val="21"/>
                <w:szCs w:val="21"/>
                <w:lang w:val="zh-CN"/>
              </w:rPr>
              <w:t>③厂外运输道路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生料调配系统</w:t>
            </w:r>
          </w:p>
        </w:tc>
        <w:tc>
          <w:tcPr>
            <w:tcW w:w="4036" w:type="dxa"/>
            <w:noWrap w:val="0"/>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生料粉磨、生料均化</w:t>
            </w:r>
          </w:p>
        </w:tc>
        <w:tc>
          <w:tcPr>
            <w:tcW w:w="3303" w:type="dxa"/>
            <w:noWrap w:val="0"/>
            <w:vAlign w:val="center"/>
          </w:tcPr>
          <w:p>
            <w:pPr>
              <w:autoSpaceDE w:val="0"/>
              <w:autoSpaceDN w:val="0"/>
              <w:adjustRightInd w:val="0"/>
              <w:rPr>
                <w:rFonts w:hint="eastAsia"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煤粉系统</w:t>
            </w:r>
          </w:p>
        </w:tc>
        <w:tc>
          <w:tcPr>
            <w:tcW w:w="4036" w:type="dxa"/>
            <w:noWrap w:val="0"/>
            <w:vAlign w:val="center"/>
          </w:tcPr>
          <w:p>
            <w:pPr>
              <w:autoSpaceDE w:val="0"/>
              <w:autoSpaceDN w:val="0"/>
              <w:adjustRightInd w:val="0"/>
              <w:rPr>
                <w:rFonts w:hint="eastAsia" w:ascii="宋体" w:hAnsi="宋体"/>
                <w:sz w:val="21"/>
                <w:szCs w:val="21"/>
                <w:lang w:val="zh-CN"/>
              </w:rPr>
            </w:pPr>
            <w:r>
              <w:rPr>
                <w:rFonts w:hint="eastAsia" w:ascii="宋体" w:hAnsi="宋体"/>
                <w:sz w:val="21"/>
                <w:szCs w:val="21"/>
                <w:lang w:val="zh-CN"/>
              </w:rPr>
              <w:t>原煤堆场及破碎、煤粉磨、煤粉仓</w:t>
            </w:r>
          </w:p>
        </w:tc>
        <w:tc>
          <w:tcPr>
            <w:tcW w:w="3303" w:type="dxa"/>
            <w:noWrap w:val="0"/>
            <w:vAlign w:val="center"/>
          </w:tcPr>
          <w:p>
            <w:pPr>
              <w:autoSpaceDE w:val="0"/>
              <w:autoSpaceDN w:val="0"/>
              <w:adjustRightInd w:val="0"/>
              <w:rPr>
                <w:rFonts w:hint="eastAsia"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熟料烧成系统</w:t>
            </w:r>
          </w:p>
        </w:tc>
        <w:tc>
          <w:tcPr>
            <w:tcW w:w="4036" w:type="dxa"/>
            <w:noWrap w:val="0"/>
            <w:vAlign w:val="center"/>
          </w:tcPr>
          <w:p>
            <w:pPr>
              <w:autoSpaceDE w:val="0"/>
              <w:autoSpaceDN w:val="0"/>
              <w:adjustRightInd w:val="0"/>
              <w:rPr>
                <w:rFonts w:hint="eastAsia" w:ascii="宋体" w:hAnsi="宋体"/>
                <w:sz w:val="21"/>
                <w:szCs w:val="21"/>
                <w:lang w:val="zh-CN"/>
              </w:rPr>
            </w:pPr>
            <w:r>
              <w:rPr>
                <w:rFonts w:hint="eastAsia" w:ascii="宋体" w:hAnsi="宋体"/>
                <w:sz w:val="21"/>
                <w:szCs w:val="21"/>
              </w:rPr>
              <w:t>预热器、分解炉、回转窑</w:t>
            </w:r>
          </w:p>
        </w:tc>
        <w:tc>
          <w:tcPr>
            <w:tcW w:w="3303" w:type="dxa"/>
            <w:noWrap w:val="0"/>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水泥调配系统</w:t>
            </w:r>
          </w:p>
        </w:tc>
        <w:tc>
          <w:tcPr>
            <w:tcW w:w="4036" w:type="dxa"/>
            <w:noWrap w:val="0"/>
            <w:vAlign w:val="center"/>
          </w:tcPr>
          <w:p>
            <w:pPr>
              <w:autoSpaceDE w:val="0"/>
              <w:autoSpaceDN w:val="0"/>
              <w:adjustRightInd w:val="0"/>
              <w:rPr>
                <w:rFonts w:hint="eastAsia" w:ascii="宋体" w:hAnsi="宋体"/>
                <w:bCs/>
                <w:sz w:val="21"/>
                <w:szCs w:val="21"/>
              </w:rPr>
            </w:pPr>
            <w:r>
              <w:rPr>
                <w:rFonts w:hint="eastAsia" w:ascii="宋体" w:hAnsi="宋体" w:cs="宋体"/>
                <w:sz w:val="21"/>
                <w:szCs w:val="21"/>
                <w:lang w:val="zh-CN"/>
              </w:rPr>
              <w:t>熟料储存、</w:t>
            </w:r>
            <w:r>
              <w:rPr>
                <w:rFonts w:hint="eastAsia" w:ascii="宋体" w:hAnsi="宋体"/>
                <w:bCs/>
                <w:sz w:val="21"/>
                <w:szCs w:val="21"/>
              </w:rPr>
              <w:t>石膏破碎、水泥磨</w:t>
            </w:r>
          </w:p>
        </w:tc>
        <w:tc>
          <w:tcPr>
            <w:tcW w:w="3303" w:type="dxa"/>
            <w:noWrap w:val="0"/>
            <w:vAlign w:val="center"/>
          </w:tcPr>
          <w:p>
            <w:pPr>
              <w:autoSpaceDE w:val="0"/>
              <w:autoSpaceDN w:val="0"/>
              <w:adjustRightInd w:val="0"/>
              <w:rPr>
                <w:rFonts w:hint="eastAsia" w:ascii="宋体" w:hAnsi="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余热发电装置</w:t>
            </w:r>
          </w:p>
        </w:tc>
        <w:tc>
          <w:tcPr>
            <w:tcW w:w="4036"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余热锅炉、汽轮机、发电机</w:t>
            </w:r>
          </w:p>
        </w:tc>
        <w:tc>
          <w:tcPr>
            <w:tcW w:w="3303" w:type="dxa"/>
            <w:noWrap w:val="0"/>
            <w:vAlign w:val="center"/>
          </w:tcPr>
          <w:p>
            <w:pPr>
              <w:autoSpaceDE w:val="0"/>
              <w:autoSpaceDN w:val="0"/>
              <w:adjustRightInd w:val="0"/>
              <w:rPr>
                <w:rFonts w:hint="eastAsia" w:ascii="宋体" w:hAnsi="宋体" w:cs="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ascii="宋体" w:hAnsi="宋体"/>
                <w:b/>
                <w:sz w:val="21"/>
                <w:szCs w:val="21"/>
                <w:lang w:val="zh-CN"/>
              </w:rPr>
            </w:pPr>
            <w:r>
              <w:rPr>
                <w:rFonts w:hint="eastAsia" w:ascii="宋体" w:hAnsi="宋体" w:cs="宋体"/>
                <w:b/>
                <w:sz w:val="21"/>
                <w:szCs w:val="21"/>
                <w:lang w:val="zh-CN"/>
              </w:rPr>
              <w:t>②公用工程</w:t>
            </w:r>
          </w:p>
        </w:tc>
        <w:tc>
          <w:tcPr>
            <w:tcW w:w="4036" w:type="dxa"/>
            <w:noWrap w:val="0"/>
            <w:vAlign w:val="center"/>
          </w:tcPr>
          <w:p>
            <w:pPr>
              <w:autoSpaceDE w:val="0"/>
              <w:autoSpaceDN w:val="0"/>
              <w:adjustRightInd w:val="0"/>
              <w:rPr>
                <w:rFonts w:ascii="宋体" w:hAnsi="宋体"/>
                <w:sz w:val="21"/>
                <w:szCs w:val="21"/>
                <w:lang w:val="zh-CN"/>
              </w:rPr>
            </w:pPr>
          </w:p>
        </w:tc>
        <w:tc>
          <w:tcPr>
            <w:tcW w:w="3303" w:type="dxa"/>
            <w:noWrap w:val="0"/>
            <w:vAlign w:val="center"/>
          </w:tcPr>
          <w:p>
            <w:pPr>
              <w:autoSpaceDE w:val="0"/>
              <w:autoSpaceDN w:val="0"/>
              <w:adjustRightInd w:val="0"/>
              <w:rPr>
                <w:rFonts w:ascii="宋体" w:hAnsi="宋体"/>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sz w:val="21"/>
                <w:szCs w:val="21"/>
                <w:lang w:val="zh-CN"/>
              </w:rPr>
              <w:t>给水</w:t>
            </w:r>
          </w:p>
        </w:tc>
        <w:tc>
          <w:tcPr>
            <w:tcW w:w="4036" w:type="dxa"/>
            <w:noWrap w:val="0"/>
            <w:vAlign w:val="center"/>
          </w:tcPr>
          <w:p>
            <w:pPr>
              <w:autoSpaceDE w:val="0"/>
              <w:autoSpaceDN w:val="0"/>
              <w:adjustRightInd w:val="0"/>
              <w:rPr>
                <w:rFonts w:ascii="宋体" w:hAnsi="宋体"/>
                <w:sz w:val="21"/>
                <w:szCs w:val="21"/>
                <w:lang w:val="zh-CN"/>
              </w:rPr>
            </w:pPr>
            <w:r>
              <w:rPr>
                <w:rFonts w:hint="eastAsia" w:ascii="宋体" w:hAnsi="宋体"/>
                <w:sz w:val="21"/>
                <w:szCs w:val="21"/>
              </w:rPr>
              <w:t>生产和生活用水供水管网。</w:t>
            </w:r>
          </w:p>
        </w:tc>
        <w:tc>
          <w:tcPr>
            <w:tcW w:w="3303" w:type="dxa"/>
            <w:noWrap w:val="0"/>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autoSpaceDE w:val="0"/>
              <w:autoSpaceDN w:val="0"/>
              <w:adjustRightInd w:val="0"/>
              <w:rPr>
                <w:rFonts w:hint="eastAsia" w:ascii="宋体" w:hAnsi="宋体" w:cs="宋体"/>
                <w:sz w:val="21"/>
                <w:szCs w:val="21"/>
                <w:lang w:val="zh-CN"/>
              </w:rPr>
            </w:pPr>
            <w:r>
              <w:rPr>
                <w:rFonts w:hint="eastAsia" w:ascii="宋体" w:hAnsi="宋体" w:cs="宋体"/>
                <w:sz w:val="21"/>
                <w:szCs w:val="21"/>
                <w:lang w:val="zh-CN"/>
              </w:rPr>
              <w:t>排水</w:t>
            </w:r>
          </w:p>
        </w:tc>
        <w:tc>
          <w:tcPr>
            <w:tcW w:w="4036" w:type="dxa"/>
            <w:noWrap w:val="0"/>
            <w:vAlign w:val="center"/>
          </w:tcPr>
          <w:p>
            <w:pPr>
              <w:autoSpaceDE w:val="0"/>
              <w:autoSpaceDN w:val="0"/>
              <w:adjustRightInd w:val="0"/>
              <w:rPr>
                <w:rFonts w:ascii="宋体" w:hAnsi="宋体"/>
                <w:sz w:val="21"/>
                <w:szCs w:val="21"/>
                <w:lang w:val="zh-CN"/>
              </w:rPr>
            </w:pPr>
            <w:r>
              <w:rPr>
                <w:rFonts w:hint="eastAsia" w:ascii="宋体" w:hAnsi="宋体"/>
                <w:sz w:val="21"/>
                <w:szCs w:val="21"/>
              </w:rPr>
              <w:t>排水系统采用清污分流，配套建设雨水管网、生产废水管网、生活污水管网</w:t>
            </w:r>
          </w:p>
        </w:tc>
        <w:tc>
          <w:tcPr>
            <w:tcW w:w="3303" w:type="dxa"/>
            <w:noWrap w:val="0"/>
            <w:vAlign w:val="center"/>
          </w:tcPr>
          <w:p>
            <w:pPr>
              <w:autoSpaceDE w:val="0"/>
              <w:autoSpaceDN w:val="0"/>
              <w:adjustRightInd w:val="0"/>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循环冷却水</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设置2套循环水装置，水泥生产装置和发电装置各1套。其中发电装置采用1台玻璃钢逆流式方形机械通风冷却塔。</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供配电</w:t>
            </w:r>
          </w:p>
        </w:tc>
        <w:tc>
          <w:tcPr>
            <w:tcW w:w="4036" w:type="dxa"/>
            <w:noWrap w:val="0"/>
            <w:vAlign w:val="center"/>
          </w:tcPr>
          <w:p>
            <w:pPr>
              <w:spacing w:line="340" w:lineRule="exact"/>
              <w:rPr>
                <w:rFonts w:hint="eastAsia" w:ascii="宋体" w:hAnsi="宋体"/>
                <w:sz w:val="21"/>
                <w:szCs w:val="21"/>
              </w:rPr>
            </w:pPr>
            <w:r>
              <w:rPr>
                <w:rFonts w:ascii="宋体" w:hAnsi="宋体"/>
                <w:sz w:val="21"/>
                <w:szCs w:val="21"/>
              </w:rPr>
              <w:t>拟从距矿区3</w:t>
            </w:r>
            <w:r>
              <w:rPr>
                <w:rFonts w:hint="eastAsia" w:ascii="宋体" w:hAnsi="宋体"/>
                <w:sz w:val="21"/>
                <w:szCs w:val="21"/>
              </w:rPr>
              <w:t>km</w:t>
            </w:r>
            <w:r>
              <w:rPr>
                <w:rFonts w:ascii="宋体" w:hAnsi="宋体"/>
                <w:sz w:val="21"/>
                <w:szCs w:val="21"/>
              </w:rPr>
              <w:t>的</w:t>
            </w:r>
            <w:r>
              <w:rPr>
                <w:rFonts w:hint="eastAsia" w:ascii="宋体" w:hAnsi="宋体"/>
                <w:sz w:val="21"/>
                <w:szCs w:val="21"/>
              </w:rPr>
              <w:t>沙坪坝</w:t>
            </w:r>
            <w:r>
              <w:rPr>
                <w:rFonts w:ascii="宋体" w:hAnsi="宋体"/>
                <w:sz w:val="21"/>
                <w:szCs w:val="21"/>
              </w:rPr>
              <w:t>马铁线T接一回路35KV架空线路至本公司，新建35KV降压站一座</w:t>
            </w:r>
            <w:r>
              <w:rPr>
                <w:rFonts w:hint="eastAsia" w:ascii="宋体" w:hAnsi="宋体"/>
                <w:sz w:val="21"/>
                <w:szCs w:val="21"/>
              </w:rPr>
              <w:t>。</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脱盐水</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新建1套脱盐水处理系统，设计规模60m</w:t>
            </w:r>
            <w:r>
              <w:rPr>
                <w:rFonts w:hint="eastAsia" w:ascii="宋体" w:hAnsi="宋体"/>
                <w:sz w:val="21"/>
                <w:szCs w:val="21"/>
                <w:vertAlign w:val="superscript"/>
              </w:rPr>
              <w:t>3</w:t>
            </w:r>
            <w:r>
              <w:rPr>
                <w:rFonts w:hint="eastAsia" w:ascii="宋体" w:hAnsi="宋体"/>
                <w:sz w:val="21"/>
                <w:szCs w:val="21"/>
              </w:rPr>
              <w:t>/d。采用二级RO装置。</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b/>
                <w:spacing w:val="20"/>
                <w:sz w:val="21"/>
                <w:szCs w:val="21"/>
              </w:rPr>
            </w:pPr>
            <w:r>
              <w:rPr>
                <w:rFonts w:hint="eastAsia" w:ascii="宋体" w:hAnsi="宋体"/>
                <w:b/>
                <w:spacing w:val="20"/>
                <w:sz w:val="21"/>
                <w:szCs w:val="21"/>
              </w:rPr>
              <w:t>③辅助设施</w:t>
            </w:r>
          </w:p>
        </w:tc>
        <w:tc>
          <w:tcPr>
            <w:tcW w:w="4036" w:type="dxa"/>
            <w:noWrap w:val="0"/>
            <w:vAlign w:val="center"/>
          </w:tcPr>
          <w:p>
            <w:pPr>
              <w:spacing w:line="340" w:lineRule="exact"/>
              <w:rPr>
                <w:rFonts w:hint="eastAsia" w:ascii="宋体" w:hAnsi="宋体"/>
                <w:sz w:val="21"/>
                <w:szCs w:val="21"/>
              </w:rPr>
            </w:pP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空压站</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新建1座空压站，由5</w:t>
            </w:r>
            <w:r>
              <w:rPr>
                <w:rFonts w:ascii="宋体" w:hAnsi="宋体"/>
                <w:sz w:val="21"/>
                <w:szCs w:val="21"/>
              </w:rPr>
              <w:t>台螺杆式空气压缩机，用于全厂的压缩空气供气，排气量为</w:t>
            </w:r>
            <w:r>
              <w:rPr>
                <w:rFonts w:hint="eastAsia" w:ascii="宋体" w:hAnsi="宋体"/>
                <w:sz w:val="21"/>
                <w:szCs w:val="21"/>
              </w:rPr>
              <w:t>25</w:t>
            </w:r>
            <w:r>
              <w:rPr>
                <w:rFonts w:ascii="宋体" w:hAnsi="宋体"/>
                <w:sz w:val="21"/>
                <w:szCs w:val="21"/>
              </w:rPr>
              <w:t>m</w:t>
            </w:r>
            <w:r>
              <w:rPr>
                <w:rFonts w:ascii="宋体" w:hAnsi="宋体"/>
                <w:sz w:val="21"/>
                <w:szCs w:val="21"/>
                <w:vertAlign w:val="superscript"/>
              </w:rPr>
              <w:t>3</w:t>
            </w:r>
            <w:r>
              <w:rPr>
                <w:rFonts w:ascii="宋体" w:hAnsi="宋体"/>
                <w:sz w:val="21"/>
                <w:szCs w:val="21"/>
              </w:rPr>
              <w:t>/min，排气压力0.</w:t>
            </w:r>
            <w:r>
              <w:rPr>
                <w:rFonts w:hint="eastAsia" w:ascii="宋体" w:hAnsi="宋体"/>
                <w:sz w:val="21"/>
                <w:szCs w:val="21"/>
              </w:rPr>
              <w:t>8</w:t>
            </w:r>
            <w:r>
              <w:rPr>
                <w:rFonts w:ascii="宋体" w:hAnsi="宋体"/>
                <w:sz w:val="21"/>
                <w:szCs w:val="21"/>
              </w:rPr>
              <w:t>MPa</w:t>
            </w:r>
            <w:r>
              <w:rPr>
                <w:rFonts w:hint="eastAsia" w:ascii="宋体" w:hAnsi="宋体"/>
                <w:sz w:val="21"/>
                <w:szCs w:val="21"/>
              </w:rPr>
              <w:t>。</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污水处理站</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新建1座60</w:t>
            </w:r>
            <w:r>
              <w:rPr>
                <w:rFonts w:ascii="宋体" w:hAnsi="宋体"/>
                <w:sz w:val="21"/>
                <w:szCs w:val="21"/>
              </w:rPr>
              <w:t>m</w:t>
            </w:r>
            <w:r>
              <w:rPr>
                <w:rFonts w:hint="eastAsia" w:ascii="宋体" w:hAnsi="宋体"/>
                <w:sz w:val="21"/>
                <w:szCs w:val="21"/>
                <w:vertAlign w:val="superscript"/>
              </w:rPr>
              <w:t>8</w:t>
            </w:r>
            <w:r>
              <w:rPr>
                <w:rFonts w:hint="eastAsia" w:ascii="宋体" w:hAnsi="宋体"/>
                <w:sz w:val="21"/>
                <w:szCs w:val="21"/>
              </w:rPr>
              <w:t>/d生活污水处理站，处理达标后的生活污水排入厂区北侧的无名小河沟。</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机电修车间</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负责全厂机械设备日常维护及保养</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spacing w:val="20"/>
                <w:sz w:val="21"/>
                <w:szCs w:val="21"/>
              </w:rPr>
              <w:t>材料库</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耐火材料储存</w:t>
            </w:r>
          </w:p>
        </w:tc>
        <w:tc>
          <w:tcPr>
            <w:tcW w:w="3303" w:type="dxa"/>
            <w:noWrap w:val="0"/>
            <w:vAlign w:val="center"/>
          </w:tcPr>
          <w:p>
            <w:pPr>
              <w:spacing w:line="340" w:lineRule="exact"/>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noWrap w:val="0"/>
            <w:vAlign w:val="center"/>
          </w:tcPr>
          <w:p>
            <w:pPr>
              <w:spacing w:line="340" w:lineRule="exact"/>
              <w:rPr>
                <w:rFonts w:hint="eastAsia" w:ascii="宋体" w:hAnsi="宋体"/>
                <w:spacing w:val="20"/>
                <w:sz w:val="21"/>
                <w:szCs w:val="21"/>
              </w:rPr>
            </w:pPr>
            <w:r>
              <w:rPr>
                <w:rFonts w:hint="eastAsia" w:ascii="宋体" w:hAnsi="宋体" w:cs="宋体"/>
                <w:sz w:val="21"/>
                <w:szCs w:val="21"/>
                <w:lang w:val="zh-CN"/>
              </w:rPr>
              <w:t>中控</w:t>
            </w:r>
            <w:r>
              <w:rPr>
                <w:rFonts w:ascii="宋体" w:hAnsi="宋体" w:cs="宋体"/>
                <w:sz w:val="21"/>
                <w:szCs w:val="21"/>
                <w:lang w:val="zh-CN"/>
              </w:rPr>
              <w:t>楼</w:t>
            </w:r>
          </w:p>
        </w:tc>
        <w:tc>
          <w:tcPr>
            <w:tcW w:w="4036" w:type="dxa"/>
            <w:noWrap w:val="0"/>
            <w:vAlign w:val="center"/>
          </w:tcPr>
          <w:p>
            <w:pPr>
              <w:spacing w:line="340" w:lineRule="exact"/>
              <w:rPr>
                <w:rFonts w:hint="eastAsia" w:ascii="宋体" w:hAnsi="宋体"/>
                <w:sz w:val="21"/>
                <w:szCs w:val="21"/>
              </w:rPr>
            </w:pPr>
            <w:r>
              <w:rPr>
                <w:rFonts w:hint="eastAsia" w:ascii="宋体" w:hAnsi="宋体"/>
                <w:sz w:val="21"/>
                <w:szCs w:val="21"/>
              </w:rPr>
              <w:t>包括中控、化验等功能</w:t>
            </w:r>
          </w:p>
        </w:tc>
        <w:tc>
          <w:tcPr>
            <w:tcW w:w="3303" w:type="dxa"/>
            <w:noWrap w:val="0"/>
            <w:vAlign w:val="center"/>
          </w:tcPr>
          <w:p>
            <w:pPr>
              <w:spacing w:line="340" w:lineRule="exact"/>
              <w:rPr>
                <w:rFonts w:hint="eastAsia" w:ascii="宋体" w:hAnsi="宋体"/>
                <w:sz w:val="21"/>
                <w:szCs w:val="21"/>
              </w:rPr>
            </w:pPr>
          </w:p>
        </w:tc>
      </w:tr>
    </w:tbl>
    <w:p>
      <w:pPr>
        <w:rPr>
          <w:rFonts w:hint="eastAsia"/>
        </w:rPr>
      </w:pPr>
    </w:p>
    <w:p>
      <w:pPr>
        <w:spacing w:line="480" w:lineRule="exact"/>
        <w:jc w:val="center"/>
        <w:rPr>
          <w:rFonts w:hint="eastAsia" w:ascii="宋体" w:hAnsi="宋体"/>
          <w:b/>
        </w:rPr>
      </w:pPr>
      <w:r>
        <w:rPr>
          <w:rFonts w:hint="eastAsia" w:ascii="宋体" w:hAnsi="宋体"/>
          <w:b/>
        </w:rPr>
        <w:t>表3-2     技改项目主要生产设备</w:t>
      </w:r>
    </w:p>
    <w:tbl>
      <w:tblPr>
        <w:tblStyle w:val="20"/>
        <w:tblW w:w="91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447"/>
        <w:gridCol w:w="3430"/>
        <w:gridCol w:w="1188"/>
        <w:gridCol w:w="540"/>
        <w:gridCol w:w="1264"/>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546"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cs="宋体"/>
                <w:snapToGrid w:val="0"/>
                <w:kern w:val="0"/>
                <w:sz w:val="21"/>
                <w:szCs w:val="21"/>
              </w:rPr>
              <w:t>序号</w:t>
            </w:r>
          </w:p>
        </w:tc>
        <w:tc>
          <w:tcPr>
            <w:tcW w:w="1447"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项目名称</w:t>
            </w:r>
          </w:p>
        </w:tc>
        <w:tc>
          <w:tcPr>
            <w:tcW w:w="3430" w:type="dxa"/>
            <w:noWrap w:val="0"/>
            <w:vAlign w:val="center"/>
          </w:tcPr>
          <w:p>
            <w:pPr>
              <w:pStyle w:val="32"/>
              <w:keepNext w:val="0"/>
              <w:suppressAutoHyphens/>
              <w:snapToGrid w:val="0"/>
              <w:spacing w:before="0" w:after="0" w:line="240" w:lineRule="auto"/>
              <w:rPr>
                <w:rFonts w:ascii="宋体" w:hAnsi="宋体"/>
                <w:snapToGrid w:val="0"/>
                <w:sz w:val="21"/>
                <w:szCs w:val="21"/>
              </w:rPr>
            </w:pPr>
            <w:r>
              <w:rPr>
                <w:rFonts w:ascii="宋体" w:hAnsi="宋体"/>
                <w:snapToGrid w:val="0"/>
                <w:sz w:val="21"/>
                <w:szCs w:val="21"/>
              </w:rPr>
              <w:t>设备名称、规格及技术性能</w:t>
            </w:r>
          </w:p>
        </w:tc>
        <w:tc>
          <w:tcPr>
            <w:tcW w:w="1188"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生产能力（t/h）</w:t>
            </w:r>
          </w:p>
        </w:tc>
        <w:tc>
          <w:tcPr>
            <w:tcW w:w="540"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台数</w:t>
            </w:r>
          </w:p>
        </w:tc>
        <w:tc>
          <w:tcPr>
            <w:tcW w:w="1264"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年利用率(%)</w:t>
            </w:r>
          </w:p>
        </w:tc>
        <w:tc>
          <w:tcPr>
            <w:tcW w:w="750" w:type="dxa"/>
            <w:noWrap w:val="0"/>
            <w:vAlign w:val="center"/>
          </w:tcPr>
          <w:p>
            <w:pPr>
              <w:pStyle w:val="32"/>
              <w:keepNext w:val="0"/>
              <w:suppressAutoHyphens/>
              <w:snapToGrid w:val="0"/>
              <w:spacing w:before="0" w:after="0" w:line="240" w:lineRule="auto"/>
              <w:rPr>
                <w:rFonts w:ascii="宋体" w:hAnsi="宋体"/>
                <w:snapToGrid w:val="0"/>
                <w:sz w:val="21"/>
                <w:szCs w:val="21"/>
              </w:rPr>
            </w:pPr>
            <w:r>
              <w:rPr>
                <w:rFonts w:ascii="宋体" w:hAnsi="宋体"/>
                <w:snapToGrid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46"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447"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石灰石破碎</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重型板式喂料机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规格:B2200×10000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给料粒度:1100×1100×1000mm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功率: 60 kW</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设备重量:116t</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350-400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tc>
        <w:tc>
          <w:tcPr>
            <w:tcW w:w="750" w:type="dxa"/>
            <w:noWrap w:val="0"/>
            <w:vAlign w:val="center"/>
          </w:tcPr>
          <w:p>
            <w:pPr>
              <w:pStyle w:val="32"/>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单段锤式破碎机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给料粒度: 1100×1100×1200mm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功率: 630 Kw～800 Kw</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设备重量:89t</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350～450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tc>
        <w:tc>
          <w:tcPr>
            <w:tcW w:w="750" w:type="dxa"/>
            <w:noWrap w:val="0"/>
            <w:vAlign w:val="center"/>
          </w:tcPr>
          <w:p>
            <w:pPr>
              <w:pStyle w:val="32"/>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石灰石预均化堆场</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堆场</w:t>
            </w:r>
            <w:r>
              <w:rPr>
                <w:rFonts w:hint="eastAsia" w:ascii="宋体" w:hAnsi="宋体"/>
                <w:snapToGrid w:val="0"/>
                <w:kern w:val="0"/>
                <w:sz w:val="21"/>
                <w:szCs w:val="21"/>
              </w:rPr>
              <w:t>Φ60</w:t>
            </w:r>
            <w:r>
              <w:rPr>
                <w:rFonts w:ascii="宋体" w:hAnsi="宋体"/>
                <w:snapToGrid w:val="0"/>
                <w:kern w:val="0"/>
                <w:sz w:val="21"/>
                <w:szCs w:val="21"/>
              </w:rPr>
              <w:t xml:space="preserve">mm: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堆料机</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取料机</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600～300</w:t>
            </w:r>
          </w:p>
        </w:tc>
        <w:tc>
          <w:tcPr>
            <w:tcW w:w="540" w:type="dxa"/>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24.98</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34.78</w:t>
            </w:r>
          </w:p>
        </w:tc>
        <w:tc>
          <w:tcPr>
            <w:tcW w:w="750" w:type="dxa"/>
            <w:noWrap w:val="0"/>
            <w:vAlign w:val="center"/>
          </w:tcPr>
          <w:p>
            <w:pPr>
              <w:pStyle w:val="32"/>
              <w:keepNext w:val="0"/>
              <w:suppressAutoHyphens/>
              <w:snapToGrid w:val="0"/>
              <w:spacing w:before="0" w:after="0" w:line="240" w:lineRule="auto"/>
              <w:ind w:firstLine="420"/>
              <w:jc w:val="both"/>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w:t>
            </w:r>
          </w:p>
        </w:tc>
        <w:tc>
          <w:tcPr>
            <w:tcW w:w="1447" w:type="dxa"/>
            <w:noWrap w:val="0"/>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砂岩破碎及</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输送</w:t>
            </w:r>
          </w:p>
        </w:tc>
        <w:tc>
          <w:tcPr>
            <w:tcW w:w="3430" w:type="dxa"/>
            <w:noWrap w:val="0"/>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反击锤式破碎机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型号:PFC-1609</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转子工作圆尺寸:φ1680×918 mm</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最大进料粒度:＜600mm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出料粒度(筛余10％):≤25mm</w:t>
            </w:r>
          </w:p>
        </w:tc>
        <w:tc>
          <w:tcPr>
            <w:tcW w:w="1188" w:type="dxa"/>
            <w:noWrap w:val="0"/>
            <w:vAlign w:val="center"/>
          </w:tcPr>
          <w:p>
            <w:pPr>
              <w:pStyle w:val="32"/>
              <w:keepNext w:val="0"/>
              <w:suppressAutoHyphens/>
              <w:snapToGrid w:val="0"/>
              <w:spacing w:before="0" w:after="0" w:line="240" w:lineRule="auto"/>
              <w:jc w:val="both"/>
              <w:rPr>
                <w:rFonts w:ascii="宋体" w:hAnsi="宋体"/>
                <w:snapToGrid w:val="0"/>
                <w:sz w:val="21"/>
                <w:szCs w:val="21"/>
              </w:rPr>
            </w:pPr>
            <w:r>
              <w:rPr>
                <w:rFonts w:ascii="宋体" w:hAnsi="宋体"/>
                <w:snapToGrid w:val="0"/>
                <w:sz w:val="21"/>
                <w:szCs w:val="21"/>
              </w:rPr>
              <w:t>50～70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13.28</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4</w:t>
            </w:r>
          </w:p>
          <w:p>
            <w:pPr>
              <w:suppressAutoHyphens/>
              <w:adjustRightInd w:val="0"/>
              <w:snapToGrid w:val="0"/>
              <w:rPr>
                <w:rFonts w:ascii="宋体" w:hAnsi="宋体"/>
                <w:snapToGrid w:val="0"/>
                <w:kern w:val="0"/>
                <w:sz w:val="21"/>
                <w:szCs w:val="21"/>
              </w:rPr>
            </w:pPr>
          </w:p>
        </w:tc>
        <w:tc>
          <w:tcPr>
            <w:tcW w:w="1447" w:type="dxa"/>
            <w:noWrap w:val="0"/>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辅助原料</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预均化</w:t>
            </w:r>
          </w:p>
        </w:tc>
        <w:tc>
          <w:tcPr>
            <w:tcW w:w="3430" w:type="dxa"/>
            <w:noWrap w:val="0"/>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悬臂侧取式刮板取料机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型号：CQ130/23</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 xml:space="preserve">刮板臂长度:  23m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 xml:space="preserve">取料机构:   轨距:4m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行走速度:0.2~2m/min</w:t>
            </w:r>
          </w:p>
        </w:tc>
        <w:tc>
          <w:tcPr>
            <w:tcW w:w="1188" w:type="dxa"/>
            <w:noWrap w:val="0"/>
            <w:vAlign w:val="center"/>
          </w:tcPr>
          <w:p>
            <w:pPr>
              <w:pStyle w:val="32"/>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130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18.82</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w:t>
            </w:r>
          </w:p>
        </w:tc>
        <w:tc>
          <w:tcPr>
            <w:tcW w:w="1447" w:type="dxa"/>
            <w:noWrap w:val="0"/>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原煤破碎</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环锤式破碎机：PCH-1010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进料粒度:</w:t>
            </w:r>
            <w:r>
              <w:rPr>
                <w:rFonts w:ascii="宋体" w:hAnsi="宋体"/>
                <w:snapToGrid w:val="0"/>
                <w:kern w:val="0"/>
                <w:sz w:val="21"/>
                <w:szCs w:val="21"/>
              </w:rPr>
              <w:tab/>
            </w:r>
            <w:r>
              <w:rPr>
                <w:rFonts w:ascii="宋体" w:hAnsi="宋体"/>
                <w:snapToGrid w:val="0"/>
                <w:kern w:val="0"/>
                <w:sz w:val="21"/>
                <w:szCs w:val="21"/>
              </w:rPr>
              <w:t>≤300mm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出料粒度:</w:t>
            </w:r>
            <w:r>
              <w:rPr>
                <w:rFonts w:ascii="宋体" w:hAnsi="宋体"/>
                <w:snapToGrid w:val="0"/>
                <w:kern w:val="0"/>
                <w:sz w:val="21"/>
                <w:szCs w:val="21"/>
              </w:rPr>
              <w:tab/>
            </w:r>
            <w:r>
              <w:rPr>
                <w:rFonts w:ascii="宋体" w:hAnsi="宋体"/>
                <w:snapToGrid w:val="0"/>
                <w:kern w:val="0"/>
                <w:sz w:val="21"/>
                <w:szCs w:val="21"/>
              </w:rPr>
              <w:t>≤30mm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110kW</w:t>
            </w:r>
          </w:p>
        </w:tc>
        <w:tc>
          <w:tcPr>
            <w:tcW w:w="1188" w:type="dxa"/>
            <w:noWrap w:val="0"/>
            <w:vAlign w:val="center"/>
          </w:tcPr>
          <w:p>
            <w:pPr>
              <w:pStyle w:val="32"/>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160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6.95</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w:t>
            </w:r>
          </w:p>
        </w:tc>
        <w:tc>
          <w:tcPr>
            <w:tcW w:w="1447" w:type="dxa"/>
            <w:noWrap w:val="0"/>
            <w:vAlign w:val="center"/>
          </w:tcPr>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煤预均化</w:t>
            </w:r>
          </w:p>
          <w:p>
            <w:pPr>
              <w:suppressAutoHyphens/>
              <w:adjustRightInd w:val="0"/>
              <w:snapToGrid w:val="0"/>
              <w:ind w:left="-59" w:right="-64"/>
              <w:rPr>
                <w:rFonts w:ascii="宋体" w:hAnsi="宋体"/>
                <w:snapToGrid w:val="0"/>
                <w:kern w:val="0"/>
                <w:sz w:val="21"/>
                <w:szCs w:val="21"/>
              </w:rPr>
            </w:pPr>
            <w:r>
              <w:rPr>
                <w:rFonts w:ascii="宋体" w:hAnsi="宋体"/>
                <w:snapToGrid w:val="0"/>
                <w:kern w:val="0"/>
                <w:sz w:val="21"/>
                <w:szCs w:val="21"/>
              </w:rPr>
              <w:t>堆场</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煤堆料机:S型卸料小车</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煤取料机:桥式刮板取料机</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220～60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5.05</w:t>
            </w:r>
          </w:p>
          <w:p>
            <w:pPr>
              <w:pStyle w:val="32"/>
              <w:keepNext w:val="0"/>
              <w:suppressAutoHyphens/>
              <w:snapToGrid w:val="0"/>
              <w:spacing w:before="0" w:after="0" w:line="240" w:lineRule="auto"/>
              <w:ind w:firstLine="420"/>
              <w:jc w:val="both"/>
              <w:rPr>
                <w:rFonts w:ascii="宋体" w:hAnsi="宋体"/>
                <w:snapToGrid w:val="0"/>
                <w:sz w:val="21"/>
                <w:szCs w:val="21"/>
              </w:rPr>
            </w:pPr>
            <w:r>
              <w:rPr>
                <w:rFonts w:ascii="宋体" w:hAnsi="宋体"/>
                <w:snapToGrid w:val="0"/>
                <w:sz w:val="21"/>
                <w:szCs w:val="21"/>
              </w:rPr>
              <w:t>18.53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jc w:val="center"/>
        </w:trPr>
        <w:tc>
          <w:tcPr>
            <w:tcW w:w="546"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w:t>
            </w:r>
          </w:p>
        </w:tc>
        <w:tc>
          <w:tcPr>
            <w:tcW w:w="1447" w:type="dxa"/>
            <w:vMerge w:val="restart"/>
            <w:noWrap w:val="0"/>
            <w:vAlign w:val="center"/>
          </w:tcPr>
          <w:p>
            <w:pPr>
              <w:suppressAutoHyphens/>
              <w:adjustRightInd w:val="0"/>
              <w:snapToGrid w:val="0"/>
              <w:rPr>
                <w:rFonts w:ascii="宋体" w:hAnsi="宋体"/>
                <w:sz w:val="21"/>
                <w:szCs w:val="21"/>
              </w:rPr>
            </w:pPr>
            <w:r>
              <w:rPr>
                <w:rFonts w:ascii="宋体" w:hAnsi="宋体"/>
                <w:sz w:val="21"/>
                <w:szCs w:val="21"/>
              </w:rPr>
              <w:t>生料粉磨</w:t>
            </w:r>
          </w:p>
        </w:tc>
        <w:tc>
          <w:tcPr>
            <w:tcW w:w="3430" w:type="dxa"/>
            <w:noWrap w:val="0"/>
            <w:vAlign w:val="center"/>
          </w:tcPr>
          <w:p>
            <w:pPr>
              <w:suppressAutoHyphens/>
              <w:adjustRightInd w:val="0"/>
              <w:snapToGrid w:val="0"/>
              <w:rPr>
                <w:rFonts w:ascii="宋体" w:hAnsi="宋体"/>
                <w:sz w:val="21"/>
                <w:szCs w:val="21"/>
              </w:rPr>
            </w:pPr>
            <w:r>
              <w:rPr>
                <w:rFonts w:ascii="宋体" w:hAnsi="宋体"/>
                <w:sz w:val="21"/>
                <w:szCs w:val="21"/>
              </w:rPr>
              <w:t>立磨:</w:t>
            </w:r>
            <w:r>
              <w:rPr>
                <w:rFonts w:ascii="宋体" w:hAnsi="宋体"/>
                <w:sz w:val="21"/>
                <w:szCs w:val="21"/>
              </w:rPr>
              <w:tab/>
            </w:r>
            <w:r>
              <w:rPr>
                <w:rFonts w:ascii="宋体" w:hAnsi="宋体"/>
                <w:sz w:val="21"/>
                <w:szCs w:val="21"/>
              </w:rPr>
              <w:tab/>
            </w:r>
            <w:r>
              <w:rPr>
                <w:rFonts w:ascii="宋体" w:hAnsi="宋体"/>
                <w:sz w:val="21"/>
                <w:szCs w:val="21"/>
              </w:rPr>
              <w:t>MLS3626</w:t>
            </w:r>
          </w:p>
          <w:p>
            <w:pPr>
              <w:suppressAutoHyphens/>
              <w:adjustRightInd w:val="0"/>
              <w:snapToGrid w:val="0"/>
              <w:rPr>
                <w:rFonts w:ascii="宋体" w:hAnsi="宋体"/>
                <w:sz w:val="21"/>
                <w:szCs w:val="21"/>
              </w:rPr>
            </w:pPr>
            <w:r>
              <w:rPr>
                <w:rFonts w:ascii="宋体" w:hAnsi="宋体"/>
                <w:sz w:val="21"/>
                <w:szCs w:val="21"/>
              </w:rPr>
              <w:t>入磨水分:</w:t>
            </w:r>
            <w:r>
              <w:rPr>
                <w:rFonts w:ascii="宋体" w:hAnsi="宋体"/>
                <w:sz w:val="21"/>
                <w:szCs w:val="21"/>
              </w:rPr>
              <w:tab/>
            </w:r>
            <w:r>
              <w:rPr>
                <w:rFonts w:ascii="宋体" w:hAnsi="宋体"/>
                <w:sz w:val="21"/>
                <w:szCs w:val="21"/>
              </w:rPr>
              <w:t>≤10%</w:t>
            </w:r>
          </w:p>
          <w:p>
            <w:pPr>
              <w:suppressAutoHyphens/>
              <w:adjustRightInd w:val="0"/>
              <w:snapToGrid w:val="0"/>
              <w:rPr>
                <w:rFonts w:ascii="宋体" w:hAnsi="宋体"/>
                <w:sz w:val="21"/>
                <w:szCs w:val="21"/>
              </w:rPr>
            </w:pPr>
            <w:r>
              <w:rPr>
                <w:rFonts w:ascii="宋体" w:hAnsi="宋体"/>
                <w:sz w:val="21"/>
                <w:szCs w:val="21"/>
              </w:rPr>
              <w:t>入磨粒度:</w:t>
            </w:r>
            <w:r>
              <w:rPr>
                <w:rFonts w:ascii="宋体" w:hAnsi="宋体"/>
                <w:sz w:val="21"/>
                <w:szCs w:val="21"/>
              </w:rPr>
              <w:tab/>
            </w:r>
            <w:r>
              <w:rPr>
                <w:rFonts w:ascii="宋体" w:hAnsi="宋体"/>
                <w:sz w:val="21"/>
                <w:szCs w:val="21"/>
              </w:rPr>
              <w:t>≤80mm</w:t>
            </w:r>
          </w:p>
          <w:p>
            <w:pPr>
              <w:suppressAutoHyphens/>
              <w:adjustRightInd w:val="0"/>
              <w:snapToGrid w:val="0"/>
              <w:rPr>
                <w:rFonts w:ascii="宋体" w:hAnsi="宋体"/>
                <w:sz w:val="21"/>
                <w:szCs w:val="21"/>
              </w:rPr>
            </w:pPr>
            <w:r>
              <w:rPr>
                <w:rFonts w:ascii="宋体" w:hAnsi="宋体"/>
                <w:sz w:val="21"/>
                <w:szCs w:val="21"/>
              </w:rPr>
              <w:t>出磨水分:</w:t>
            </w:r>
            <w:r>
              <w:rPr>
                <w:rFonts w:ascii="宋体" w:hAnsi="宋体"/>
                <w:sz w:val="21"/>
                <w:szCs w:val="21"/>
              </w:rPr>
              <w:tab/>
            </w:r>
            <w:r>
              <w:rPr>
                <w:rFonts w:ascii="宋体" w:hAnsi="宋体"/>
                <w:sz w:val="21"/>
                <w:szCs w:val="21"/>
              </w:rPr>
              <w:t>≤0.5%</w:t>
            </w:r>
          </w:p>
          <w:p>
            <w:pPr>
              <w:suppressAutoHyphens/>
              <w:adjustRightInd w:val="0"/>
              <w:snapToGrid w:val="0"/>
              <w:rPr>
                <w:rFonts w:ascii="宋体" w:hAnsi="宋体"/>
                <w:sz w:val="21"/>
                <w:szCs w:val="21"/>
              </w:rPr>
            </w:pPr>
            <w:r>
              <w:rPr>
                <w:rFonts w:ascii="宋体" w:hAnsi="宋体"/>
                <w:sz w:val="21"/>
                <w:szCs w:val="21"/>
              </w:rPr>
              <w:t>出磨粒度:0.08mm筛余≤10%</w:t>
            </w:r>
          </w:p>
          <w:p>
            <w:pPr>
              <w:suppressAutoHyphens/>
              <w:adjustRightInd w:val="0"/>
              <w:snapToGrid w:val="0"/>
              <w:rPr>
                <w:rFonts w:hint="eastAsia" w:ascii="宋体" w:hAnsi="宋体"/>
                <w:sz w:val="21"/>
                <w:szCs w:val="21"/>
              </w:rPr>
            </w:pPr>
            <w:r>
              <w:rPr>
                <w:rFonts w:ascii="宋体" w:hAnsi="宋体"/>
                <w:sz w:val="21"/>
                <w:szCs w:val="21"/>
              </w:rPr>
              <w:t>电机功率:</w:t>
            </w:r>
            <w:r>
              <w:rPr>
                <w:rFonts w:ascii="宋体" w:hAnsi="宋体"/>
                <w:sz w:val="21"/>
                <w:szCs w:val="21"/>
              </w:rPr>
              <w:tab/>
            </w:r>
            <w:r>
              <w:rPr>
                <w:rFonts w:ascii="宋体" w:hAnsi="宋体"/>
                <w:sz w:val="21"/>
                <w:szCs w:val="21"/>
              </w:rPr>
              <w:t>～1850kW</w:t>
            </w:r>
          </w:p>
        </w:tc>
        <w:tc>
          <w:tcPr>
            <w:tcW w:w="1188" w:type="dxa"/>
            <w:noWrap w:val="0"/>
            <w:vAlign w:val="center"/>
          </w:tcPr>
          <w:p>
            <w:pPr>
              <w:suppressAutoHyphens/>
              <w:adjustRightInd w:val="0"/>
              <w:snapToGrid w:val="0"/>
              <w:rPr>
                <w:rFonts w:ascii="宋体" w:hAnsi="宋体"/>
                <w:sz w:val="21"/>
                <w:szCs w:val="21"/>
              </w:rPr>
            </w:pPr>
            <w:r>
              <w:rPr>
                <w:rFonts w:ascii="宋体" w:hAnsi="宋体"/>
                <w:sz w:val="21"/>
                <w:szCs w:val="21"/>
              </w:rPr>
              <w:t>＞190</w:t>
            </w:r>
          </w:p>
        </w:tc>
        <w:tc>
          <w:tcPr>
            <w:tcW w:w="540" w:type="dxa"/>
            <w:noWrap w:val="0"/>
            <w:vAlign w:val="center"/>
          </w:tcPr>
          <w:p>
            <w:pPr>
              <w:suppressAutoHyphens/>
              <w:adjustRightInd w:val="0"/>
              <w:snapToGrid w:val="0"/>
              <w:rPr>
                <w:rFonts w:ascii="宋体" w:hAnsi="宋体"/>
                <w:sz w:val="21"/>
                <w:szCs w:val="21"/>
              </w:rPr>
            </w:pPr>
            <w:r>
              <w:rPr>
                <w:rFonts w:ascii="宋体" w:hAnsi="宋体"/>
                <w:sz w:val="21"/>
                <w:szCs w:val="21"/>
              </w:rPr>
              <w:t>1</w:t>
            </w:r>
          </w:p>
        </w:tc>
        <w:tc>
          <w:tcPr>
            <w:tcW w:w="1264" w:type="dxa"/>
            <w:noWrap w:val="0"/>
            <w:vAlign w:val="center"/>
          </w:tcPr>
          <w:p>
            <w:pPr>
              <w:pStyle w:val="32"/>
              <w:keepNext w:val="0"/>
              <w:suppressAutoHyphens/>
              <w:snapToGrid w:val="0"/>
              <w:spacing w:before="0" w:after="0" w:line="240" w:lineRule="auto"/>
              <w:ind w:firstLine="420"/>
              <w:jc w:val="both"/>
              <w:rPr>
                <w:rFonts w:ascii="宋体" w:hAnsi="宋体"/>
                <w:kern w:val="2"/>
                <w:sz w:val="21"/>
                <w:szCs w:val="21"/>
              </w:rPr>
            </w:pPr>
            <w:r>
              <w:rPr>
                <w:rFonts w:ascii="宋体" w:hAnsi="宋体"/>
                <w:kern w:val="2"/>
                <w:sz w:val="21"/>
                <w:szCs w:val="21"/>
              </w:rPr>
              <w:t>70.07</w:t>
            </w:r>
          </w:p>
        </w:tc>
        <w:tc>
          <w:tcPr>
            <w:tcW w:w="750" w:type="dxa"/>
            <w:noWrap w:val="0"/>
            <w:vAlign w:val="center"/>
          </w:tcPr>
          <w:p>
            <w:pPr>
              <w:suppressAutoHyphens/>
              <w:adjustRightInd w:val="0"/>
              <w:snapToGrid w:val="0"/>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z w:val="21"/>
                <w:szCs w:val="21"/>
              </w:rPr>
            </w:pPr>
            <w:r>
              <w:rPr>
                <w:rFonts w:ascii="宋体" w:hAnsi="宋体"/>
                <w:sz w:val="21"/>
                <w:szCs w:val="21"/>
              </w:rPr>
              <w:t>选粉机:</w:t>
            </w:r>
            <w:r>
              <w:rPr>
                <w:rFonts w:ascii="宋体" w:hAnsi="宋体"/>
                <w:sz w:val="21"/>
                <w:szCs w:val="21"/>
              </w:rPr>
              <w:tab/>
            </w:r>
            <w:r>
              <w:rPr>
                <w:rFonts w:ascii="宋体" w:hAnsi="宋体"/>
                <w:sz w:val="21"/>
                <w:szCs w:val="21"/>
              </w:rPr>
              <w:t>SLS3750</w:t>
            </w:r>
          </w:p>
          <w:p>
            <w:pPr>
              <w:suppressAutoHyphens/>
              <w:adjustRightInd w:val="0"/>
              <w:snapToGrid w:val="0"/>
              <w:rPr>
                <w:rFonts w:ascii="宋体" w:hAnsi="宋体"/>
                <w:snapToGrid w:val="0"/>
                <w:kern w:val="0"/>
                <w:sz w:val="21"/>
                <w:szCs w:val="21"/>
              </w:rPr>
            </w:pPr>
            <w:r>
              <w:rPr>
                <w:rFonts w:ascii="宋体" w:hAnsi="宋体"/>
                <w:sz w:val="21"/>
                <w:szCs w:val="21"/>
              </w:rPr>
              <w:t>电机功率:</w:t>
            </w:r>
            <w:r>
              <w:rPr>
                <w:rFonts w:ascii="宋体" w:hAnsi="宋体"/>
                <w:sz w:val="21"/>
                <w:szCs w:val="21"/>
              </w:rPr>
              <w:tab/>
            </w:r>
            <w:r>
              <w:rPr>
                <w:rFonts w:ascii="宋体" w:hAnsi="宋体"/>
                <w:sz w:val="21"/>
                <w:szCs w:val="21"/>
              </w:rPr>
              <w:t>75kW</w:t>
            </w: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z w:val="21"/>
                <w:szCs w:val="21"/>
              </w:rPr>
              <w:t>70.07</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46" w:type="dxa"/>
            <w:vMerge w:val="continue"/>
            <w:tcBorders>
              <w:top w:val="nil"/>
            </w:tcBorders>
            <w:noWrap w:val="0"/>
            <w:vAlign w:val="center"/>
          </w:tcPr>
          <w:p>
            <w:pPr>
              <w:suppressAutoHyphens/>
              <w:adjustRightInd w:val="0"/>
              <w:snapToGrid w:val="0"/>
              <w:rPr>
                <w:rFonts w:ascii="宋体" w:hAnsi="宋体"/>
                <w:snapToGrid w:val="0"/>
                <w:kern w:val="0"/>
                <w:sz w:val="21"/>
                <w:szCs w:val="21"/>
              </w:rPr>
            </w:pPr>
          </w:p>
        </w:tc>
        <w:tc>
          <w:tcPr>
            <w:tcW w:w="1447" w:type="dxa"/>
            <w:vMerge w:val="continue"/>
            <w:tcBorders>
              <w:top w:val="nil"/>
              <w:bottom w:val="single" w:color="auto" w:sz="4" w:space="0"/>
            </w:tcBorders>
            <w:noWrap w:val="0"/>
            <w:vAlign w:val="center"/>
          </w:tcPr>
          <w:p>
            <w:pPr>
              <w:suppressAutoHyphens/>
              <w:adjustRightInd w:val="0"/>
              <w:snapToGrid w:val="0"/>
              <w:rPr>
                <w:rFonts w:ascii="宋体" w:hAnsi="宋体"/>
                <w:snapToGrid w:val="0"/>
                <w:kern w:val="0"/>
                <w:sz w:val="21"/>
                <w:szCs w:val="21"/>
              </w:rPr>
            </w:pPr>
          </w:p>
        </w:tc>
        <w:tc>
          <w:tcPr>
            <w:tcW w:w="3430" w:type="dxa"/>
            <w:tcBorders>
              <w:bottom w:val="single" w:color="auto" w:sz="4" w:space="0"/>
            </w:tcBorders>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循环风机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 420000m3/h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11000Pa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1600kW</w:t>
            </w:r>
          </w:p>
        </w:tc>
        <w:tc>
          <w:tcPr>
            <w:tcW w:w="1188" w:type="dxa"/>
            <w:vMerge w:val="restart"/>
            <w:tcBorders>
              <w:bottom w:val="single" w:color="auto" w:sz="4" w:space="0"/>
            </w:tcBorders>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tc>
        <w:tc>
          <w:tcPr>
            <w:tcW w:w="540" w:type="dxa"/>
            <w:tcBorders>
              <w:bottom w:val="single" w:color="auto" w:sz="4" w:space="0"/>
            </w:tcBorders>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restart"/>
            <w:tcBorders>
              <w:bottom w:val="single" w:color="auto" w:sz="4" w:space="0"/>
            </w:tcBorders>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w:t>
            </w:r>
          </w:p>
        </w:tc>
        <w:tc>
          <w:tcPr>
            <w:tcW w:w="1447"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烧成窑尾</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高温风机:</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 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7200Pa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1600kW</w:t>
            </w:r>
          </w:p>
        </w:tc>
        <w:tc>
          <w:tcPr>
            <w:tcW w:w="1188" w:type="dxa"/>
            <w:vMerge w:val="continue"/>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noWrap w:val="0"/>
            <w:vAlign w:val="center"/>
          </w:tcPr>
          <w:p>
            <w:pPr>
              <w:suppressAutoHyphens/>
              <w:adjustRightInd w:val="0"/>
              <w:snapToGrid w:val="0"/>
              <w:rPr>
                <w:rFonts w:ascii="宋体" w:hAnsi="宋体"/>
                <w:snapToGrid w:val="0"/>
                <w:kern w:val="0"/>
                <w:sz w:val="21"/>
                <w:szCs w:val="21"/>
              </w:rPr>
            </w:pPr>
          </w:p>
        </w:tc>
        <w:tc>
          <w:tcPr>
            <w:tcW w:w="750" w:type="dxa"/>
            <w:tcBorders>
              <w:bottom w:val="single" w:color="auto" w:sz="4" w:space="0"/>
            </w:tcBorders>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46" w:type="dxa"/>
            <w:vMerge w:val="continue"/>
            <w:tcBorders>
              <w:bottom w:val="nil"/>
            </w:tcBorders>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增湿塔:</w:t>
            </w:r>
            <w:r>
              <w:rPr>
                <w:rFonts w:ascii="宋体" w:hAnsi="宋体"/>
                <w:snapToGrid w:val="0"/>
                <w:kern w:val="0"/>
                <w:sz w:val="21"/>
                <w:szCs w:val="21"/>
              </w:rPr>
              <w:tab/>
            </w:r>
            <w:r>
              <w:rPr>
                <w:rFonts w:ascii="宋体" w:hAnsi="宋体"/>
                <w:snapToGrid w:val="0"/>
                <w:kern w:val="0"/>
                <w:sz w:val="21"/>
                <w:szCs w:val="21"/>
              </w:rPr>
              <w:t>Φ8.5×34m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 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喷水量:</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3.2-20t/h</w:t>
            </w: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noWrap w:val="0"/>
            <w:vAlign w:val="center"/>
          </w:tcPr>
          <w:p>
            <w:pPr>
              <w:suppressAutoHyphens/>
              <w:adjustRightInd w:val="0"/>
              <w:snapToGrid w:val="0"/>
              <w:rPr>
                <w:rFonts w:ascii="宋体" w:hAnsi="宋体"/>
                <w:snapToGrid w:val="0"/>
                <w:kern w:val="0"/>
                <w:sz w:val="21"/>
                <w:szCs w:val="21"/>
              </w:rPr>
            </w:pP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hint="eastAsia" w:ascii="宋体" w:hAnsi="宋体"/>
                <w:snapToGrid w:val="0"/>
                <w:kern w:val="0"/>
                <w:sz w:val="21"/>
                <w:szCs w:val="21"/>
              </w:rPr>
              <w:t>袋</w:t>
            </w:r>
            <w:r>
              <w:rPr>
                <w:rFonts w:ascii="宋体" w:hAnsi="宋体"/>
                <w:snapToGrid w:val="0"/>
                <w:kern w:val="0"/>
                <w:sz w:val="21"/>
                <w:szCs w:val="21"/>
              </w:rPr>
              <w:t>收尘器</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出口浓度:≤100mg/Nm3</w:t>
            </w: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restart"/>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废气风机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处理风量:480000m3/h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全压:</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1800Pa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400kW</w:t>
            </w: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noWrap w:val="0"/>
            <w:vAlign w:val="center"/>
          </w:tcPr>
          <w:p>
            <w:pPr>
              <w:suppressAutoHyphens/>
              <w:adjustRightInd w:val="0"/>
              <w:snapToGrid w:val="0"/>
              <w:rPr>
                <w:rFonts w:ascii="宋体" w:hAnsi="宋体"/>
                <w:snapToGrid w:val="0"/>
                <w:kern w:val="0"/>
                <w:sz w:val="21"/>
                <w:szCs w:val="21"/>
              </w:rPr>
            </w:pP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五级旋风预热器及分解炉系统:</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CDCS2535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C1:</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2-Φ4300mm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C2:</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1-Φ6500mm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C3:</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1-Φ6500mm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C4:</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1-Φ7100mm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C5:</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1-Φ7100mm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分解炉:</w:t>
            </w:r>
            <w:r>
              <w:rPr>
                <w:rFonts w:ascii="宋体" w:hAnsi="宋体"/>
                <w:snapToGrid w:val="0"/>
                <w:kern w:val="0"/>
                <w:sz w:val="21"/>
                <w:szCs w:val="21"/>
              </w:rPr>
              <w:tab/>
            </w:r>
            <w:r>
              <w:rPr>
                <w:rFonts w:ascii="宋体" w:hAnsi="宋体"/>
                <w:snapToGrid w:val="0"/>
                <w:kern w:val="0"/>
                <w:sz w:val="21"/>
                <w:szCs w:val="21"/>
              </w:rPr>
              <w:t>Φ6300 mm</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noWrap w:val="0"/>
            <w:vAlign w:val="center"/>
          </w:tcPr>
          <w:p>
            <w:pPr>
              <w:suppressAutoHyphens/>
              <w:adjustRightInd w:val="0"/>
              <w:snapToGrid w:val="0"/>
              <w:rPr>
                <w:rFonts w:ascii="宋体" w:hAnsi="宋体"/>
                <w:snapToGrid w:val="0"/>
                <w:kern w:val="0"/>
                <w:sz w:val="21"/>
                <w:szCs w:val="21"/>
              </w:rPr>
            </w:pP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9</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  中</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回转窑:</w:t>
            </w:r>
            <w:r>
              <w:rPr>
                <w:rFonts w:ascii="宋体" w:hAnsi="宋体"/>
                <w:snapToGrid w:val="0"/>
                <w:kern w:val="0"/>
                <w:sz w:val="21"/>
                <w:szCs w:val="21"/>
              </w:rPr>
              <w:tab/>
            </w:r>
            <w:r>
              <w:rPr>
                <w:rFonts w:ascii="宋体" w:hAnsi="宋体"/>
                <w:snapToGrid w:val="0"/>
                <w:kern w:val="0"/>
                <w:sz w:val="21"/>
                <w:szCs w:val="21"/>
              </w:rPr>
              <w:t xml:space="preserve">Φ4×60m </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斜度:</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3.5%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转速:</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0.40-4.05r/min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315kW(DC)</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vMerge w:val="continue"/>
            <w:noWrap w:val="0"/>
            <w:vAlign w:val="center"/>
          </w:tcPr>
          <w:p>
            <w:pPr>
              <w:suppressAutoHyphens/>
              <w:adjustRightInd w:val="0"/>
              <w:snapToGrid w:val="0"/>
              <w:rPr>
                <w:rFonts w:ascii="宋体" w:hAnsi="宋体"/>
                <w:snapToGrid w:val="0"/>
                <w:kern w:val="0"/>
                <w:sz w:val="21"/>
                <w:szCs w:val="21"/>
              </w:rPr>
            </w:pP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窑头熟料</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冷却</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篦冷机：第三代空气梁</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篦床有效面积:</w:t>
            </w:r>
            <w:r>
              <w:rPr>
                <w:rFonts w:ascii="宋体" w:hAnsi="宋体"/>
                <w:snapToGrid w:val="0"/>
                <w:kern w:val="0"/>
                <w:sz w:val="21"/>
                <w:szCs w:val="21"/>
              </w:rPr>
              <w:tab/>
            </w:r>
            <w:r>
              <w:rPr>
                <w:rFonts w:ascii="宋体" w:hAnsi="宋体"/>
                <w:snapToGrid w:val="0"/>
                <w:kern w:val="0"/>
                <w:sz w:val="21"/>
                <w:szCs w:val="21"/>
              </w:rPr>
              <w:t>61.8m2</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出料温度:环境温度+65℃</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104.17</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11</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窑头废气</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电收尘器:</w:t>
            </w:r>
            <w:r>
              <w:rPr>
                <w:rFonts w:ascii="宋体" w:hAnsi="宋体"/>
                <w:snapToGrid w:val="0"/>
                <w:kern w:val="0"/>
                <w:sz w:val="21"/>
                <w:szCs w:val="21"/>
              </w:rPr>
              <w:tab/>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处理风量:</w:t>
            </w:r>
            <w:r>
              <w:rPr>
                <w:rFonts w:ascii="宋体" w:hAnsi="宋体"/>
                <w:snapToGrid w:val="0"/>
                <w:kern w:val="0"/>
                <w:sz w:val="21"/>
                <w:szCs w:val="21"/>
              </w:rPr>
              <w:tab/>
            </w:r>
            <w:r>
              <w:rPr>
                <w:rFonts w:ascii="宋体" w:hAnsi="宋体"/>
                <w:snapToGrid w:val="0"/>
                <w:kern w:val="0"/>
                <w:sz w:val="21"/>
                <w:szCs w:val="21"/>
              </w:rPr>
              <w:t>315000m3/h</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出口浓度:</w:t>
            </w:r>
            <w:r>
              <w:rPr>
                <w:rFonts w:ascii="宋体" w:hAnsi="宋体"/>
                <w:snapToGrid w:val="0"/>
                <w:kern w:val="0"/>
                <w:sz w:val="21"/>
                <w:szCs w:val="21"/>
              </w:rPr>
              <w:tab/>
            </w:r>
            <w:r>
              <w:rPr>
                <w:rFonts w:ascii="宋体" w:hAnsi="宋体"/>
                <w:snapToGrid w:val="0"/>
                <w:kern w:val="0"/>
                <w:sz w:val="21"/>
                <w:szCs w:val="21"/>
              </w:rPr>
              <w:t>≤80mg/Nm3</w:t>
            </w:r>
          </w:p>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84.93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12</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煤粉制备</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立磨:</w:t>
            </w:r>
            <w:r>
              <w:rPr>
                <w:rFonts w:ascii="宋体" w:hAnsi="宋体"/>
                <w:snapToGrid w:val="0"/>
                <w:kern w:val="0"/>
                <w:sz w:val="21"/>
                <w:szCs w:val="21"/>
              </w:rPr>
              <w:tab/>
            </w:r>
            <w:r>
              <w:rPr>
                <w:rFonts w:ascii="宋体" w:hAnsi="宋体"/>
                <w:snapToGrid w:val="0"/>
                <w:kern w:val="0"/>
                <w:sz w:val="21"/>
                <w:szCs w:val="21"/>
              </w:rPr>
              <w:t>ZGM80G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入料水分:</w:t>
            </w:r>
            <w:r>
              <w:rPr>
                <w:rFonts w:ascii="宋体" w:hAnsi="宋体"/>
                <w:snapToGrid w:val="0"/>
                <w:kern w:val="0"/>
                <w:sz w:val="21"/>
                <w:szCs w:val="21"/>
              </w:rPr>
              <w:tab/>
            </w:r>
            <w:r>
              <w:rPr>
                <w:rFonts w:ascii="宋体" w:hAnsi="宋体"/>
                <w:snapToGrid w:val="0"/>
                <w:kern w:val="0"/>
                <w:sz w:val="21"/>
                <w:szCs w:val="21"/>
              </w:rPr>
              <w:t>≤18%</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入料粒度:</w:t>
            </w:r>
            <w:r>
              <w:rPr>
                <w:rFonts w:ascii="宋体" w:hAnsi="宋体"/>
                <w:snapToGrid w:val="0"/>
                <w:kern w:val="0"/>
                <w:sz w:val="21"/>
                <w:szCs w:val="21"/>
              </w:rPr>
              <w:tab/>
            </w:r>
            <w:r>
              <w:rPr>
                <w:rFonts w:ascii="宋体" w:hAnsi="宋体"/>
                <w:snapToGrid w:val="0"/>
                <w:kern w:val="0"/>
                <w:sz w:val="21"/>
                <w:szCs w:val="21"/>
              </w:rPr>
              <w:t>≤40mm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出磨水分:</w:t>
            </w:r>
            <w:r>
              <w:rPr>
                <w:rFonts w:ascii="宋体" w:hAnsi="宋体"/>
                <w:snapToGrid w:val="0"/>
                <w:kern w:val="0"/>
                <w:sz w:val="21"/>
                <w:szCs w:val="21"/>
              </w:rPr>
              <w:tab/>
            </w:r>
            <w:r>
              <w:rPr>
                <w:rFonts w:ascii="宋体" w:hAnsi="宋体"/>
                <w:snapToGrid w:val="0"/>
                <w:kern w:val="0"/>
                <w:sz w:val="21"/>
                <w:szCs w:val="21"/>
              </w:rPr>
              <w:t>≤0.5%</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出磨粒度:</w:t>
            </w:r>
            <w:r>
              <w:rPr>
                <w:rFonts w:ascii="宋体" w:hAnsi="宋体"/>
                <w:snapToGrid w:val="0"/>
                <w:kern w:val="0"/>
                <w:sz w:val="21"/>
                <w:szCs w:val="21"/>
              </w:rPr>
              <w:tab/>
            </w:r>
            <w:r>
              <w:rPr>
                <w:rFonts w:ascii="宋体" w:hAnsi="宋体"/>
                <w:snapToGrid w:val="0"/>
                <w:kern w:val="0"/>
                <w:sz w:val="21"/>
                <w:szCs w:val="21"/>
              </w:rPr>
              <w:t>0.08mm筛余8-10%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主电机功率:</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280kW</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＞18</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62.15</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13</w:t>
            </w:r>
          </w:p>
        </w:tc>
        <w:tc>
          <w:tcPr>
            <w:tcW w:w="1447" w:type="dxa"/>
            <w:vMerge w:val="restart"/>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水泥粉磨</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辊压机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型号: Φ1400×6</w:t>
            </w:r>
            <w:r>
              <w:rPr>
                <w:rFonts w:hint="eastAsia" w:ascii="宋体" w:hAnsi="宋体"/>
                <w:snapToGrid w:val="0"/>
                <w:kern w:val="0"/>
                <w:sz w:val="21"/>
                <w:szCs w:val="21"/>
              </w:rPr>
              <w:t>3</w:t>
            </w:r>
            <w:r>
              <w:rPr>
                <w:rFonts w:ascii="宋体" w:hAnsi="宋体"/>
                <w:snapToGrid w:val="0"/>
                <w:kern w:val="0"/>
                <w:sz w:val="21"/>
                <w:szCs w:val="21"/>
              </w:rPr>
              <w:t>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设备重量:92吨</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2×500 kW</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330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水泥磨:</w:t>
            </w:r>
            <w:r>
              <w:rPr>
                <w:rFonts w:ascii="宋体" w:hAnsi="宋体"/>
                <w:snapToGrid w:val="0"/>
                <w:kern w:val="0"/>
                <w:sz w:val="21"/>
                <w:szCs w:val="21"/>
              </w:rPr>
              <w:tab/>
            </w:r>
            <w:r>
              <w:rPr>
                <w:rFonts w:ascii="宋体" w:hAnsi="宋体"/>
                <w:snapToGrid w:val="0"/>
                <w:kern w:val="0"/>
                <w:sz w:val="21"/>
                <w:szCs w:val="21"/>
              </w:rPr>
              <w:tab/>
            </w:r>
            <w:r>
              <w:rPr>
                <w:rFonts w:ascii="宋体" w:hAnsi="宋体"/>
                <w:snapToGrid w:val="0"/>
                <w:kern w:val="0"/>
                <w:sz w:val="21"/>
                <w:szCs w:val="21"/>
              </w:rPr>
              <w:t>Ф4.2×13.0m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入料粒度:</w:t>
            </w:r>
            <w:r>
              <w:rPr>
                <w:rFonts w:ascii="宋体" w:hAnsi="宋体"/>
                <w:snapToGrid w:val="0"/>
                <w:kern w:val="0"/>
                <w:sz w:val="21"/>
                <w:szCs w:val="21"/>
              </w:rPr>
              <w:tab/>
            </w:r>
            <w:r>
              <w:rPr>
                <w:rFonts w:ascii="宋体" w:hAnsi="宋体"/>
                <w:snapToGrid w:val="0"/>
                <w:kern w:val="0"/>
                <w:sz w:val="21"/>
                <w:szCs w:val="21"/>
              </w:rPr>
              <w:t>≤25mm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产品细度:</w:t>
            </w:r>
            <w:r>
              <w:rPr>
                <w:rFonts w:ascii="宋体" w:hAnsi="宋体"/>
                <w:snapToGrid w:val="0"/>
                <w:kern w:val="0"/>
                <w:sz w:val="21"/>
                <w:szCs w:val="21"/>
              </w:rPr>
              <w:tab/>
            </w:r>
            <w:r>
              <w:rPr>
                <w:rFonts w:ascii="宋体" w:hAnsi="宋体"/>
                <w:snapToGrid w:val="0"/>
                <w:kern w:val="0"/>
                <w:sz w:val="21"/>
                <w:szCs w:val="21"/>
              </w:rPr>
              <w:t>比表面积3500cm2/g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主电机功率:</w:t>
            </w:r>
            <w:r>
              <w:rPr>
                <w:rFonts w:ascii="宋体" w:hAnsi="宋体"/>
                <w:snapToGrid w:val="0"/>
                <w:kern w:val="0"/>
                <w:sz w:val="21"/>
                <w:szCs w:val="21"/>
              </w:rPr>
              <w:tab/>
            </w:r>
            <w:r>
              <w:rPr>
                <w:rFonts w:ascii="宋体" w:hAnsi="宋体"/>
                <w:snapToGrid w:val="0"/>
                <w:kern w:val="0"/>
                <w:sz w:val="21"/>
                <w:szCs w:val="21"/>
              </w:rPr>
              <w:t>3250kW</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155</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46" w:type="dxa"/>
            <w:vMerge w:val="continue"/>
            <w:noWrap w:val="0"/>
            <w:vAlign w:val="center"/>
          </w:tcPr>
          <w:p>
            <w:pPr>
              <w:suppressAutoHyphens/>
              <w:adjustRightInd w:val="0"/>
              <w:snapToGrid w:val="0"/>
              <w:rPr>
                <w:rFonts w:ascii="宋体" w:hAnsi="宋体"/>
                <w:snapToGrid w:val="0"/>
                <w:kern w:val="0"/>
                <w:sz w:val="21"/>
                <w:szCs w:val="21"/>
              </w:rPr>
            </w:pPr>
          </w:p>
        </w:tc>
        <w:tc>
          <w:tcPr>
            <w:tcW w:w="1447" w:type="dxa"/>
            <w:vMerge w:val="continue"/>
            <w:noWrap w:val="0"/>
            <w:vAlign w:val="center"/>
          </w:tcPr>
          <w:p>
            <w:pPr>
              <w:suppressAutoHyphens/>
              <w:adjustRightInd w:val="0"/>
              <w:snapToGrid w:val="0"/>
              <w:rPr>
                <w:rFonts w:ascii="宋体" w:hAnsi="宋体"/>
                <w:snapToGrid w:val="0"/>
                <w:kern w:val="0"/>
                <w:sz w:val="21"/>
                <w:szCs w:val="21"/>
              </w:rPr>
            </w:pP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选粉机:</w:t>
            </w:r>
            <w:r>
              <w:rPr>
                <w:rFonts w:ascii="宋体" w:hAnsi="宋体"/>
                <w:snapToGrid w:val="0"/>
                <w:kern w:val="0"/>
                <w:sz w:val="21"/>
                <w:szCs w:val="21"/>
              </w:rPr>
              <w:tab/>
            </w:r>
            <w:r>
              <w:rPr>
                <w:rFonts w:ascii="宋体" w:hAnsi="宋体"/>
                <w:snapToGrid w:val="0"/>
                <w:kern w:val="0"/>
                <w:sz w:val="21"/>
                <w:szCs w:val="21"/>
              </w:rPr>
              <w:t>O-Sepa N3000</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w:t>
            </w:r>
            <w:r>
              <w:rPr>
                <w:rFonts w:ascii="宋体" w:hAnsi="宋体"/>
                <w:snapToGrid w:val="0"/>
                <w:kern w:val="0"/>
                <w:sz w:val="21"/>
                <w:szCs w:val="21"/>
              </w:rPr>
              <w:tab/>
            </w:r>
            <w:r>
              <w:rPr>
                <w:rFonts w:ascii="宋体" w:hAnsi="宋体"/>
                <w:snapToGrid w:val="0"/>
                <w:kern w:val="0"/>
                <w:sz w:val="21"/>
                <w:szCs w:val="21"/>
              </w:rPr>
              <w:t>160kW</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80-150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77.33</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14</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石膏</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破碎</w:t>
            </w:r>
          </w:p>
        </w:tc>
        <w:tc>
          <w:tcPr>
            <w:tcW w:w="3430" w:type="dxa"/>
            <w:noWrap w:val="0"/>
            <w:vAlign w:val="center"/>
          </w:tcPr>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锤式破碎机</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型号:   PFC-1609</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转子工作圆尺寸:φ1680×918</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最大进料粒度＜600 mm</w:t>
            </w:r>
          </w:p>
          <w:p>
            <w:pPr>
              <w:autoSpaceDE w:val="0"/>
              <w:autoSpaceDN w:val="0"/>
              <w:adjustRightInd w:val="0"/>
              <w:snapToGrid w:val="0"/>
              <w:rPr>
                <w:rFonts w:ascii="宋体" w:hAnsi="宋体"/>
                <w:snapToGrid w:val="0"/>
                <w:kern w:val="0"/>
                <w:sz w:val="21"/>
                <w:szCs w:val="21"/>
              </w:rPr>
            </w:pPr>
            <w:r>
              <w:rPr>
                <w:rFonts w:ascii="宋体" w:hAnsi="宋体"/>
                <w:snapToGrid w:val="0"/>
                <w:kern w:val="0"/>
                <w:sz w:val="21"/>
                <w:szCs w:val="21"/>
              </w:rPr>
              <w:t>出料粒度 :≤25 mm</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转子转速:745  r/min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2×500 kW</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50～70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5.77</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15</w:t>
            </w:r>
          </w:p>
        </w:tc>
        <w:tc>
          <w:tcPr>
            <w:tcW w:w="1447"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水泥包装</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八嘴回转式包装机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计量精度: +0.5kg</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 xml:space="preserve">          -0.2kg</w:t>
            </w:r>
          </w:p>
        </w:tc>
        <w:tc>
          <w:tcPr>
            <w:tcW w:w="1188"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100</w:t>
            </w: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2</w:t>
            </w:r>
          </w:p>
        </w:tc>
        <w:tc>
          <w:tcPr>
            <w:tcW w:w="1264"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48.66</w:t>
            </w:r>
          </w:p>
        </w:tc>
        <w:tc>
          <w:tcPr>
            <w:tcW w:w="750" w:type="dxa"/>
            <w:noWrap w:val="0"/>
            <w:vAlign w:val="center"/>
          </w:tcPr>
          <w:p>
            <w:pPr>
              <w:suppressAutoHyphens/>
              <w:adjustRightInd w:val="0"/>
              <w:snapToGrid w:val="0"/>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46"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16</w:t>
            </w:r>
          </w:p>
        </w:tc>
        <w:tc>
          <w:tcPr>
            <w:tcW w:w="1447" w:type="dxa"/>
            <w:noWrap w:val="0"/>
            <w:vAlign w:val="center"/>
          </w:tcPr>
          <w:p>
            <w:pPr>
              <w:suppressAutoHyphens/>
              <w:adjustRightInd w:val="0"/>
              <w:snapToGrid w:val="0"/>
              <w:rPr>
                <w:rFonts w:ascii="宋体" w:hAnsi="宋体"/>
                <w:snapToGrid w:val="0"/>
                <w:kern w:val="0"/>
                <w:sz w:val="21"/>
                <w:szCs w:val="21"/>
              </w:rPr>
            </w:pP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空压机站</w:t>
            </w:r>
          </w:p>
        </w:tc>
        <w:tc>
          <w:tcPr>
            <w:tcW w:w="343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螺杆式空压机</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排气量:      25m3/min</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排气压力:    0.8MPa</w:t>
            </w:r>
          </w:p>
          <w:p>
            <w:pPr>
              <w:suppressAutoHyphens/>
              <w:adjustRightInd w:val="0"/>
              <w:snapToGrid w:val="0"/>
              <w:rPr>
                <w:rFonts w:ascii="宋体" w:hAnsi="宋体"/>
                <w:snapToGrid w:val="0"/>
                <w:kern w:val="0"/>
                <w:sz w:val="21"/>
                <w:szCs w:val="21"/>
              </w:rPr>
            </w:pPr>
            <w:r>
              <w:rPr>
                <w:rFonts w:ascii="宋体" w:hAnsi="宋体"/>
                <w:snapToGrid w:val="0"/>
                <w:kern w:val="0"/>
                <w:sz w:val="21"/>
                <w:szCs w:val="21"/>
              </w:rPr>
              <w:t>电机功率:    132kW</w:t>
            </w:r>
          </w:p>
        </w:tc>
        <w:tc>
          <w:tcPr>
            <w:tcW w:w="1188" w:type="dxa"/>
            <w:noWrap w:val="0"/>
            <w:vAlign w:val="center"/>
          </w:tcPr>
          <w:p>
            <w:pPr>
              <w:suppressAutoHyphens/>
              <w:adjustRightInd w:val="0"/>
              <w:snapToGrid w:val="0"/>
              <w:rPr>
                <w:rFonts w:ascii="宋体" w:hAnsi="宋体"/>
                <w:snapToGrid w:val="0"/>
                <w:kern w:val="0"/>
                <w:sz w:val="21"/>
                <w:szCs w:val="21"/>
              </w:rPr>
            </w:pPr>
          </w:p>
        </w:tc>
        <w:tc>
          <w:tcPr>
            <w:tcW w:w="540" w:type="dxa"/>
            <w:noWrap w:val="0"/>
            <w:vAlign w:val="center"/>
          </w:tcPr>
          <w:p>
            <w:pPr>
              <w:suppressAutoHyphens/>
              <w:adjustRightInd w:val="0"/>
              <w:snapToGrid w:val="0"/>
              <w:rPr>
                <w:rFonts w:ascii="宋体" w:hAnsi="宋体"/>
                <w:snapToGrid w:val="0"/>
                <w:kern w:val="0"/>
                <w:sz w:val="21"/>
                <w:szCs w:val="21"/>
              </w:rPr>
            </w:pPr>
            <w:r>
              <w:rPr>
                <w:rFonts w:ascii="宋体" w:hAnsi="宋体"/>
                <w:snapToGrid w:val="0"/>
                <w:kern w:val="0"/>
                <w:sz w:val="21"/>
                <w:szCs w:val="21"/>
              </w:rPr>
              <w:t>5</w:t>
            </w:r>
          </w:p>
        </w:tc>
        <w:tc>
          <w:tcPr>
            <w:tcW w:w="1264" w:type="dxa"/>
            <w:noWrap w:val="0"/>
            <w:vAlign w:val="center"/>
          </w:tcPr>
          <w:p>
            <w:pPr>
              <w:suppressAutoHyphens/>
              <w:adjustRightInd w:val="0"/>
              <w:snapToGrid w:val="0"/>
              <w:rPr>
                <w:rFonts w:ascii="宋体" w:hAnsi="宋体"/>
                <w:snapToGrid w:val="0"/>
                <w:kern w:val="0"/>
                <w:sz w:val="21"/>
                <w:szCs w:val="21"/>
              </w:rPr>
            </w:pPr>
          </w:p>
        </w:tc>
        <w:tc>
          <w:tcPr>
            <w:tcW w:w="750" w:type="dxa"/>
            <w:noWrap w:val="0"/>
            <w:vAlign w:val="center"/>
          </w:tcPr>
          <w:p>
            <w:pPr>
              <w:suppressAutoHyphens/>
              <w:adjustRightInd w:val="0"/>
              <w:snapToGrid w:val="0"/>
              <w:rPr>
                <w:rFonts w:ascii="宋体" w:hAnsi="宋体"/>
                <w:snapToGrid w:val="0"/>
                <w:kern w:val="0"/>
                <w:sz w:val="21"/>
                <w:szCs w:val="21"/>
              </w:rPr>
            </w:pPr>
          </w:p>
        </w:tc>
      </w:tr>
    </w:tbl>
    <w:p>
      <w:pPr>
        <w:spacing w:line="300" w:lineRule="auto"/>
        <w:ind w:firstLine="420" w:firstLineChars="200"/>
        <w:rPr>
          <w:rFonts w:hint="eastAsia"/>
          <w:szCs w:val="28"/>
        </w:rPr>
      </w:pPr>
    </w:p>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表3-3   物料储存方式、储存量及储存期</w:t>
      </w:r>
    </w:p>
    <w:tbl>
      <w:tblPr>
        <w:tblStyle w:val="20"/>
        <w:tblW w:w="7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200"/>
        <w:gridCol w:w="2473"/>
        <w:gridCol w:w="1302"/>
        <w:gridCol w:w="1302"/>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blHeader/>
          <w:jc w:val="center"/>
        </w:trPr>
        <w:tc>
          <w:tcPr>
            <w:tcW w:w="79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序号</w:t>
            </w:r>
          </w:p>
        </w:tc>
        <w:tc>
          <w:tcPr>
            <w:tcW w:w="1200"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物料名称</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 库 形 式</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储存量(t)</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储存期(d)</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r>
              <w:rPr>
                <w:rFonts w:ascii="宋体" w:hAnsi="宋体"/>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blHeader/>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石灰石</w:t>
            </w:r>
          </w:p>
        </w:tc>
        <w:tc>
          <w:tcPr>
            <w:tcW w:w="2473"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堆棚60</w:t>
            </w:r>
            <w:r>
              <w:rPr>
                <w:rFonts w:ascii="宋体" w:hAnsi="宋体"/>
                <w:snapToGrid w:val="0"/>
                <w:kern w:val="0"/>
                <w:sz w:val="21"/>
                <w:szCs w:val="21"/>
              </w:rPr>
              <w:t xml:space="preserve"> x</w:t>
            </w:r>
            <w:r>
              <w:rPr>
                <w:rFonts w:hint="eastAsia" w:ascii="宋体" w:hAnsi="宋体"/>
                <w:snapToGrid w:val="0"/>
                <w:kern w:val="0"/>
                <w:sz w:val="21"/>
                <w:szCs w:val="21"/>
              </w:rPr>
              <w:t>40</w:t>
            </w:r>
            <w:r>
              <w:rPr>
                <w:rFonts w:ascii="宋体" w:hAnsi="宋体"/>
                <w:snapToGrid w:val="0"/>
                <w:kern w:val="0"/>
                <w:sz w:val="21"/>
                <w:szCs w:val="21"/>
              </w:rPr>
              <w:t>m</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12000</w:t>
            </w:r>
          </w:p>
        </w:tc>
        <w:tc>
          <w:tcPr>
            <w:tcW w:w="1302" w:type="dxa"/>
            <w:noWrap w:val="0"/>
            <w:vAlign w:val="center"/>
          </w:tcPr>
          <w:p>
            <w:pPr>
              <w:pStyle w:val="32"/>
              <w:keepNext w:val="0"/>
              <w:suppressAutoHyphens/>
              <w:snapToGrid w:val="0"/>
              <w:spacing w:before="0" w:after="0" w:line="240" w:lineRule="auto"/>
              <w:ind w:firstLine="422"/>
              <w:rPr>
                <w:rFonts w:hint="eastAsia" w:ascii="宋体" w:hAnsi="宋体"/>
                <w:snapToGrid w:val="0"/>
                <w:sz w:val="21"/>
                <w:szCs w:val="21"/>
              </w:rPr>
            </w:pPr>
            <w:r>
              <w:rPr>
                <w:rFonts w:hint="eastAsia" w:ascii="宋体" w:hAnsi="宋体"/>
                <w:snapToGrid w:val="0"/>
                <w:sz w:val="21"/>
                <w:szCs w:val="21"/>
              </w:rPr>
              <w:t>3.78</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hint="eastAsia"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hint="eastAsia" w:ascii="宋体" w:hAnsi="宋体"/>
                <w:snapToGrid w:val="0"/>
                <w:kern w:val="0"/>
                <w:sz w:val="21"/>
                <w:szCs w:val="21"/>
              </w:rPr>
            </w:pPr>
          </w:p>
        </w:tc>
        <w:tc>
          <w:tcPr>
            <w:tcW w:w="2473"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2</w:t>
            </w:r>
            <w:r>
              <w:rPr>
                <w:rFonts w:ascii="宋体" w:hAnsi="宋体"/>
                <w:snapToGrid w:val="0"/>
                <w:kern w:val="0"/>
                <w:sz w:val="21"/>
                <w:szCs w:val="21"/>
              </w:rPr>
              <w:t>-Φ</w:t>
            </w:r>
            <w:r>
              <w:rPr>
                <w:rFonts w:hint="eastAsia" w:ascii="宋体" w:hAnsi="宋体"/>
                <w:snapToGrid w:val="0"/>
                <w:kern w:val="0"/>
                <w:sz w:val="21"/>
                <w:szCs w:val="21"/>
              </w:rPr>
              <w:t>12</w:t>
            </w:r>
            <w:r>
              <w:rPr>
                <w:rFonts w:ascii="宋体" w:hAnsi="宋体"/>
                <w:snapToGrid w:val="0"/>
                <w:kern w:val="0"/>
                <w:sz w:val="21"/>
                <w:szCs w:val="21"/>
              </w:rPr>
              <w:t>m</w:t>
            </w:r>
            <w:r>
              <w:rPr>
                <w:rFonts w:hint="eastAsia" w:ascii="宋体" w:hAnsi="宋体"/>
                <w:snapToGrid w:val="0"/>
                <w:kern w:val="0"/>
                <w:sz w:val="21"/>
                <w:szCs w:val="21"/>
              </w:rPr>
              <w:t xml:space="preserve"> x30m</w:t>
            </w:r>
            <w:r>
              <w:rPr>
                <w:rFonts w:ascii="宋体" w:hAnsi="宋体"/>
                <w:snapToGrid w:val="0"/>
                <w:kern w:val="0"/>
                <w:sz w:val="21"/>
                <w:szCs w:val="21"/>
              </w:rPr>
              <w:t>均化</w:t>
            </w:r>
            <w:r>
              <w:rPr>
                <w:rFonts w:hint="eastAsia" w:ascii="宋体" w:hAnsi="宋体"/>
                <w:snapToGrid w:val="0"/>
                <w:kern w:val="0"/>
                <w:sz w:val="21"/>
                <w:szCs w:val="21"/>
              </w:rPr>
              <w:t>库</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20000</w:t>
            </w:r>
          </w:p>
        </w:tc>
        <w:tc>
          <w:tcPr>
            <w:tcW w:w="1302" w:type="dxa"/>
            <w:noWrap w:val="0"/>
            <w:vAlign w:val="center"/>
          </w:tcPr>
          <w:p>
            <w:pPr>
              <w:pStyle w:val="32"/>
              <w:keepNext w:val="0"/>
              <w:suppressAutoHyphens/>
              <w:snapToGrid w:val="0"/>
              <w:spacing w:before="0" w:after="0" w:line="240" w:lineRule="auto"/>
              <w:ind w:firstLine="422"/>
              <w:rPr>
                <w:rFonts w:hint="eastAsia" w:ascii="宋体" w:hAnsi="宋体"/>
                <w:snapToGrid w:val="0"/>
                <w:sz w:val="21"/>
                <w:szCs w:val="21"/>
              </w:rPr>
            </w:pPr>
            <w:r>
              <w:rPr>
                <w:rFonts w:hint="eastAsia" w:ascii="宋体" w:hAnsi="宋体"/>
                <w:snapToGrid w:val="0"/>
                <w:sz w:val="21"/>
                <w:szCs w:val="21"/>
              </w:rPr>
              <w:t>6.08</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1-Φ8m配料库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464</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0.15</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砂岩</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103</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0.26</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noWrap w:val="0"/>
            <w:vAlign w:val="center"/>
          </w:tcPr>
          <w:p>
            <w:pPr>
              <w:pStyle w:val="32"/>
              <w:keepNext w:val="0"/>
              <w:suppressAutoHyphens/>
              <w:snapToGrid w:val="0"/>
              <w:spacing w:before="0" w:after="0" w:line="240" w:lineRule="auto"/>
              <w:ind w:firstLine="422"/>
              <w:rPr>
                <w:rFonts w:ascii="宋体" w:hAnsi="宋体"/>
                <w:snapToGrid w:val="0"/>
                <w:sz w:val="21"/>
                <w:szCs w:val="21"/>
              </w:rPr>
            </w:pPr>
            <w:r>
              <w:rPr>
                <w:rFonts w:hint="eastAsia" w:ascii="宋体" w:hAnsi="宋体"/>
                <w:snapToGrid w:val="0"/>
                <w:sz w:val="21"/>
                <w:szCs w:val="21"/>
              </w:rPr>
              <w:t>1755</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5.08</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3</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煤矸石</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106</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0.23</w:t>
            </w:r>
          </w:p>
        </w:tc>
        <w:tc>
          <w:tcPr>
            <w:tcW w:w="792" w:type="dxa"/>
            <w:noWrap w:val="0"/>
            <w:vAlign w:val="center"/>
          </w:tcPr>
          <w:p>
            <w:pPr>
              <w:suppressAutoHyphens/>
              <w:adjustRightInd w:val="0"/>
              <w:snapToGrid w:val="0"/>
              <w:spacing w:line="560" w:lineRule="exact"/>
              <w:jc w:val="left"/>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3370</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5.08</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4</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硫酸渣</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1-Φ6m配料库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98.18</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0.53</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预均化堆场</w:t>
            </w:r>
            <w:r>
              <w:rPr>
                <w:rFonts w:hint="eastAsia" w:ascii="宋体" w:hAnsi="宋体"/>
                <w:snapToGrid w:val="0"/>
                <w:kern w:val="0"/>
                <w:sz w:val="21"/>
                <w:szCs w:val="21"/>
              </w:rPr>
              <w:t>40.8</w:t>
            </w:r>
            <w:r>
              <w:rPr>
                <w:rFonts w:ascii="宋体" w:hAnsi="宋体"/>
                <w:snapToGrid w:val="0"/>
                <w:kern w:val="0"/>
                <w:sz w:val="21"/>
                <w:szCs w:val="21"/>
              </w:rPr>
              <w:t>x</w:t>
            </w:r>
            <w:r>
              <w:rPr>
                <w:rFonts w:hint="eastAsia" w:ascii="宋体" w:hAnsi="宋体"/>
                <w:snapToGrid w:val="0"/>
                <w:kern w:val="0"/>
                <w:sz w:val="21"/>
                <w:szCs w:val="21"/>
              </w:rPr>
              <w:t>14.6</w:t>
            </w:r>
            <w:r>
              <w:rPr>
                <w:rFonts w:ascii="宋体" w:hAnsi="宋体"/>
                <w:snapToGrid w:val="0"/>
                <w:kern w:val="0"/>
                <w:sz w:val="21"/>
                <w:szCs w:val="21"/>
              </w:rPr>
              <w:t>m</w:t>
            </w:r>
          </w:p>
        </w:tc>
        <w:tc>
          <w:tcPr>
            <w:tcW w:w="1302" w:type="dxa"/>
            <w:noWrap w:val="0"/>
            <w:vAlign w:val="center"/>
          </w:tcPr>
          <w:p>
            <w:pPr>
              <w:pStyle w:val="32"/>
              <w:keepNext w:val="0"/>
              <w:suppressAutoHyphens/>
              <w:snapToGrid w:val="0"/>
              <w:spacing w:before="0" w:after="0" w:line="240" w:lineRule="auto"/>
              <w:ind w:firstLine="422"/>
              <w:rPr>
                <w:rFonts w:ascii="宋体" w:hAnsi="宋体"/>
                <w:snapToGrid w:val="0"/>
                <w:sz w:val="21"/>
                <w:szCs w:val="21"/>
              </w:rPr>
            </w:pPr>
            <w:r>
              <w:rPr>
                <w:rFonts w:hint="eastAsia" w:ascii="宋体" w:hAnsi="宋体"/>
                <w:snapToGrid w:val="0"/>
                <w:sz w:val="21"/>
                <w:szCs w:val="21"/>
              </w:rPr>
              <w:t>853</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4.13</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jc w:val="center"/>
        </w:trPr>
        <w:tc>
          <w:tcPr>
            <w:tcW w:w="79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5</w:t>
            </w:r>
          </w:p>
        </w:tc>
        <w:tc>
          <w:tcPr>
            <w:tcW w:w="1200"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生  料</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1-Φ15m均化库</w:t>
            </w:r>
          </w:p>
        </w:tc>
        <w:tc>
          <w:tcPr>
            <w:tcW w:w="1302" w:type="dxa"/>
            <w:noWrap w:val="0"/>
            <w:vAlign w:val="center"/>
          </w:tcPr>
          <w:p>
            <w:pPr>
              <w:pStyle w:val="32"/>
              <w:keepNext w:val="0"/>
              <w:suppressAutoHyphens/>
              <w:snapToGrid w:val="0"/>
              <w:spacing w:before="0" w:after="0" w:line="240" w:lineRule="auto"/>
              <w:ind w:firstLine="422"/>
              <w:rPr>
                <w:rFonts w:ascii="宋体" w:hAnsi="宋体"/>
                <w:snapToGrid w:val="0"/>
                <w:sz w:val="21"/>
                <w:szCs w:val="21"/>
              </w:rPr>
            </w:pPr>
            <w:r>
              <w:rPr>
                <w:rFonts w:ascii="宋体" w:hAnsi="宋体"/>
                <w:snapToGrid w:val="0"/>
                <w:sz w:val="21"/>
                <w:szCs w:val="21"/>
              </w:rPr>
              <w:t>8225</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2.25</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6</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熟  料</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1-Φ8m配料库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850</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0.34</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Φ</w:t>
            </w:r>
            <w:r>
              <w:rPr>
                <w:rFonts w:hint="eastAsia" w:ascii="宋体" w:hAnsi="宋体"/>
                <w:snapToGrid w:val="0"/>
                <w:kern w:val="0"/>
                <w:sz w:val="21"/>
                <w:szCs w:val="21"/>
              </w:rPr>
              <w:t>17.6</w:t>
            </w:r>
            <w:r>
              <w:rPr>
                <w:rFonts w:ascii="宋体" w:hAnsi="宋体"/>
                <w:snapToGrid w:val="0"/>
                <w:kern w:val="0"/>
                <w:sz w:val="21"/>
                <w:szCs w:val="21"/>
              </w:rPr>
              <w:t>m熟料库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15</w:t>
            </w:r>
            <w:r>
              <w:rPr>
                <w:rFonts w:ascii="宋体" w:hAnsi="宋体"/>
                <w:snapToGrid w:val="0"/>
                <w:kern w:val="0"/>
                <w:sz w:val="21"/>
                <w:szCs w:val="21"/>
              </w:rPr>
              <w:t>000</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6</w:t>
            </w:r>
            <w:r>
              <w:rPr>
                <w:rFonts w:ascii="宋体" w:hAnsi="宋体"/>
                <w:snapToGrid w:val="0"/>
                <w:kern w:val="0"/>
                <w:sz w:val="21"/>
                <w:szCs w:val="21"/>
              </w:rPr>
              <w:t>.0</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7</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原  煤</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堆场</w:t>
            </w:r>
            <w:r>
              <w:rPr>
                <w:rFonts w:hint="eastAsia" w:ascii="宋体" w:hAnsi="宋体"/>
                <w:snapToGrid w:val="0"/>
                <w:kern w:val="0"/>
                <w:sz w:val="21"/>
                <w:szCs w:val="21"/>
              </w:rPr>
              <w:t>35</w:t>
            </w:r>
            <w:r>
              <w:rPr>
                <w:rFonts w:ascii="宋体" w:hAnsi="宋体"/>
                <w:snapToGrid w:val="0"/>
                <w:kern w:val="0"/>
                <w:sz w:val="21"/>
                <w:szCs w:val="21"/>
              </w:rPr>
              <w:t>×</w:t>
            </w:r>
            <w:r>
              <w:rPr>
                <w:rFonts w:hint="eastAsia" w:ascii="宋体" w:hAnsi="宋体"/>
                <w:snapToGrid w:val="0"/>
                <w:kern w:val="0"/>
                <w:sz w:val="21"/>
                <w:szCs w:val="21"/>
              </w:rPr>
              <w:t>4</w:t>
            </w:r>
            <w:r>
              <w:rPr>
                <w:rFonts w:ascii="宋体" w:hAnsi="宋体"/>
                <w:snapToGrid w:val="0"/>
                <w:kern w:val="0"/>
                <w:sz w:val="21"/>
                <w:szCs w:val="21"/>
              </w:rPr>
              <w:t>0m</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4500</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13.2</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w:t>
            </w:r>
            <w:r>
              <w:rPr>
                <w:rFonts w:ascii="宋体" w:hAnsi="宋体"/>
                <w:snapToGrid w:val="0"/>
                <w:kern w:val="0"/>
                <w:sz w:val="21"/>
                <w:szCs w:val="21"/>
              </w:rPr>
              <w:t>Φ</w:t>
            </w:r>
            <w:r>
              <w:rPr>
                <w:rFonts w:hint="eastAsia" w:ascii="宋体" w:hAnsi="宋体"/>
                <w:snapToGrid w:val="0"/>
                <w:kern w:val="0"/>
                <w:sz w:val="21"/>
                <w:szCs w:val="21"/>
              </w:rPr>
              <w:t>28.8</w:t>
            </w:r>
            <w:r>
              <w:rPr>
                <w:rFonts w:ascii="宋体" w:hAnsi="宋体"/>
                <w:snapToGrid w:val="0"/>
                <w:kern w:val="0"/>
                <w:sz w:val="21"/>
                <w:szCs w:val="21"/>
              </w:rPr>
              <w:t>m预均化堆场</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4600</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12</w:t>
            </w:r>
          </w:p>
        </w:tc>
        <w:tc>
          <w:tcPr>
            <w:tcW w:w="792" w:type="dxa"/>
            <w:noWrap w:val="0"/>
            <w:vAlign w:val="center"/>
          </w:tcPr>
          <w:p>
            <w:pPr>
              <w:pStyle w:val="32"/>
              <w:keepNext w:val="0"/>
              <w:suppressAutoHyphens/>
              <w:snapToGrid w:val="0"/>
              <w:spacing w:before="0" w:after="0" w:line="560" w:lineRule="exact"/>
              <w:ind w:firstLine="422"/>
              <w:rPr>
                <w:rFonts w:ascii="宋体" w:hAnsi="宋体"/>
                <w:snapToGrid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8</w:t>
            </w:r>
          </w:p>
        </w:tc>
        <w:tc>
          <w:tcPr>
            <w:tcW w:w="1200" w:type="dxa"/>
            <w:vMerge w:val="restart"/>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水  泥</w:t>
            </w: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6</w:t>
            </w:r>
            <w:r>
              <w:rPr>
                <w:rFonts w:ascii="宋体" w:hAnsi="宋体"/>
                <w:snapToGrid w:val="0"/>
                <w:kern w:val="0"/>
                <w:sz w:val="21"/>
                <w:szCs w:val="21"/>
              </w:rPr>
              <w:t>-Φ15m圆库</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30000</w:t>
            </w:r>
          </w:p>
        </w:tc>
        <w:tc>
          <w:tcPr>
            <w:tcW w:w="1302" w:type="dxa"/>
            <w:noWrap w:val="0"/>
            <w:vAlign w:val="center"/>
          </w:tcPr>
          <w:p>
            <w:pPr>
              <w:suppressAutoHyphens/>
              <w:adjustRightInd w:val="0"/>
              <w:snapToGrid w:val="0"/>
              <w:jc w:val="center"/>
              <w:rPr>
                <w:rFonts w:hint="eastAsia" w:ascii="宋体" w:hAnsi="宋体"/>
                <w:snapToGrid w:val="0"/>
                <w:kern w:val="0"/>
                <w:sz w:val="21"/>
                <w:szCs w:val="21"/>
              </w:rPr>
            </w:pPr>
            <w:r>
              <w:rPr>
                <w:rFonts w:hint="eastAsia" w:ascii="宋体" w:hAnsi="宋体"/>
                <w:snapToGrid w:val="0"/>
                <w:kern w:val="0"/>
                <w:sz w:val="21"/>
                <w:szCs w:val="21"/>
              </w:rPr>
              <w:t>10.10</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93" w:type="dxa"/>
            <w:vMerge w:val="continue"/>
            <w:noWrap w:val="0"/>
            <w:vAlign w:val="center"/>
          </w:tcPr>
          <w:p>
            <w:pPr>
              <w:suppressAutoHyphens/>
              <w:adjustRightInd w:val="0"/>
              <w:snapToGrid w:val="0"/>
              <w:jc w:val="center"/>
              <w:rPr>
                <w:rFonts w:ascii="宋体" w:hAnsi="宋体"/>
                <w:snapToGrid w:val="0"/>
                <w:kern w:val="0"/>
                <w:sz w:val="21"/>
                <w:szCs w:val="21"/>
              </w:rPr>
            </w:pPr>
          </w:p>
        </w:tc>
        <w:tc>
          <w:tcPr>
            <w:tcW w:w="1200" w:type="dxa"/>
            <w:vMerge w:val="continue"/>
            <w:noWrap w:val="0"/>
            <w:vAlign w:val="center"/>
          </w:tcPr>
          <w:p>
            <w:pPr>
              <w:suppressAutoHyphens/>
              <w:adjustRightInd w:val="0"/>
              <w:snapToGrid w:val="0"/>
              <w:jc w:val="left"/>
              <w:rPr>
                <w:rFonts w:ascii="宋体" w:hAnsi="宋体"/>
                <w:snapToGrid w:val="0"/>
                <w:kern w:val="0"/>
                <w:sz w:val="21"/>
                <w:szCs w:val="21"/>
              </w:rPr>
            </w:pPr>
          </w:p>
        </w:tc>
        <w:tc>
          <w:tcPr>
            <w:tcW w:w="2473"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2</w:t>
            </w:r>
            <w:r>
              <w:rPr>
                <w:rFonts w:hint="eastAsia" w:ascii="宋体" w:hAnsi="宋体"/>
                <w:snapToGrid w:val="0"/>
                <w:kern w:val="0"/>
                <w:sz w:val="21"/>
                <w:szCs w:val="21"/>
              </w:rPr>
              <w:t>0</w:t>
            </w:r>
            <w:r>
              <w:rPr>
                <w:rFonts w:ascii="宋体" w:hAnsi="宋体"/>
                <w:snapToGrid w:val="0"/>
                <w:kern w:val="0"/>
                <w:sz w:val="21"/>
                <w:szCs w:val="21"/>
              </w:rPr>
              <w:t>×</w:t>
            </w:r>
            <w:r>
              <w:rPr>
                <w:rFonts w:hint="eastAsia" w:ascii="宋体" w:hAnsi="宋体"/>
                <w:snapToGrid w:val="0"/>
                <w:kern w:val="0"/>
                <w:sz w:val="21"/>
                <w:szCs w:val="21"/>
              </w:rPr>
              <w:t>50</w:t>
            </w:r>
            <w:r>
              <w:rPr>
                <w:rFonts w:ascii="宋体" w:hAnsi="宋体"/>
                <w:snapToGrid w:val="0"/>
                <w:kern w:val="0"/>
                <w:sz w:val="21"/>
                <w:szCs w:val="21"/>
              </w:rPr>
              <w:t>m成品库</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hint="eastAsia" w:ascii="宋体" w:hAnsi="宋体"/>
                <w:snapToGrid w:val="0"/>
                <w:kern w:val="0"/>
                <w:sz w:val="21"/>
                <w:szCs w:val="21"/>
              </w:rPr>
              <w:t>10</w:t>
            </w:r>
            <w:r>
              <w:rPr>
                <w:rFonts w:ascii="宋体" w:hAnsi="宋体"/>
                <w:snapToGrid w:val="0"/>
                <w:kern w:val="0"/>
                <w:sz w:val="21"/>
                <w:szCs w:val="21"/>
              </w:rPr>
              <w:t>00</w:t>
            </w:r>
          </w:p>
        </w:tc>
        <w:tc>
          <w:tcPr>
            <w:tcW w:w="1302" w:type="dxa"/>
            <w:noWrap w:val="0"/>
            <w:vAlign w:val="center"/>
          </w:tcPr>
          <w:p>
            <w:pPr>
              <w:suppressAutoHyphens/>
              <w:adjustRightInd w:val="0"/>
              <w:snapToGrid w:val="0"/>
              <w:jc w:val="center"/>
              <w:rPr>
                <w:rFonts w:ascii="宋体" w:hAnsi="宋体"/>
                <w:snapToGrid w:val="0"/>
                <w:kern w:val="0"/>
                <w:sz w:val="21"/>
                <w:szCs w:val="21"/>
              </w:rPr>
            </w:pPr>
            <w:r>
              <w:rPr>
                <w:rFonts w:ascii="宋体" w:hAnsi="宋体"/>
                <w:snapToGrid w:val="0"/>
                <w:kern w:val="0"/>
                <w:sz w:val="21"/>
                <w:szCs w:val="21"/>
              </w:rPr>
              <w:t>0.80</w:t>
            </w:r>
          </w:p>
        </w:tc>
        <w:tc>
          <w:tcPr>
            <w:tcW w:w="792" w:type="dxa"/>
            <w:noWrap w:val="0"/>
            <w:vAlign w:val="center"/>
          </w:tcPr>
          <w:p>
            <w:pPr>
              <w:suppressAutoHyphens/>
              <w:adjustRightInd w:val="0"/>
              <w:snapToGrid w:val="0"/>
              <w:spacing w:line="560" w:lineRule="exact"/>
              <w:jc w:val="center"/>
              <w:rPr>
                <w:rFonts w:ascii="宋体" w:hAnsi="宋体"/>
                <w:snapToGrid w:val="0"/>
                <w:kern w:val="0"/>
                <w:sz w:val="21"/>
                <w:szCs w:val="21"/>
              </w:rPr>
            </w:pP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表3-4    原辅材料及燃料消耗一览表</w:t>
      </w:r>
    </w:p>
    <w:tbl>
      <w:tblPr>
        <w:tblStyle w:val="20"/>
        <w:tblW w:w="8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177"/>
        <w:gridCol w:w="1466"/>
        <w:gridCol w:w="1238"/>
        <w:gridCol w:w="808"/>
        <w:gridCol w:w="2690"/>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序</w:t>
            </w:r>
          </w:p>
          <w:p>
            <w:pPr>
              <w:spacing w:line="360" w:lineRule="exact"/>
              <w:jc w:val="center"/>
              <w:rPr>
                <w:rFonts w:hint="eastAsia" w:ascii="宋体" w:hAnsi="宋体"/>
                <w:sz w:val="21"/>
                <w:szCs w:val="21"/>
              </w:rPr>
            </w:pPr>
            <w:r>
              <w:rPr>
                <w:rFonts w:hint="eastAsia" w:ascii="宋体" w:hAnsi="宋体"/>
                <w:sz w:val="21"/>
                <w:szCs w:val="21"/>
              </w:rPr>
              <w:t>号</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物料</w:t>
            </w:r>
          </w:p>
          <w:p>
            <w:pPr>
              <w:spacing w:line="360" w:lineRule="exact"/>
              <w:jc w:val="center"/>
              <w:rPr>
                <w:rFonts w:hint="eastAsia" w:ascii="宋体" w:hAnsi="宋体"/>
                <w:sz w:val="21"/>
                <w:szCs w:val="21"/>
              </w:rPr>
            </w:pPr>
            <w:r>
              <w:rPr>
                <w:rFonts w:hint="eastAsia" w:ascii="宋体" w:hAnsi="宋体"/>
                <w:sz w:val="21"/>
                <w:szCs w:val="21"/>
              </w:rPr>
              <w:t>名称</w:t>
            </w:r>
          </w:p>
        </w:tc>
        <w:tc>
          <w:tcPr>
            <w:tcW w:w="1466"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湿基年</w:t>
            </w:r>
          </w:p>
          <w:p>
            <w:pPr>
              <w:spacing w:line="360" w:lineRule="exact"/>
              <w:jc w:val="center"/>
              <w:rPr>
                <w:rFonts w:hint="eastAsia" w:ascii="宋体" w:hAnsi="宋体"/>
                <w:sz w:val="21"/>
                <w:szCs w:val="21"/>
              </w:rPr>
            </w:pPr>
            <w:r>
              <w:rPr>
                <w:rFonts w:hint="eastAsia" w:ascii="宋体" w:hAnsi="宋体"/>
                <w:sz w:val="21"/>
                <w:szCs w:val="21"/>
              </w:rPr>
              <w:t>消耗量（</w:t>
            </w:r>
            <w:r>
              <w:rPr>
                <w:rFonts w:ascii="宋体" w:hAnsi="宋体"/>
                <w:sz w:val="21"/>
                <w:szCs w:val="21"/>
              </w:rPr>
              <w:t>t/a</w:t>
            </w:r>
            <w:r>
              <w:rPr>
                <w:rFonts w:hint="eastAsia" w:ascii="宋体" w:hAnsi="宋体"/>
                <w:sz w:val="21"/>
                <w:szCs w:val="21"/>
              </w:rPr>
              <w:t>）</w:t>
            </w:r>
          </w:p>
        </w:tc>
        <w:tc>
          <w:tcPr>
            <w:tcW w:w="1238"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干基年消耗量（</w:t>
            </w:r>
            <w:r>
              <w:rPr>
                <w:rFonts w:ascii="宋体" w:hAnsi="宋体"/>
                <w:sz w:val="21"/>
                <w:szCs w:val="21"/>
              </w:rPr>
              <w:t>t/a</w:t>
            </w:r>
            <w:r>
              <w:rPr>
                <w:rFonts w:hint="eastAsia" w:ascii="宋体" w:hAnsi="宋体"/>
                <w:sz w:val="21"/>
                <w:szCs w:val="21"/>
              </w:rPr>
              <w:t>）</w:t>
            </w:r>
          </w:p>
        </w:tc>
        <w:tc>
          <w:tcPr>
            <w:tcW w:w="808"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水分</w:t>
            </w:r>
          </w:p>
          <w:p>
            <w:pPr>
              <w:spacing w:line="360" w:lineRule="exact"/>
              <w:jc w:val="center"/>
              <w:rPr>
                <w:rFonts w:hint="eastAsia" w:ascii="宋体" w:hAnsi="宋体"/>
                <w:sz w:val="21"/>
                <w:szCs w:val="21"/>
              </w:rPr>
            </w:pPr>
            <w:r>
              <w:rPr>
                <w:rFonts w:hint="eastAsia" w:ascii="宋体" w:hAnsi="宋体"/>
                <w:sz w:val="21"/>
                <w:szCs w:val="21"/>
              </w:rPr>
              <w:t>（%）</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来源</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运距</w:t>
            </w:r>
            <w:r>
              <w:rPr>
                <w:rFonts w:ascii="宋体" w:hAnsi="宋体"/>
                <w:sz w:val="21"/>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石灰石</w:t>
            </w:r>
          </w:p>
        </w:tc>
        <w:tc>
          <w:tcPr>
            <w:tcW w:w="1466" w:type="dxa"/>
            <w:noWrap w:val="0"/>
            <w:vAlign w:val="center"/>
          </w:tcPr>
          <w:p>
            <w:pPr>
              <w:jc w:val="center"/>
              <w:rPr>
                <w:rFonts w:ascii="宋体" w:hAnsi="宋体"/>
                <w:sz w:val="21"/>
                <w:szCs w:val="21"/>
              </w:rPr>
            </w:pPr>
            <w:r>
              <w:rPr>
                <w:rFonts w:ascii="宋体" w:hAnsi="宋体"/>
                <w:sz w:val="21"/>
                <w:szCs w:val="21"/>
              </w:rPr>
              <w:t>1018660</w:t>
            </w:r>
          </w:p>
        </w:tc>
        <w:tc>
          <w:tcPr>
            <w:tcW w:w="1238" w:type="dxa"/>
            <w:noWrap w:val="0"/>
            <w:vAlign w:val="center"/>
          </w:tcPr>
          <w:p>
            <w:pPr>
              <w:jc w:val="center"/>
              <w:rPr>
                <w:rFonts w:ascii="宋体" w:hAnsi="宋体"/>
                <w:sz w:val="21"/>
                <w:szCs w:val="21"/>
              </w:rPr>
            </w:pPr>
            <w:r>
              <w:rPr>
                <w:rFonts w:ascii="宋体" w:hAnsi="宋体"/>
                <w:sz w:val="21"/>
                <w:szCs w:val="21"/>
              </w:rPr>
              <w:t>1008430</w:t>
            </w:r>
          </w:p>
        </w:tc>
        <w:tc>
          <w:tcPr>
            <w:tcW w:w="808" w:type="dxa"/>
            <w:noWrap w:val="0"/>
            <w:vAlign w:val="center"/>
          </w:tcPr>
          <w:p>
            <w:pPr>
              <w:jc w:val="center"/>
              <w:rPr>
                <w:szCs w:val="21"/>
              </w:rPr>
            </w:pPr>
            <w:r>
              <w:rPr>
                <w:szCs w:val="21"/>
              </w:rPr>
              <w:t>1</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璧山县福禄镇</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砂岩</w:t>
            </w:r>
          </w:p>
        </w:tc>
        <w:tc>
          <w:tcPr>
            <w:tcW w:w="1466" w:type="dxa"/>
            <w:noWrap w:val="0"/>
            <w:vAlign w:val="center"/>
          </w:tcPr>
          <w:p>
            <w:pPr>
              <w:jc w:val="center"/>
              <w:rPr>
                <w:rFonts w:ascii="宋体" w:hAnsi="宋体"/>
                <w:sz w:val="21"/>
                <w:szCs w:val="21"/>
              </w:rPr>
            </w:pPr>
            <w:r>
              <w:rPr>
                <w:rFonts w:ascii="宋体" w:hAnsi="宋体"/>
                <w:sz w:val="21"/>
                <w:szCs w:val="21"/>
              </w:rPr>
              <w:t>66960</w:t>
            </w:r>
          </w:p>
        </w:tc>
        <w:tc>
          <w:tcPr>
            <w:tcW w:w="1238" w:type="dxa"/>
            <w:noWrap w:val="0"/>
            <w:vAlign w:val="center"/>
          </w:tcPr>
          <w:p>
            <w:pPr>
              <w:jc w:val="center"/>
              <w:rPr>
                <w:rFonts w:ascii="宋体" w:hAnsi="宋体"/>
                <w:sz w:val="21"/>
                <w:szCs w:val="21"/>
              </w:rPr>
            </w:pPr>
            <w:r>
              <w:rPr>
                <w:rFonts w:ascii="宋体" w:hAnsi="宋体"/>
                <w:sz w:val="21"/>
                <w:szCs w:val="21"/>
              </w:rPr>
              <w:t>66650</w:t>
            </w:r>
          </w:p>
        </w:tc>
        <w:tc>
          <w:tcPr>
            <w:tcW w:w="808" w:type="dxa"/>
            <w:noWrap w:val="0"/>
            <w:vAlign w:val="center"/>
          </w:tcPr>
          <w:p>
            <w:pPr>
              <w:jc w:val="center"/>
              <w:rPr>
                <w:szCs w:val="21"/>
              </w:rPr>
            </w:pPr>
            <w:r>
              <w:rPr>
                <w:szCs w:val="21"/>
              </w:rPr>
              <w:t>1</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合川盐井镇塘坝村</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煤矸石</w:t>
            </w:r>
          </w:p>
        </w:tc>
        <w:tc>
          <w:tcPr>
            <w:tcW w:w="1466" w:type="dxa"/>
            <w:noWrap w:val="0"/>
            <w:vAlign w:val="center"/>
          </w:tcPr>
          <w:p>
            <w:pPr>
              <w:jc w:val="center"/>
              <w:rPr>
                <w:rFonts w:ascii="宋体" w:hAnsi="宋体"/>
                <w:sz w:val="21"/>
                <w:szCs w:val="21"/>
              </w:rPr>
            </w:pPr>
            <w:r>
              <w:rPr>
                <w:rFonts w:ascii="宋体" w:hAnsi="宋体"/>
                <w:sz w:val="21"/>
                <w:szCs w:val="21"/>
              </w:rPr>
              <w:t>92039</w:t>
            </w:r>
          </w:p>
        </w:tc>
        <w:tc>
          <w:tcPr>
            <w:tcW w:w="1238" w:type="dxa"/>
            <w:noWrap w:val="0"/>
            <w:vAlign w:val="center"/>
          </w:tcPr>
          <w:p>
            <w:pPr>
              <w:jc w:val="center"/>
              <w:rPr>
                <w:rFonts w:ascii="宋体" w:hAnsi="宋体"/>
                <w:sz w:val="21"/>
                <w:szCs w:val="21"/>
              </w:rPr>
            </w:pPr>
            <w:r>
              <w:rPr>
                <w:rFonts w:ascii="宋体" w:hAnsi="宋体"/>
                <w:sz w:val="21"/>
                <w:szCs w:val="21"/>
              </w:rPr>
              <w:t>87730</w:t>
            </w:r>
          </w:p>
        </w:tc>
        <w:tc>
          <w:tcPr>
            <w:tcW w:w="808" w:type="dxa"/>
            <w:noWrap w:val="0"/>
            <w:vAlign w:val="center"/>
          </w:tcPr>
          <w:p>
            <w:pPr>
              <w:jc w:val="center"/>
              <w:rPr>
                <w:szCs w:val="21"/>
              </w:rPr>
            </w:pPr>
            <w:r>
              <w:rPr>
                <w:szCs w:val="21"/>
              </w:rPr>
              <w:t>5</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厂区内</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硫酸渣</w:t>
            </w:r>
          </w:p>
        </w:tc>
        <w:tc>
          <w:tcPr>
            <w:tcW w:w="1466" w:type="dxa"/>
            <w:noWrap w:val="0"/>
            <w:vAlign w:val="center"/>
          </w:tcPr>
          <w:p>
            <w:pPr>
              <w:jc w:val="center"/>
              <w:rPr>
                <w:rFonts w:ascii="宋体" w:hAnsi="宋体"/>
                <w:sz w:val="21"/>
                <w:szCs w:val="21"/>
              </w:rPr>
            </w:pPr>
            <w:r>
              <w:rPr>
                <w:rFonts w:ascii="宋体" w:hAnsi="宋体"/>
                <w:sz w:val="21"/>
                <w:szCs w:val="21"/>
              </w:rPr>
              <w:t>15847</w:t>
            </w:r>
          </w:p>
        </w:tc>
        <w:tc>
          <w:tcPr>
            <w:tcW w:w="1238" w:type="dxa"/>
            <w:noWrap w:val="0"/>
            <w:vAlign w:val="center"/>
          </w:tcPr>
          <w:p>
            <w:pPr>
              <w:jc w:val="center"/>
              <w:rPr>
                <w:rFonts w:ascii="宋体" w:hAnsi="宋体"/>
                <w:sz w:val="21"/>
                <w:szCs w:val="21"/>
              </w:rPr>
            </w:pPr>
            <w:r>
              <w:rPr>
                <w:rFonts w:ascii="宋体" w:hAnsi="宋体"/>
                <w:sz w:val="21"/>
                <w:szCs w:val="21"/>
              </w:rPr>
              <w:t>13330</w:t>
            </w:r>
          </w:p>
        </w:tc>
        <w:tc>
          <w:tcPr>
            <w:tcW w:w="808" w:type="dxa"/>
            <w:noWrap w:val="0"/>
            <w:vAlign w:val="center"/>
          </w:tcPr>
          <w:p>
            <w:pPr>
              <w:jc w:val="center"/>
              <w:rPr>
                <w:szCs w:val="21"/>
              </w:rPr>
            </w:pPr>
            <w:r>
              <w:rPr>
                <w:szCs w:val="21"/>
              </w:rPr>
              <w:t>18</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江津前进化工厂</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5</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烟煤</w:t>
            </w:r>
          </w:p>
        </w:tc>
        <w:tc>
          <w:tcPr>
            <w:tcW w:w="1466"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118632</w:t>
            </w:r>
          </w:p>
        </w:tc>
        <w:tc>
          <w:tcPr>
            <w:tcW w:w="1238"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109142</w:t>
            </w:r>
          </w:p>
        </w:tc>
        <w:tc>
          <w:tcPr>
            <w:tcW w:w="808" w:type="dxa"/>
            <w:noWrap w:val="0"/>
            <w:vAlign w:val="center"/>
          </w:tcPr>
          <w:p>
            <w:pPr>
              <w:jc w:val="center"/>
              <w:rPr>
                <w:rFonts w:hint="eastAsia" w:ascii="宋体" w:hAnsi="宋体" w:cs="宋体"/>
                <w:sz w:val="21"/>
                <w:szCs w:val="21"/>
              </w:rPr>
            </w:pPr>
            <w:r>
              <w:rPr>
                <w:rFonts w:hint="eastAsia" w:ascii="宋体" w:hAnsi="宋体" w:cs="宋体"/>
                <w:sz w:val="21"/>
                <w:szCs w:val="21"/>
              </w:rPr>
              <w:t>8</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厂区内</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6</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炉渣</w:t>
            </w:r>
          </w:p>
        </w:tc>
        <w:tc>
          <w:tcPr>
            <w:tcW w:w="1466"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189100</w:t>
            </w:r>
          </w:p>
        </w:tc>
        <w:tc>
          <w:tcPr>
            <w:tcW w:w="1238"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808" w:type="dxa"/>
            <w:noWrap w:val="0"/>
            <w:vAlign w:val="center"/>
          </w:tcPr>
          <w:p>
            <w:pPr>
              <w:jc w:val="center"/>
              <w:rPr>
                <w:rFonts w:hint="eastAsia" w:ascii="宋体" w:hAnsi="宋体" w:cs="宋体"/>
                <w:sz w:val="21"/>
                <w:szCs w:val="21"/>
              </w:rPr>
            </w:pPr>
            <w:r>
              <w:rPr>
                <w:rFonts w:hint="eastAsia" w:ascii="宋体" w:hAnsi="宋体" w:cs="宋体"/>
                <w:sz w:val="21"/>
                <w:szCs w:val="21"/>
              </w:rPr>
              <w:t>/</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重庆乾帝物资有限责任公司</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9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7</w:t>
            </w:r>
          </w:p>
        </w:tc>
        <w:tc>
          <w:tcPr>
            <w:tcW w:w="1177"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石膏</w:t>
            </w:r>
          </w:p>
        </w:tc>
        <w:tc>
          <w:tcPr>
            <w:tcW w:w="1466"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37200</w:t>
            </w:r>
          </w:p>
        </w:tc>
        <w:tc>
          <w:tcPr>
            <w:tcW w:w="1238"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808" w:type="dxa"/>
            <w:noWrap w:val="0"/>
            <w:vAlign w:val="center"/>
          </w:tcPr>
          <w:p>
            <w:pPr>
              <w:jc w:val="center"/>
              <w:rPr>
                <w:rFonts w:ascii="宋体" w:hAnsi="宋体" w:cs="宋体"/>
                <w:sz w:val="21"/>
                <w:szCs w:val="21"/>
              </w:rPr>
            </w:pPr>
            <w:r>
              <w:rPr>
                <w:rFonts w:hint="eastAsia" w:ascii="宋体" w:hAnsi="宋体" w:cs="宋体"/>
                <w:sz w:val="21"/>
                <w:szCs w:val="21"/>
              </w:rPr>
              <w:t>/</w:t>
            </w:r>
          </w:p>
        </w:tc>
        <w:tc>
          <w:tcPr>
            <w:tcW w:w="269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江北特种建材建材有限公司</w:t>
            </w:r>
          </w:p>
        </w:tc>
        <w:tc>
          <w:tcPr>
            <w:tcW w:w="894" w:type="dxa"/>
            <w:noWrap w:val="0"/>
            <w:vAlign w:val="center"/>
          </w:tcPr>
          <w:p>
            <w:pPr>
              <w:spacing w:line="360" w:lineRule="exact"/>
              <w:jc w:val="center"/>
              <w:rPr>
                <w:rFonts w:hint="eastAsia" w:ascii="宋体" w:hAnsi="宋体"/>
                <w:sz w:val="21"/>
                <w:szCs w:val="21"/>
              </w:rPr>
            </w:pPr>
            <w:r>
              <w:rPr>
                <w:rFonts w:hint="eastAsia" w:ascii="宋体" w:hAnsi="宋体"/>
                <w:sz w:val="21"/>
                <w:szCs w:val="21"/>
              </w:rPr>
              <w:t>83</w:t>
            </w:r>
          </w:p>
        </w:tc>
      </w:tr>
    </w:tbl>
    <w:p>
      <w:pPr>
        <w:spacing w:line="480" w:lineRule="exact"/>
        <w:ind w:firstLine="422" w:firstLineChars="200"/>
        <w:jc w:val="center"/>
        <w:rPr>
          <w:rFonts w:hint="eastAsia" w:ascii="宋体" w:hAnsi="宋体"/>
          <w:b/>
        </w:rPr>
      </w:pPr>
    </w:p>
    <w:p>
      <w:pPr>
        <w:spacing w:line="480" w:lineRule="exact"/>
        <w:jc w:val="center"/>
        <w:rPr>
          <w:rFonts w:hint="eastAsia" w:ascii="宋体" w:hAnsi="宋体"/>
          <w:b/>
        </w:rPr>
      </w:pPr>
      <w:r>
        <w:rPr>
          <w:rFonts w:hint="eastAsia" w:ascii="宋体" w:hAnsi="宋体"/>
          <w:b/>
        </w:rPr>
        <w:t>表3-5  原料化学成分一览表  （%）</w:t>
      </w:r>
    </w:p>
    <w:tbl>
      <w:tblPr>
        <w:tblStyle w:val="20"/>
        <w:tblW w:w="7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260"/>
        <w:gridCol w:w="1050"/>
        <w:gridCol w:w="1365"/>
        <w:gridCol w:w="126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物  料</w:t>
            </w:r>
          </w:p>
        </w:tc>
        <w:tc>
          <w:tcPr>
            <w:tcW w:w="1260" w:type="dxa"/>
            <w:noWrap w:val="0"/>
            <w:vAlign w:val="center"/>
          </w:tcPr>
          <w:p>
            <w:pPr>
              <w:spacing w:line="360" w:lineRule="exact"/>
              <w:jc w:val="center"/>
              <w:rPr>
                <w:rFonts w:ascii="宋体" w:hAnsi="宋体"/>
                <w:sz w:val="21"/>
                <w:szCs w:val="21"/>
              </w:rPr>
            </w:pPr>
            <w:r>
              <w:rPr>
                <w:rFonts w:ascii="宋体" w:hAnsi="宋体"/>
                <w:sz w:val="21"/>
                <w:szCs w:val="21"/>
              </w:rPr>
              <w:t>石灰石</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砂岩</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煤矸石</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硫酸渣</w:t>
            </w:r>
          </w:p>
        </w:tc>
        <w:tc>
          <w:tcPr>
            <w:tcW w:w="1155" w:type="dxa"/>
            <w:noWrap w:val="0"/>
            <w:vAlign w:val="center"/>
          </w:tcPr>
          <w:p>
            <w:pPr>
              <w:spacing w:line="360" w:lineRule="exact"/>
              <w:jc w:val="center"/>
              <w:rPr>
                <w:rFonts w:ascii="宋体" w:hAnsi="宋体"/>
                <w:sz w:val="21"/>
                <w:szCs w:val="21"/>
              </w:rPr>
            </w:pPr>
            <w:r>
              <w:rPr>
                <w:rFonts w:hint="eastAsia" w:ascii="宋体" w:hAnsi="宋体"/>
                <w:sz w:val="21"/>
                <w:szCs w:val="21"/>
              </w:rPr>
              <w:t>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Loss</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40.63</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2.45</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8.68</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2.58</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SiO</w:t>
            </w:r>
            <w:r>
              <w:rPr>
                <w:rFonts w:ascii="宋体" w:hAnsi="宋体"/>
                <w:sz w:val="21"/>
                <w:szCs w:val="21"/>
                <w:vertAlign w:val="subscript"/>
              </w:rPr>
              <w:t>2</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4.82</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85.53</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60.18</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19.33</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Al</w:t>
            </w:r>
            <w:r>
              <w:rPr>
                <w:rFonts w:ascii="宋体" w:hAnsi="宋体"/>
                <w:sz w:val="21"/>
                <w:szCs w:val="21"/>
                <w:vertAlign w:val="subscript"/>
              </w:rPr>
              <w:t>2</w:t>
            </w:r>
            <w:r>
              <w:rPr>
                <w:rFonts w:ascii="宋体" w:hAnsi="宋体"/>
                <w:sz w:val="21"/>
                <w:szCs w:val="21"/>
              </w:rPr>
              <w:t>O</w:t>
            </w:r>
            <w:r>
              <w:rPr>
                <w:rFonts w:ascii="宋体" w:hAnsi="宋体"/>
                <w:sz w:val="21"/>
                <w:szCs w:val="21"/>
                <w:vertAlign w:val="subscript"/>
              </w:rPr>
              <w:t>3</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1.41</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8.02</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18.74</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15.10</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Fe</w:t>
            </w:r>
            <w:r>
              <w:rPr>
                <w:rFonts w:ascii="宋体" w:hAnsi="宋体"/>
                <w:sz w:val="21"/>
                <w:szCs w:val="21"/>
                <w:vertAlign w:val="subscript"/>
              </w:rPr>
              <w:t>2</w:t>
            </w:r>
            <w:r>
              <w:rPr>
                <w:rFonts w:ascii="宋体" w:hAnsi="宋体"/>
                <w:sz w:val="21"/>
                <w:szCs w:val="21"/>
              </w:rPr>
              <w:t>O</w:t>
            </w:r>
            <w:r>
              <w:rPr>
                <w:rFonts w:ascii="宋体" w:hAnsi="宋体"/>
                <w:sz w:val="21"/>
                <w:szCs w:val="21"/>
                <w:vertAlign w:val="subscript"/>
              </w:rPr>
              <w:t>3</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0.66</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1.29</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4.28</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60.31</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CaO</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49.76</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0.21</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0.72</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0.86</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MgO</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1.65</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0.36</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1.97</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1.51</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K</w:t>
            </w:r>
            <w:r>
              <w:rPr>
                <w:rFonts w:ascii="宋体" w:hAnsi="宋体"/>
                <w:sz w:val="21"/>
                <w:szCs w:val="21"/>
                <w:vertAlign w:val="subscript"/>
              </w:rPr>
              <w:t>2</w:t>
            </w:r>
            <w:r>
              <w:rPr>
                <w:rFonts w:ascii="宋体" w:hAnsi="宋体"/>
                <w:sz w:val="21"/>
                <w:szCs w:val="21"/>
              </w:rPr>
              <w:t>O</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0.42</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2.03</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2.22</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1.02</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Na</w:t>
            </w:r>
            <w:r>
              <w:rPr>
                <w:rFonts w:ascii="宋体" w:hAnsi="宋体"/>
                <w:sz w:val="21"/>
                <w:szCs w:val="21"/>
                <w:vertAlign w:val="subscript"/>
              </w:rPr>
              <w:t>2</w:t>
            </w:r>
            <w:r>
              <w:rPr>
                <w:rFonts w:ascii="宋体" w:hAnsi="宋体"/>
                <w:sz w:val="21"/>
                <w:szCs w:val="21"/>
              </w:rPr>
              <w:t>O</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0.07</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0.22</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0.56</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0.19</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SO</w:t>
            </w:r>
            <w:r>
              <w:rPr>
                <w:rFonts w:ascii="宋体" w:hAnsi="宋体"/>
                <w:sz w:val="21"/>
                <w:szCs w:val="21"/>
                <w:vertAlign w:val="subscript"/>
              </w:rPr>
              <w:t>3</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0.0057</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0.05</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0.058</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noWrap w:val="0"/>
            <w:vAlign w:val="center"/>
          </w:tcPr>
          <w:p>
            <w:pPr>
              <w:spacing w:line="360" w:lineRule="exact"/>
              <w:jc w:val="center"/>
              <w:rPr>
                <w:rFonts w:ascii="宋体" w:hAnsi="宋体"/>
                <w:sz w:val="21"/>
                <w:szCs w:val="21"/>
              </w:rPr>
            </w:pPr>
            <w:r>
              <w:rPr>
                <w:rFonts w:ascii="宋体" w:hAnsi="宋体"/>
                <w:sz w:val="21"/>
                <w:szCs w:val="21"/>
              </w:rPr>
              <w:t>Cl</w:t>
            </w:r>
            <w:r>
              <w:rPr>
                <w:rFonts w:ascii="宋体" w:hAnsi="宋体"/>
                <w:sz w:val="21"/>
                <w:szCs w:val="21"/>
                <w:vertAlign w:val="superscript"/>
              </w:rPr>
              <w:t>-</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0.0065</w:t>
            </w:r>
          </w:p>
        </w:tc>
        <w:tc>
          <w:tcPr>
            <w:tcW w:w="105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0.009</w:t>
            </w:r>
          </w:p>
        </w:tc>
        <w:tc>
          <w:tcPr>
            <w:tcW w:w="136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0.0058</w:t>
            </w:r>
          </w:p>
        </w:tc>
        <w:tc>
          <w:tcPr>
            <w:tcW w:w="1260" w:type="dxa"/>
            <w:noWrap w:val="0"/>
            <w:vAlign w:val="center"/>
          </w:tcPr>
          <w:p>
            <w:pPr>
              <w:spacing w:line="360" w:lineRule="exact"/>
              <w:jc w:val="center"/>
              <w:rPr>
                <w:rFonts w:hint="eastAsia" w:ascii="宋体" w:hAnsi="宋体"/>
                <w:sz w:val="21"/>
                <w:szCs w:val="21"/>
              </w:rPr>
            </w:pPr>
            <w:r>
              <w:rPr>
                <w:rFonts w:hint="eastAsia" w:ascii="宋体" w:hAnsi="宋体"/>
                <w:sz w:val="21"/>
                <w:szCs w:val="21"/>
              </w:rPr>
              <w:t>0.009</w:t>
            </w:r>
          </w:p>
        </w:tc>
        <w:tc>
          <w:tcPr>
            <w:tcW w:w="1155" w:type="dxa"/>
            <w:noWrap w:val="0"/>
            <w:vAlign w:val="center"/>
          </w:tcPr>
          <w:p>
            <w:pPr>
              <w:spacing w:line="360" w:lineRule="exact"/>
              <w:jc w:val="center"/>
              <w:rPr>
                <w:rFonts w:hint="eastAsia" w:ascii="宋体" w:hAnsi="宋体"/>
                <w:sz w:val="21"/>
                <w:szCs w:val="21"/>
              </w:rPr>
            </w:pPr>
            <w:r>
              <w:rPr>
                <w:rFonts w:hint="eastAsia" w:ascii="宋体" w:hAnsi="宋体"/>
                <w:sz w:val="21"/>
                <w:szCs w:val="21"/>
              </w:rPr>
              <w:t>/</w:t>
            </w:r>
          </w:p>
        </w:tc>
      </w:tr>
    </w:tbl>
    <w:p>
      <w:pPr>
        <w:spacing w:line="480" w:lineRule="exact"/>
        <w:jc w:val="center"/>
        <w:rPr>
          <w:rFonts w:hint="eastAsia" w:ascii="宋体" w:hAnsi="宋体"/>
          <w:b/>
        </w:rPr>
      </w:pPr>
    </w:p>
    <w:p>
      <w:pPr>
        <w:spacing w:line="480" w:lineRule="exact"/>
        <w:jc w:val="center"/>
        <w:rPr>
          <w:rFonts w:hint="eastAsia" w:ascii="宋体" w:hAnsi="宋体"/>
          <w:b/>
        </w:rPr>
      </w:pPr>
      <w:r>
        <w:rPr>
          <w:rFonts w:hint="eastAsia" w:ascii="宋体" w:hAnsi="宋体"/>
          <w:b/>
        </w:rPr>
        <w:t>表3-7   技改项目原料配比、理论料耗</w:t>
      </w:r>
    </w:p>
    <w:tbl>
      <w:tblPr>
        <w:tblStyle w:val="20"/>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2907"/>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vMerge w:val="restart"/>
            <w:noWrap w:val="0"/>
            <w:vAlign w:val="center"/>
          </w:tcPr>
          <w:p>
            <w:pPr>
              <w:spacing w:line="280" w:lineRule="exact"/>
              <w:rPr>
                <w:sz w:val="21"/>
                <w:szCs w:val="21"/>
              </w:rPr>
            </w:pPr>
            <w:r>
              <w:rPr>
                <w:sz w:val="21"/>
                <w:szCs w:val="21"/>
              </w:rPr>
              <w:t>物料名称</w:t>
            </w:r>
          </w:p>
        </w:tc>
        <w:tc>
          <w:tcPr>
            <w:tcW w:w="1980" w:type="dxa"/>
            <w:vMerge w:val="restart"/>
            <w:noWrap w:val="0"/>
            <w:vAlign w:val="center"/>
          </w:tcPr>
          <w:p>
            <w:pPr>
              <w:spacing w:line="280" w:lineRule="exact"/>
              <w:rPr>
                <w:sz w:val="21"/>
                <w:szCs w:val="21"/>
              </w:rPr>
            </w:pPr>
            <w:r>
              <w:rPr>
                <w:sz w:val="21"/>
                <w:szCs w:val="21"/>
              </w:rPr>
              <w:t>干基配比（％）</w:t>
            </w:r>
          </w:p>
        </w:tc>
        <w:tc>
          <w:tcPr>
            <w:tcW w:w="4680" w:type="dxa"/>
            <w:gridSpan w:val="2"/>
            <w:noWrap w:val="0"/>
            <w:vAlign w:val="center"/>
          </w:tcPr>
          <w:p>
            <w:pPr>
              <w:spacing w:line="280" w:lineRule="exact"/>
              <w:rPr>
                <w:sz w:val="21"/>
                <w:szCs w:val="21"/>
              </w:rPr>
            </w:pPr>
            <w:r>
              <w:rPr>
                <w:sz w:val="21"/>
                <w:szCs w:val="21"/>
              </w:rPr>
              <w:t>每吨熟料消耗定额（kg/t）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vMerge w:val="continue"/>
            <w:noWrap w:val="0"/>
            <w:vAlign w:val="center"/>
          </w:tcPr>
          <w:p>
            <w:pPr>
              <w:spacing w:line="280" w:lineRule="exact"/>
              <w:rPr>
                <w:sz w:val="21"/>
                <w:szCs w:val="21"/>
              </w:rPr>
            </w:pPr>
          </w:p>
        </w:tc>
        <w:tc>
          <w:tcPr>
            <w:tcW w:w="1980" w:type="dxa"/>
            <w:vMerge w:val="continue"/>
            <w:noWrap w:val="0"/>
            <w:vAlign w:val="center"/>
          </w:tcPr>
          <w:p>
            <w:pPr>
              <w:spacing w:line="280" w:lineRule="exact"/>
              <w:rPr>
                <w:sz w:val="21"/>
                <w:szCs w:val="21"/>
              </w:rPr>
            </w:pPr>
          </w:p>
        </w:tc>
        <w:tc>
          <w:tcPr>
            <w:tcW w:w="2907" w:type="dxa"/>
            <w:noWrap w:val="0"/>
            <w:vAlign w:val="center"/>
          </w:tcPr>
          <w:p>
            <w:pPr>
              <w:spacing w:line="280" w:lineRule="exact"/>
              <w:rPr>
                <w:sz w:val="21"/>
                <w:szCs w:val="21"/>
              </w:rPr>
            </w:pPr>
            <w:r>
              <w:rPr>
                <w:sz w:val="21"/>
                <w:szCs w:val="21"/>
              </w:rPr>
              <w:t>干基物料</w:t>
            </w:r>
          </w:p>
        </w:tc>
        <w:tc>
          <w:tcPr>
            <w:tcW w:w="1773" w:type="dxa"/>
            <w:noWrap w:val="0"/>
            <w:vAlign w:val="center"/>
          </w:tcPr>
          <w:p>
            <w:pPr>
              <w:spacing w:line="280" w:lineRule="exact"/>
              <w:rPr>
                <w:sz w:val="21"/>
                <w:szCs w:val="21"/>
              </w:rPr>
            </w:pPr>
            <w:r>
              <w:rPr>
                <w:sz w:val="21"/>
                <w:szCs w:val="21"/>
              </w:rPr>
              <w:t>含天然水份物料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0"/>
            <w:vAlign w:val="center"/>
          </w:tcPr>
          <w:p>
            <w:pPr>
              <w:spacing w:line="280" w:lineRule="exact"/>
              <w:rPr>
                <w:sz w:val="21"/>
                <w:szCs w:val="21"/>
              </w:rPr>
            </w:pPr>
            <w:r>
              <w:rPr>
                <w:sz w:val="21"/>
                <w:szCs w:val="21"/>
              </w:rPr>
              <w:t>石灰石</w:t>
            </w:r>
          </w:p>
        </w:tc>
        <w:tc>
          <w:tcPr>
            <w:tcW w:w="1980" w:type="dxa"/>
            <w:noWrap w:val="0"/>
            <w:vAlign w:val="center"/>
          </w:tcPr>
          <w:p>
            <w:pPr>
              <w:spacing w:line="280" w:lineRule="exact"/>
              <w:rPr>
                <w:sz w:val="21"/>
                <w:szCs w:val="21"/>
              </w:rPr>
            </w:pPr>
            <w:r>
              <w:rPr>
                <w:sz w:val="21"/>
                <w:szCs w:val="21"/>
              </w:rPr>
              <w:t>85.67</w:t>
            </w:r>
          </w:p>
        </w:tc>
        <w:tc>
          <w:tcPr>
            <w:tcW w:w="2907" w:type="dxa"/>
            <w:noWrap w:val="0"/>
            <w:vAlign w:val="center"/>
          </w:tcPr>
          <w:p>
            <w:pPr>
              <w:spacing w:line="280" w:lineRule="exact"/>
              <w:rPr>
                <w:sz w:val="21"/>
                <w:szCs w:val="21"/>
              </w:rPr>
            </w:pPr>
            <w:r>
              <w:rPr>
                <w:sz w:val="21"/>
                <w:szCs w:val="21"/>
              </w:rPr>
              <w:t>1301.30</w:t>
            </w:r>
          </w:p>
        </w:tc>
        <w:tc>
          <w:tcPr>
            <w:tcW w:w="1773" w:type="dxa"/>
            <w:noWrap w:val="0"/>
            <w:vAlign w:val="center"/>
          </w:tcPr>
          <w:p>
            <w:pPr>
              <w:spacing w:line="280" w:lineRule="exact"/>
              <w:rPr>
                <w:sz w:val="21"/>
                <w:szCs w:val="21"/>
              </w:rPr>
            </w:pPr>
            <w:r>
              <w:rPr>
                <w:sz w:val="21"/>
                <w:szCs w:val="21"/>
              </w:rPr>
              <w:t>1314.44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0"/>
            <w:vAlign w:val="center"/>
          </w:tcPr>
          <w:p>
            <w:pPr>
              <w:spacing w:line="280" w:lineRule="exact"/>
              <w:rPr>
                <w:sz w:val="21"/>
                <w:szCs w:val="21"/>
              </w:rPr>
            </w:pPr>
            <w:r>
              <w:rPr>
                <w:sz w:val="21"/>
                <w:szCs w:val="21"/>
              </w:rPr>
              <w:t>砂岩</w:t>
            </w:r>
          </w:p>
        </w:tc>
        <w:tc>
          <w:tcPr>
            <w:tcW w:w="1980" w:type="dxa"/>
            <w:noWrap w:val="0"/>
            <w:vAlign w:val="center"/>
          </w:tcPr>
          <w:p>
            <w:pPr>
              <w:spacing w:line="280" w:lineRule="exact"/>
              <w:rPr>
                <w:sz w:val="21"/>
                <w:szCs w:val="21"/>
              </w:rPr>
            </w:pPr>
            <w:r>
              <w:rPr>
                <w:sz w:val="21"/>
                <w:szCs w:val="21"/>
              </w:rPr>
              <w:t>5.67</w:t>
            </w:r>
          </w:p>
        </w:tc>
        <w:tc>
          <w:tcPr>
            <w:tcW w:w="2907" w:type="dxa"/>
            <w:noWrap w:val="0"/>
            <w:vAlign w:val="center"/>
          </w:tcPr>
          <w:p>
            <w:pPr>
              <w:spacing w:line="280" w:lineRule="exact"/>
              <w:rPr>
                <w:sz w:val="21"/>
                <w:szCs w:val="21"/>
              </w:rPr>
            </w:pPr>
            <w:r>
              <w:rPr>
                <w:sz w:val="21"/>
                <w:szCs w:val="21"/>
              </w:rPr>
              <w:t>86.04</w:t>
            </w:r>
          </w:p>
        </w:tc>
        <w:tc>
          <w:tcPr>
            <w:tcW w:w="1773" w:type="dxa"/>
            <w:noWrap w:val="0"/>
            <w:vAlign w:val="center"/>
          </w:tcPr>
          <w:p>
            <w:pPr>
              <w:spacing w:line="280" w:lineRule="exact"/>
              <w:rPr>
                <w:sz w:val="21"/>
                <w:szCs w:val="21"/>
              </w:rPr>
            </w:pPr>
            <w:r>
              <w:rPr>
                <w:sz w:val="21"/>
                <w:szCs w:val="21"/>
              </w:rPr>
              <w:t>86.90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0"/>
            <w:vAlign w:val="center"/>
          </w:tcPr>
          <w:p>
            <w:pPr>
              <w:spacing w:line="280" w:lineRule="exact"/>
              <w:rPr>
                <w:sz w:val="21"/>
                <w:szCs w:val="21"/>
              </w:rPr>
            </w:pPr>
            <w:r>
              <w:rPr>
                <w:sz w:val="21"/>
                <w:szCs w:val="21"/>
              </w:rPr>
              <w:t>煤矸石</w:t>
            </w:r>
          </w:p>
        </w:tc>
        <w:tc>
          <w:tcPr>
            <w:tcW w:w="1980" w:type="dxa"/>
            <w:noWrap w:val="0"/>
            <w:vAlign w:val="center"/>
          </w:tcPr>
          <w:p>
            <w:pPr>
              <w:spacing w:line="280" w:lineRule="exact"/>
              <w:rPr>
                <w:sz w:val="21"/>
                <w:szCs w:val="21"/>
              </w:rPr>
            </w:pPr>
            <w:r>
              <w:rPr>
                <w:sz w:val="21"/>
                <w:szCs w:val="21"/>
              </w:rPr>
              <w:t>7.44</w:t>
            </w:r>
          </w:p>
        </w:tc>
        <w:tc>
          <w:tcPr>
            <w:tcW w:w="2907" w:type="dxa"/>
            <w:noWrap w:val="0"/>
            <w:vAlign w:val="center"/>
          </w:tcPr>
          <w:p>
            <w:pPr>
              <w:spacing w:line="280" w:lineRule="exact"/>
              <w:rPr>
                <w:sz w:val="21"/>
                <w:szCs w:val="21"/>
              </w:rPr>
            </w:pPr>
            <w:r>
              <w:rPr>
                <w:sz w:val="21"/>
                <w:szCs w:val="21"/>
              </w:rPr>
              <w:t>112.89</w:t>
            </w:r>
          </w:p>
        </w:tc>
        <w:tc>
          <w:tcPr>
            <w:tcW w:w="1773" w:type="dxa"/>
            <w:noWrap w:val="0"/>
            <w:vAlign w:val="center"/>
          </w:tcPr>
          <w:p>
            <w:pPr>
              <w:spacing w:line="280" w:lineRule="exact"/>
              <w:rPr>
                <w:sz w:val="21"/>
                <w:szCs w:val="21"/>
              </w:rPr>
            </w:pPr>
            <w:r>
              <w:rPr>
                <w:sz w:val="21"/>
                <w:szCs w:val="21"/>
              </w:rPr>
              <w:t>118.83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0"/>
            <w:vAlign w:val="center"/>
          </w:tcPr>
          <w:p>
            <w:pPr>
              <w:spacing w:line="280" w:lineRule="exact"/>
              <w:rPr>
                <w:sz w:val="21"/>
                <w:szCs w:val="21"/>
              </w:rPr>
            </w:pPr>
            <w:r>
              <w:rPr>
                <w:sz w:val="21"/>
                <w:szCs w:val="21"/>
              </w:rPr>
              <w:t>硫酸渣</w:t>
            </w:r>
          </w:p>
        </w:tc>
        <w:tc>
          <w:tcPr>
            <w:tcW w:w="1980" w:type="dxa"/>
            <w:noWrap w:val="0"/>
            <w:vAlign w:val="center"/>
          </w:tcPr>
          <w:p>
            <w:pPr>
              <w:spacing w:line="280" w:lineRule="exact"/>
              <w:rPr>
                <w:sz w:val="21"/>
                <w:szCs w:val="21"/>
              </w:rPr>
            </w:pPr>
            <w:r>
              <w:rPr>
                <w:sz w:val="21"/>
                <w:szCs w:val="21"/>
              </w:rPr>
              <w:t>1.13</w:t>
            </w:r>
          </w:p>
        </w:tc>
        <w:tc>
          <w:tcPr>
            <w:tcW w:w="2907" w:type="dxa"/>
            <w:noWrap w:val="0"/>
            <w:vAlign w:val="center"/>
          </w:tcPr>
          <w:p>
            <w:pPr>
              <w:spacing w:line="280" w:lineRule="exact"/>
              <w:rPr>
                <w:sz w:val="21"/>
                <w:szCs w:val="21"/>
              </w:rPr>
            </w:pPr>
            <w:r>
              <w:rPr>
                <w:sz w:val="21"/>
                <w:szCs w:val="21"/>
              </w:rPr>
              <w:t>17.15</w:t>
            </w:r>
          </w:p>
        </w:tc>
        <w:tc>
          <w:tcPr>
            <w:tcW w:w="1773" w:type="dxa"/>
            <w:noWrap w:val="0"/>
            <w:vAlign w:val="center"/>
          </w:tcPr>
          <w:p>
            <w:pPr>
              <w:spacing w:line="280" w:lineRule="exact"/>
              <w:rPr>
                <w:sz w:val="21"/>
                <w:szCs w:val="21"/>
              </w:rPr>
            </w:pPr>
            <w:r>
              <w:rPr>
                <w:sz w:val="21"/>
                <w:szCs w:val="21"/>
              </w:rPr>
              <w:t>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40" w:type="dxa"/>
            <w:noWrap w:val="0"/>
            <w:vAlign w:val="center"/>
          </w:tcPr>
          <w:p>
            <w:pPr>
              <w:spacing w:line="280" w:lineRule="exact"/>
              <w:rPr>
                <w:sz w:val="21"/>
                <w:szCs w:val="21"/>
              </w:rPr>
            </w:pPr>
            <w:r>
              <w:rPr>
                <w:sz w:val="21"/>
                <w:szCs w:val="21"/>
              </w:rPr>
              <w:t>生料</w:t>
            </w:r>
          </w:p>
        </w:tc>
        <w:tc>
          <w:tcPr>
            <w:tcW w:w="1980" w:type="dxa"/>
            <w:noWrap w:val="0"/>
            <w:vAlign w:val="center"/>
          </w:tcPr>
          <w:p>
            <w:pPr>
              <w:spacing w:line="280" w:lineRule="exact"/>
              <w:rPr>
                <w:sz w:val="21"/>
                <w:szCs w:val="21"/>
              </w:rPr>
            </w:pPr>
          </w:p>
        </w:tc>
        <w:tc>
          <w:tcPr>
            <w:tcW w:w="2907" w:type="dxa"/>
            <w:noWrap w:val="0"/>
            <w:vAlign w:val="center"/>
          </w:tcPr>
          <w:p>
            <w:pPr>
              <w:spacing w:line="280" w:lineRule="exact"/>
              <w:rPr>
                <w:sz w:val="21"/>
                <w:szCs w:val="21"/>
              </w:rPr>
            </w:pPr>
            <w:r>
              <w:rPr>
                <w:sz w:val="21"/>
                <w:szCs w:val="21"/>
              </w:rPr>
              <w:t>1517.37</w:t>
            </w:r>
          </w:p>
        </w:tc>
        <w:tc>
          <w:tcPr>
            <w:tcW w:w="1773" w:type="dxa"/>
            <w:noWrap w:val="0"/>
            <w:vAlign w:val="center"/>
          </w:tcPr>
          <w:p>
            <w:pPr>
              <w:spacing w:line="280" w:lineRule="exact"/>
              <w:rPr>
                <w:sz w:val="21"/>
                <w:szCs w:val="21"/>
              </w:rPr>
            </w:pPr>
          </w:p>
        </w:tc>
      </w:tr>
    </w:tbl>
    <w:p>
      <w:pPr>
        <w:spacing w:line="480" w:lineRule="exact"/>
        <w:ind w:firstLine="420" w:firstLineChars="200"/>
        <w:rPr>
          <w:rFonts w:hint="eastAsia" w:ascii="宋体" w:hAnsi="宋体"/>
        </w:rPr>
      </w:pPr>
      <w:bookmarkStart w:id="110" w:name="_Toc175479790"/>
      <w:bookmarkStart w:id="111" w:name="_Toc165607347"/>
    </w:p>
    <w:p>
      <w:pPr>
        <w:spacing w:line="480" w:lineRule="exact"/>
        <w:jc w:val="center"/>
        <w:rPr>
          <w:rFonts w:hint="eastAsia" w:ascii="宋体" w:hAnsi="宋体"/>
          <w:b/>
        </w:rPr>
      </w:pPr>
      <w:r>
        <w:rPr>
          <w:rFonts w:hint="eastAsia" w:ascii="宋体" w:hAnsi="宋体"/>
          <w:b/>
        </w:rPr>
        <w:t>表3-6    煤矸石、 燃煤的工业分析  （</w:t>
      </w:r>
      <w:r>
        <w:rPr>
          <w:rFonts w:ascii="宋体" w:hAnsi="宋体"/>
          <w:b/>
        </w:rPr>
        <w:t>%</w:t>
      </w:r>
      <w:r>
        <w:rPr>
          <w:rFonts w:hint="eastAsia" w:ascii="宋体" w:hAnsi="宋体"/>
          <w:b/>
        </w:rPr>
        <w:t>）</w:t>
      </w:r>
    </w:p>
    <w:tbl>
      <w:tblPr>
        <w:tblStyle w:val="20"/>
        <w:tblW w:w="5800" w:type="dxa"/>
        <w:jc w:val="center"/>
        <w:tblLayout w:type="fixed"/>
        <w:tblCellMar>
          <w:top w:w="0" w:type="dxa"/>
          <w:left w:w="30" w:type="dxa"/>
          <w:bottom w:w="0" w:type="dxa"/>
          <w:right w:w="30" w:type="dxa"/>
        </w:tblCellMar>
      </w:tblPr>
      <w:tblGrid>
        <w:gridCol w:w="1079"/>
        <w:gridCol w:w="721"/>
        <w:gridCol w:w="1155"/>
        <w:gridCol w:w="1155"/>
        <w:gridCol w:w="1690"/>
      </w:tblGrid>
      <w:tr>
        <w:tblPrEx>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hAnsi="宋体"/>
                <w:snapToGrid w:val="0"/>
                <w:kern w:val="0"/>
                <w:sz w:val="21"/>
                <w:szCs w:val="21"/>
              </w:rPr>
            </w:pPr>
            <w:r>
              <w:rPr>
                <w:rFonts w:hint="eastAsia" w:ascii="宋体" w:hAnsi="宋体"/>
                <w:sz w:val="21"/>
                <w:szCs w:val="21"/>
              </w:rPr>
              <w:t>物料名称</w:t>
            </w:r>
          </w:p>
        </w:tc>
        <w:tc>
          <w:tcPr>
            <w:tcW w:w="72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ascii="宋体" w:hAnsi="宋体"/>
                <w:snapToGrid w:val="0"/>
                <w:kern w:val="0"/>
                <w:sz w:val="21"/>
                <w:szCs w:val="21"/>
              </w:rPr>
              <w:t>Mad</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hAnsi="宋体"/>
                <w:sz w:val="21"/>
                <w:szCs w:val="21"/>
              </w:rPr>
            </w:pPr>
            <w:r>
              <w:rPr>
                <w:rFonts w:ascii="宋体" w:hAnsi="宋体"/>
                <w:snapToGrid w:val="0"/>
                <w:kern w:val="0"/>
                <w:sz w:val="21"/>
                <w:szCs w:val="21"/>
              </w:rPr>
              <w:t>Aad</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hAnsi="宋体"/>
                <w:sz w:val="21"/>
                <w:szCs w:val="21"/>
              </w:rPr>
            </w:pPr>
            <w:r>
              <w:rPr>
                <w:rFonts w:ascii="宋体" w:hAnsi="宋体"/>
                <w:snapToGrid w:val="0"/>
                <w:kern w:val="0"/>
                <w:sz w:val="21"/>
                <w:szCs w:val="21"/>
              </w:rPr>
              <w:t>Stad</w:t>
            </w:r>
          </w:p>
        </w:tc>
        <w:tc>
          <w:tcPr>
            <w:tcW w:w="169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hAnsi="宋体"/>
                <w:sz w:val="21"/>
                <w:szCs w:val="21"/>
              </w:rPr>
            </w:pPr>
            <w:r>
              <w:rPr>
                <w:rFonts w:ascii="宋体" w:hAnsi="宋体"/>
                <w:sz w:val="21"/>
                <w:szCs w:val="21"/>
              </w:rPr>
              <w:t>Qnet.ad(</w:t>
            </w:r>
            <w:r>
              <w:rPr>
                <w:rFonts w:hint="eastAsia" w:ascii="宋体" w:hAnsi="宋体"/>
                <w:sz w:val="21"/>
                <w:szCs w:val="21"/>
              </w:rPr>
              <w:t>M</w:t>
            </w:r>
            <w:r>
              <w:rPr>
                <w:rFonts w:ascii="宋体" w:hAnsi="宋体"/>
                <w:sz w:val="21"/>
                <w:szCs w:val="21"/>
              </w:rPr>
              <w:t>J/kg)</w:t>
            </w:r>
          </w:p>
        </w:tc>
      </w:tr>
      <w:tr>
        <w:tblPrEx>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煤矸石</w:t>
            </w:r>
          </w:p>
        </w:tc>
        <w:tc>
          <w:tcPr>
            <w:tcW w:w="72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1.33</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76.01</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0.59</w:t>
            </w:r>
          </w:p>
        </w:tc>
        <w:tc>
          <w:tcPr>
            <w:tcW w:w="169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5.97</w:t>
            </w:r>
          </w:p>
        </w:tc>
      </w:tr>
      <w:tr>
        <w:tblPrEx>
          <w:tblCellMar>
            <w:top w:w="0" w:type="dxa"/>
            <w:left w:w="30" w:type="dxa"/>
            <w:bottom w:w="0" w:type="dxa"/>
            <w:right w:w="30" w:type="dxa"/>
          </w:tblCellMar>
        </w:tblPrEx>
        <w:trPr>
          <w:trHeight w:val="375" w:hRule="atLeast"/>
          <w:jc w:val="center"/>
        </w:trPr>
        <w:tc>
          <w:tcPr>
            <w:tcW w:w="107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煤</w:t>
            </w:r>
          </w:p>
        </w:tc>
        <w:tc>
          <w:tcPr>
            <w:tcW w:w="72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2.01</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30.82</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1.22</w:t>
            </w:r>
          </w:p>
        </w:tc>
        <w:tc>
          <w:tcPr>
            <w:tcW w:w="169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napToGrid w:val="0"/>
                <w:kern w:val="0"/>
                <w:sz w:val="21"/>
                <w:szCs w:val="21"/>
              </w:rPr>
            </w:pPr>
            <w:r>
              <w:rPr>
                <w:rFonts w:hint="eastAsia" w:ascii="宋体" w:hAnsi="宋体"/>
                <w:snapToGrid w:val="0"/>
                <w:kern w:val="0"/>
                <w:sz w:val="21"/>
                <w:szCs w:val="21"/>
              </w:rPr>
              <w:t>20.91</w:t>
            </w:r>
          </w:p>
        </w:tc>
      </w:tr>
    </w:tbl>
    <w:p>
      <w:pPr>
        <w:spacing w:line="480" w:lineRule="exact"/>
        <w:jc w:val="center"/>
        <w:rPr>
          <w:rFonts w:hint="eastAsia" w:ascii="宋体" w:hAnsi="宋体"/>
          <w:b/>
        </w:rPr>
      </w:pPr>
    </w:p>
    <w:p>
      <w:pPr>
        <w:spacing w:line="480" w:lineRule="exact"/>
        <w:ind w:firstLine="420" w:firstLineChars="200"/>
        <w:rPr>
          <w:rFonts w:hint="eastAsia" w:ascii="宋体" w:hAnsi="宋体"/>
        </w:rPr>
      </w:pPr>
      <w:r>
        <w:rPr>
          <w:rFonts w:hint="eastAsia" w:ascii="宋体" w:hAnsi="宋体"/>
        </w:rPr>
        <w:t>水泥年生产时间约310天（7440小时），余热发电300天（7200小时）。</w:t>
      </w:r>
    </w:p>
    <w:p>
      <w:pPr>
        <w:spacing w:line="480" w:lineRule="exact"/>
        <w:ind w:firstLine="420" w:firstLineChars="200"/>
        <w:rPr>
          <w:rFonts w:hint="eastAsia" w:ascii="宋体" w:hAnsi="宋体"/>
        </w:rPr>
      </w:pPr>
      <w:r>
        <w:rPr>
          <w:rFonts w:hint="eastAsia" w:ascii="宋体" w:hAnsi="宋体"/>
        </w:rPr>
        <w:t>水泥和余热发电生产系统及与生产紧密相关的辅助生产部门按四班三运转（三班生产，一班替换）24小时连续生产，管理及一般辅助部门全部实行白班8小时工作制。</w:t>
      </w:r>
    </w:p>
    <w:p>
      <w:pPr>
        <w:spacing w:line="360" w:lineRule="auto"/>
        <w:outlineLvl w:val="2"/>
        <w:rPr>
          <w:rFonts w:hint="eastAsia"/>
          <w:b/>
          <w:bCs/>
          <w:szCs w:val="20"/>
        </w:rPr>
      </w:pPr>
      <w:bookmarkStart w:id="112" w:name="_Toc473281494"/>
      <w:bookmarkStart w:id="113" w:name="_Toc189814136"/>
      <w:r>
        <w:rPr>
          <w:rFonts w:hint="eastAsia"/>
          <w:b/>
          <w:bCs/>
          <w:szCs w:val="20"/>
        </w:rPr>
        <w:t>3.1</w:t>
      </w:r>
      <w:r>
        <w:rPr>
          <w:b/>
          <w:bCs/>
          <w:szCs w:val="20"/>
        </w:rPr>
        <w:t>.</w:t>
      </w:r>
      <w:r>
        <w:rPr>
          <w:rFonts w:hint="eastAsia"/>
          <w:b/>
          <w:bCs/>
          <w:szCs w:val="20"/>
        </w:rPr>
        <w:t>8投资及资金来源、建设周期</w:t>
      </w:r>
      <w:bookmarkEnd w:id="110"/>
      <w:bookmarkEnd w:id="111"/>
      <w:bookmarkEnd w:id="112"/>
      <w:bookmarkEnd w:id="113"/>
    </w:p>
    <w:p>
      <w:pPr>
        <w:spacing w:line="480" w:lineRule="exact"/>
        <w:ind w:firstLine="420" w:firstLineChars="200"/>
        <w:rPr>
          <w:rFonts w:hint="eastAsia" w:ascii="宋体" w:hAnsi="宋体"/>
        </w:rPr>
      </w:pPr>
      <w:r>
        <w:rPr>
          <w:rFonts w:hint="eastAsia" w:ascii="宋体" w:hAnsi="宋体"/>
        </w:rPr>
        <w:t>技改项目总投资</w:t>
      </w:r>
      <w:r>
        <w:rPr>
          <w:rFonts w:hint="eastAsia" w:ascii="宋体" w:hAnsi="宋体"/>
          <w:spacing w:val="-2"/>
        </w:rPr>
        <w:t>36060.87</w:t>
      </w:r>
      <w:r>
        <w:rPr>
          <w:rFonts w:hint="eastAsia" w:ascii="宋体" w:hAnsi="宋体"/>
        </w:rPr>
        <w:t>万元。</w:t>
      </w:r>
    </w:p>
    <w:p>
      <w:pPr>
        <w:spacing w:line="480" w:lineRule="exact"/>
        <w:ind w:firstLine="420" w:firstLineChars="200"/>
        <w:rPr>
          <w:rFonts w:hint="eastAsia"/>
        </w:rPr>
      </w:pPr>
      <w:r>
        <w:rPr>
          <w:rFonts w:hint="eastAsia" w:ascii="宋体" w:hAnsi="宋体"/>
        </w:rPr>
        <w:t>建设周期：1.0年。</w:t>
      </w:r>
    </w:p>
    <w:p>
      <w:pPr>
        <w:spacing w:line="360" w:lineRule="auto"/>
        <w:outlineLvl w:val="2"/>
        <w:rPr>
          <w:rFonts w:hint="eastAsia"/>
          <w:b/>
          <w:bCs/>
          <w:szCs w:val="20"/>
        </w:rPr>
      </w:pPr>
      <w:bookmarkStart w:id="114" w:name="_Toc189814137"/>
      <w:bookmarkStart w:id="115" w:name="_Toc165607348"/>
      <w:bookmarkStart w:id="116" w:name="_Toc473281495"/>
      <w:bookmarkStart w:id="117" w:name="_Toc175479791"/>
      <w:bookmarkStart w:id="118" w:name="_Toc129763703"/>
      <w:r>
        <w:rPr>
          <w:rFonts w:hint="eastAsia"/>
          <w:b/>
          <w:bCs/>
          <w:szCs w:val="20"/>
        </w:rPr>
        <w:t>3.1</w:t>
      </w:r>
      <w:r>
        <w:rPr>
          <w:b/>
          <w:bCs/>
          <w:szCs w:val="20"/>
        </w:rPr>
        <w:t>.</w:t>
      </w:r>
      <w:r>
        <w:rPr>
          <w:rFonts w:hint="eastAsia"/>
          <w:b/>
          <w:bCs/>
          <w:szCs w:val="20"/>
        </w:rPr>
        <w:t>9项目占地及布置</w:t>
      </w:r>
      <w:bookmarkEnd w:id="114"/>
      <w:bookmarkEnd w:id="115"/>
      <w:bookmarkEnd w:id="116"/>
      <w:bookmarkEnd w:id="117"/>
      <w:bookmarkEnd w:id="118"/>
    </w:p>
    <w:p>
      <w:pPr>
        <w:spacing w:line="360" w:lineRule="auto"/>
        <w:ind w:firstLine="420" w:firstLineChars="200"/>
        <w:rPr>
          <w:rFonts w:ascii="宋体" w:hAnsi="宋体"/>
          <w:kern w:val="0"/>
        </w:rPr>
      </w:pPr>
      <w:r>
        <w:rPr>
          <w:rFonts w:hint="eastAsia" w:ascii="宋体" w:hAnsi="宋体"/>
        </w:rPr>
        <w:t>技改项目</w:t>
      </w:r>
      <w:r>
        <w:rPr>
          <w:rFonts w:ascii="宋体" w:hAnsi="宋体"/>
          <w:kern w:val="0"/>
        </w:rPr>
        <w:t>建设场地为</w:t>
      </w:r>
      <w:r>
        <w:rPr>
          <w:rFonts w:ascii="宋体" w:hAnsi="宋体"/>
        </w:rPr>
        <w:t>永荣青鹏水泥</w:t>
      </w:r>
      <w:r>
        <w:rPr>
          <w:rFonts w:hint="eastAsia" w:ascii="宋体" w:hAnsi="宋体"/>
        </w:rPr>
        <w:t>厂</w:t>
      </w:r>
      <w:r>
        <w:rPr>
          <w:rFonts w:ascii="宋体" w:hAnsi="宋体"/>
        </w:rPr>
        <w:t>现有立窑水泥生产厂区内，总面积约7万㎡。</w:t>
      </w:r>
      <w:r>
        <w:rPr>
          <w:rFonts w:ascii="宋体" w:hAnsi="宋体"/>
          <w:kern w:val="0"/>
        </w:rPr>
        <w:t>该</w:t>
      </w:r>
      <w:r>
        <w:rPr>
          <w:rFonts w:ascii="宋体" w:hAnsi="宋体"/>
        </w:rPr>
        <w:t>项目</w:t>
      </w:r>
      <w:r>
        <w:rPr>
          <w:rFonts w:ascii="宋体" w:hAnsi="宋体"/>
          <w:kern w:val="0"/>
        </w:rPr>
        <w:t>建设场</w:t>
      </w:r>
      <w:r>
        <w:rPr>
          <w:rFonts w:hint="eastAsia" w:ascii="宋体" w:hAnsi="宋体"/>
          <w:kern w:val="0"/>
        </w:rPr>
        <w:t>地</w:t>
      </w:r>
      <w:r>
        <w:rPr>
          <w:rFonts w:ascii="宋体" w:hAnsi="宋体"/>
          <w:kern w:val="0"/>
        </w:rPr>
        <w:t>高差约38</w:t>
      </w:r>
      <w:r>
        <w:rPr>
          <w:rFonts w:hint="eastAsia" w:ascii="宋体" w:hAnsi="宋体"/>
          <w:kern w:val="0"/>
        </w:rPr>
        <w:t>m</w:t>
      </w:r>
      <w:r>
        <w:rPr>
          <w:rFonts w:ascii="宋体" w:hAnsi="宋体"/>
          <w:kern w:val="0"/>
        </w:rPr>
        <w:t>。建设场地地质条件良好，基岩埋深较浅，承载力高，无断层等不良地质。</w:t>
      </w:r>
    </w:p>
    <w:p>
      <w:pPr>
        <w:spacing w:line="360" w:lineRule="auto"/>
        <w:ind w:firstLine="420" w:firstLineChars="200"/>
        <w:rPr>
          <w:rFonts w:ascii="宋体" w:hAnsi="宋体"/>
        </w:rPr>
      </w:pPr>
      <w:r>
        <w:rPr>
          <w:rFonts w:hint="eastAsia" w:ascii="宋体" w:hAnsi="宋体"/>
        </w:rPr>
        <w:t>技改项目</w:t>
      </w:r>
      <w:r>
        <w:rPr>
          <w:rFonts w:ascii="宋体" w:hAnsi="宋体"/>
        </w:rPr>
        <w:t>总体布置可分三个功能区:即石灰石卸料及均化区、原燃料储存及配料区、主生产区。三个功能区概述如下:</w:t>
      </w:r>
    </w:p>
    <w:p>
      <w:pPr>
        <w:spacing w:line="360" w:lineRule="auto"/>
        <w:ind w:firstLine="420" w:firstLineChars="200"/>
        <w:rPr>
          <w:rFonts w:ascii="宋体" w:hAnsi="宋体"/>
        </w:rPr>
      </w:pPr>
      <w:r>
        <w:rPr>
          <w:rFonts w:ascii="宋体" w:hAnsi="宋体"/>
        </w:rPr>
        <w:t>（1）石灰石卸料及均化区包括地磅、石灰石卸车坑、石灰石均化堆场。石灰石卸料及均化区位于厂区</w:t>
      </w:r>
      <w:r>
        <w:rPr>
          <w:rFonts w:hint="eastAsia" w:ascii="宋体" w:hAnsi="宋体"/>
        </w:rPr>
        <w:t>南</w:t>
      </w:r>
      <w:r>
        <w:rPr>
          <w:rFonts w:ascii="宋体" w:hAnsi="宋体"/>
        </w:rPr>
        <w:t>侧，现有10</w:t>
      </w:r>
      <w:r>
        <w:rPr>
          <w:rFonts w:hint="eastAsia" w:ascii="宋体" w:hAnsi="宋体"/>
        </w:rPr>
        <w:t>m</w:t>
      </w:r>
      <w:r>
        <w:rPr>
          <w:rFonts w:ascii="宋体" w:hAnsi="宋体"/>
        </w:rPr>
        <w:t>宽公司专用道路与之连接。</w:t>
      </w:r>
    </w:p>
    <w:p>
      <w:pPr>
        <w:spacing w:line="360" w:lineRule="auto"/>
        <w:ind w:firstLine="420" w:firstLineChars="200"/>
        <w:rPr>
          <w:rFonts w:hint="eastAsia" w:ascii="宋体" w:hAnsi="宋体"/>
        </w:rPr>
      </w:pPr>
      <w:r>
        <w:rPr>
          <w:rFonts w:ascii="宋体" w:hAnsi="宋体"/>
        </w:rPr>
        <w:t>（2）原燃料储存及配料区包括原煤、硫酸渣、粘土、砂岩联合堆棚、砂岩破碎机原料配料</w:t>
      </w:r>
      <w:r>
        <w:rPr>
          <w:rFonts w:hint="eastAsia" w:ascii="宋体" w:hAnsi="宋体"/>
        </w:rPr>
        <w:t>，</w:t>
      </w:r>
      <w:r>
        <w:rPr>
          <w:rFonts w:ascii="宋体" w:hAnsi="宋体"/>
        </w:rPr>
        <w:t>位于厂区</w:t>
      </w:r>
      <w:r>
        <w:rPr>
          <w:rFonts w:hint="eastAsia" w:ascii="宋体" w:hAnsi="宋体"/>
        </w:rPr>
        <w:t>东</w:t>
      </w:r>
      <w:r>
        <w:rPr>
          <w:rFonts w:ascii="宋体" w:hAnsi="宋体"/>
        </w:rPr>
        <w:t>侧</w:t>
      </w:r>
      <w:r>
        <w:rPr>
          <w:rFonts w:hint="eastAsia" w:ascii="宋体" w:hAnsi="宋体"/>
        </w:rPr>
        <w:t>.</w:t>
      </w:r>
    </w:p>
    <w:p>
      <w:pPr>
        <w:spacing w:line="360" w:lineRule="auto"/>
        <w:ind w:firstLine="420" w:firstLineChars="200"/>
        <w:rPr>
          <w:rFonts w:ascii="宋体" w:hAnsi="宋体"/>
        </w:rPr>
      </w:pPr>
      <w:r>
        <w:rPr>
          <w:rFonts w:ascii="宋体" w:hAnsi="宋体"/>
        </w:rPr>
        <w:t>（3）主生产区：拆除原立窑水泥设施后，中部和东部，包括：原料粉磨及废气处理、生料均化库、烧成系统、熟料库、煤粉制备、熟料储存、水泥粉磨、水泥储存、水泥包装、空气压缩机房、余热发电汽轮机房等；该区呈“L”字形布局，流程简捷、顺畅。</w:t>
      </w:r>
    </w:p>
    <w:p>
      <w:pPr>
        <w:spacing w:line="360" w:lineRule="auto"/>
        <w:ind w:firstLine="420" w:firstLineChars="200"/>
        <w:rPr>
          <w:rFonts w:hint="eastAsia" w:ascii="宋体" w:hAnsi="宋体"/>
        </w:rPr>
      </w:pPr>
      <w:r>
        <w:rPr>
          <w:rFonts w:hint="eastAsia" w:ascii="宋体" w:hAnsi="宋体"/>
        </w:rPr>
        <w:t>技改项目总平面布置见图3.1。</w:t>
      </w:r>
    </w:p>
    <w:p>
      <w:pPr>
        <w:spacing w:line="360" w:lineRule="auto"/>
        <w:ind w:firstLine="420" w:firstLineChars="200"/>
        <w:rPr>
          <w:rFonts w:hint="eastAsia" w:ascii="宋体" w:hAnsi="宋体"/>
        </w:rPr>
      </w:pPr>
      <w:r>
        <w:rPr>
          <w:rFonts w:hint="eastAsia" w:ascii="宋体" w:hAnsi="宋体"/>
        </w:rPr>
        <w:t>由图3.1可见，技改项目平面布置符合国家和水泥等现行规范规定要求，结合地形，在确保</w:t>
      </w:r>
      <w:r>
        <w:rPr>
          <w:rFonts w:ascii="宋体" w:hAnsi="宋体"/>
        </w:rPr>
        <w:t>物料流向紧凑、合理，生产操作顺畅，有利于生产的组织与实施</w:t>
      </w:r>
      <w:r>
        <w:rPr>
          <w:rFonts w:hint="eastAsia" w:ascii="宋体" w:hAnsi="宋体"/>
        </w:rPr>
        <w:t>的情况下尽量做到了布局紧凑、节约用地、节省土石方工程量。从环保角度分析，将噪声污染较重的石膏破碎机、煤破碎机、砂岩破碎机、生料磨、煤磨和水泥磨分别布置在厂区东侧和中间。</w:t>
      </w:r>
      <w:r>
        <w:rPr>
          <w:rFonts w:ascii="宋体" w:hAnsi="宋体"/>
        </w:rPr>
        <w:t>将料场堆</w:t>
      </w:r>
      <w:r>
        <w:rPr>
          <w:rFonts w:hint="eastAsia" w:ascii="宋体" w:hAnsi="宋体"/>
        </w:rPr>
        <w:t>棚</w:t>
      </w:r>
      <w:r>
        <w:rPr>
          <w:rFonts w:ascii="宋体" w:hAnsi="宋体"/>
        </w:rPr>
        <w:t>尽可能设置在厂</w:t>
      </w:r>
      <w:r>
        <w:rPr>
          <w:rFonts w:hint="eastAsia" w:ascii="宋体" w:hAnsi="宋体"/>
        </w:rPr>
        <w:t>区南侧</w:t>
      </w:r>
      <w:r>
        <w:rPr>
          <w:rFonts w:ascii="宋体" w:hAnsi="宋体"/>
        </w:rPr>
        <w:t>，有利于减轻</w:t>
      </w:r>
      <w:r>
        <w:rPr>
          <w:rFonts w:hint="eastAsia" w:ascii="宋体" w:hAnsi="宋体"/>
        </w:rPr>
        <w:t>北侧</w:t>
      </w:r>
      <w:r>
        <w:rPr>
          <w:rFonts w:ascii="宋体" w:hAnsi="宋体"/>
        </w:rPr>
        <w:t>3</w:t>
      </w:r>
      <w:r>
        <w:rPr>
          <w:rFonts w:hint="eastAsia" w:ascii="宋体" w:hAnsi="宋体"/>
        </w:rPr>
        <w:t>1</w:t>
      </w:r>
      <w:r>
        <w:rPr>
          <w:rFonts w:ascii="宋体" w:hAnsi="宋体"/>
        </w:rPr>
        <w:t>9国道</w:t>
      </w:r>
      <w:r>
        <w:rPr>
          <w:rFonts w:hint="eastAsia" w:ascii="宋体" w:hAnsi="宋体"/>
        </w:rPr>
        <w:t>两侧</w:t>
      </w:r>
      <w:r>
        <w:rPr>
          <w:rFonts w:ascii="宋体" w:hAnsi="宋体"/>
        </w:rPr>
        <w:t>居民的影响。</w:t>
      </w:r>
      <w:r>
        <w:rPr>
          <w:rFonts w:hint="eastAsia" w:ascii="宋体" w:hAnsi="宋体"/>
        </w:rPr>
        <w:t>因此，技改项目厂区的平面布置总体较为合理。</w:t>
      </w:r>
    </w:p>
    <w:p>
      <w:pPr>
        <w:spacing w:line="360" w:lineRule="auto"/>
        <w:outlineLvl w:val="2"/>
        <w:rPr>
          <w:rFonts w:hint="eastAsia"/>
          <w:b/>
          <w:bCs/>
          <w:szCs w:val="20"/>
        </w:rPr>
      </w:pPr>
      <w:bookmarkStart w:id="119" w:name="_Toc189814138"/>
      <w:bookmarkStart w:id="120" w:name="_Toc129763705"/>
      <w:bookmarkStart w:id="121" w:name="_Toc165607350"/>
      <w:bookmarkStart w:id="122" w:name="_Toc175479792"/>
      <w:bookmarkStart w:id="123" w:name="_Toc473281496"/>
      <w:r>
        <w:rPr>
          <w:rFonts w:hint="eastAsia"/>
          <w:b/>
          <w:bCs/>
          <w:szCs w:val="20"/>
        </w:rPr>
        <w:t>3.1.10 公用工程</w:t>
      </w:r>
      <w:bookmarkEnd w:id="119"/>
      <w:bookmarkEnd w:id="120"/>
      <w:bookmarkEnd w:id="121"/>
      <w:bookmarkEnd w:id="122"/>
      <w:bookmarkEnd w:id="123"/>
    </w:p>
    <w:p>
      <w:pPr>
        <w:spacing w:line="360" w:lineRule="auto"/>
        <w:outlineLvl w:val="2"/>
        <w:rPr>
          <w:rFonts w:hint="eastAsia"/>
          <w:b/>
          <w:bCs/>
          <w:szCs w:val="20"/>
        </w:rPr>
      </w:pPr>
      <w:r>
        <w:rPr>
          <w:rFonts w:hint="eastAsia"/>
          <w:b/>
          <w:bCs/>
          <w:szCs w:val="20"/>
        </w:rPr>
        <w:t>3.1.10.1供水</w:t>
      </w:r>
    </w:p>
    <w:p>
      <w:pPr>
        <w:spacing w:line="360" w:lineRule="auto"/>
        <w:ind w:left="480"/>
        <w:rPr>
          <w:rFonts w:hint="eastAsia"/>
        </w:rPr>
      </w:pPr>
      <w:r>
        <w:rPr>
          <w:rFonts w:hint="eastAsia" w:ascii="宋体" w:hAnsi="宋体"/>
        </w:rPr>
        <w:t>（1）</w:t>
      </w:r>
      <w:r>
        <w:rPr>
          <w:rFonts w:hint="eastAsia"/>
        </w:rPr>
        <w:t>用水量、水源</w:t>
      </w:r>
    </w:p>
    <w:p>
      <w:pPr>
        <w:spacing w:line="360" w:lineRule="auto"/>
        <w:ind w:firstLine="420" w:firstLineChars="200"/>
        <w:rPr>
          <w:rFonts w:hint="eastAsia"/>
        </w:rPr>
      </w:pPr>
      <w:r>
        <w:rPr>
          <w:rFonts w:hint="eastAsia"/>
        </w:rPr>
        <w:t>技改工程熟料水泥生产线生产总用水量：2378.5</w:t>
      </w:r>
      <w:r>
        <w:t>m</w:t>
      </w:r>
      <w:r>
        <w:rPr>
          <w:vertAlign w:val="superscript"/>
        </w:rPr>
        <w:t>3</w:t>
      </w:r>
      <w:r>
        <w:t>/d</w:t>
      </w:r>
      <w:r>
        <w:rPr>
          <w:rFonts w:hint="eastAsia"/>
        </w:rPr>
        <w:t>，其中生产直流和消耗水量480</w:t>
      </w:r>
      <w:r>
        <w:t>m</w:t>
      </w:r>
      <w:r>
        <w:rPr>
          <w:vertAlign w:val="superscript"/>
        </w:rPr>
        <w:t>3</w:t>
      </w:r>
      <w:r>
        <w:t>/d</w:t>
      </w:r>
      <w:r>
        <w:rPr>
          <w:rFonts w:hint="eastAsia"/>
        </w:rPr>
        <w:t xml:space="preserve"> </w:t>
      </w:r>
      <w:r>
        <w:t>(</w:t>
      </w:r>
      <w:r>
        <w:rPr>
          <w:rFonts w:hint="eastAsia"/>
        </w:rPr>
        <w:t>由生产循环系统供给)；生产设备循环冷却水量：5768</w:t>
      </w:r>
      <w:r>
        <w:t>m</w:t>
      </w:r>
      <w:r>
        <w:rPr>
          <w:vertAlign w:val="superscript"/>
        </w:rPr>
        <w:t>3</w:t>
      </w:r>
      <w:r>
        <w:t>/d</w:t>
      </w:r>
      <w:r>
        <w:rPr>
          <w:rFonts w:hint="eastAsia"/>
        </w:rPr>
        <w:t>；生产循环系统补充水量即生产设备循环冷却水系统排污、风吹蒸发等损失水量：245</w:t>
      </w:r>
      <w:r>
        <w:t>m</w:t>
      </w:r>
      <w:r>
        <w:rPr>
          <w:vertAlign w:val="superscript"/>
        </w:rPr>
        <w:t>3</w:t>
      </w:r>
      <w:r>
        <w:t>/d</w:t>
      </w:r>
      <w:r>
        <w:rPr>
          <w:rFonts w:hint="eastAsia"/>
        </w:rPr>
        <w:t>；技改工程生活、化学实验室、绿化用水量分别为27.3</w:t>
      </w:r>
      <w:r>
        <w:t>m</w:t>
      </w:r>
      <w:r>
        <w:rPr>
          <w:vertAlign w:val="superscript"/>
        </w:rPr>
        <w:t>3</w:t>
      </w:r>
      <w:r>
        <w:t>/d</w:t>
      </w:r>
      <w:r>
        <w:rPr>
          <w:rFonts w:hint="eastAsia"/>
        </w:rPr>
        <w:t>、20</w:t>
      </w:r>
      <w:r>
        <w:t>m</w:t>
      </w:r>
      <w:r>
        <w:rPr>
          <w:vertAlign w:val="superscript"/>
        </w:rPr>
        <w:t>3</w:t>
      </w:r>
      <w:r>
        <w:t>/d</w:t>
      </w:r>
      <w:r>
        <w:rPr>
          <w:rFonts w:hint="eastAsia"/>
        </w:rPr>
        <w:t>、10</w:t>
      </w:r>
      <w:r>
        <w:t>m</w:t>
      </w:r>
      <w:r>
        <w:rPr>
          <w:vertAlign w:val="superscript"/>
        </w:rPr>
        <w:t>3</w:t>
      </w:r>
      <w:r>
        <w:t>/d</w:t>
      </w:r>
      <w:r>
        <w:rPr>
          <w:rFonts w:hint="eastAsia"/>
        </w:rPr>
        <w:t>；余热发电循环冷却水量60000</w:t>
      </w:r>
      <w:r>
        <w:t xml:space="preserve"> m</w:t>
      </w:r>
      <w:r>
        <w:rPr>
          <w:vertAlign w:val="superscript"/>
        </w:rPr>
        <w:t>3</w:t>
      </w:r>
      <w:r>
        <w:t>/d</w:t>
      </w:r>
      <w:r>
        <w:rPr>
          <w:rFonts w:hint="eastAsia"/>
        </w:rPr>
        <w:t>，冷却水系统补充水量1800</w:t>
      </w:r>
      <w:r>
        <w:t>m</w:t>
      </w:r>
      <w:r>
        <w:rPr>
          <w:vertAlign w:val="superscript"/>
        </w:rPr>
        <w:t>3</w:t>
      </w:r>
      <w:r>
        <w:t>/d</w:t>
      </w:r>
      <w:r>
        <w:rPr>
          <w:rFonts w:hint="eastAsia"/>
        </w:rPr>
        <w:t>；余热发电站化学水处理系统需水量60</w:t>
      </w:r>
      <w:r>
        <w:t>m</w:t>
      </w:r>
      <w:r>
        <w:rPr>
          <w:vertAlign w:val="superscript"/>
        </w:rPr>
        <w:t>3</w:t>
      </w:r>
      <w:r>
        <w:t>/d</w:t>
      </w:r>
      <w:r>
        <w:rPr>
          <w:rFonts w:hint="eastAsia"/>
        </w:rPr>
        <w:t>；消防用水量324</w:t>
      </w:r>
      <w:r>
        <w:t>m</w:t>
      </w:r>
      <w:r>
        <w:rPr>
          <w:vertAlign w:val="superscript"/>
        </w:rPr>
        <w:t>3</w:t>
      </w:r>
      <w:r>
        <w:t>/</w:t>
      </w:r>
      <w:r>
        <w:rPr>
          <w:rFonts w:hint="eastAsia"/>
        </w:rPr>
        <w:t>次。技改工程生产生活总耗水量：2642.3</w:t>
      </w:r>
      <w:r>
        <w:t>m</w:t>
      </w:r>
      <w:r>
        <w:rPr>
          <w:vertAlign w:val="superscript"/>
        </w:rPr>
        <w:t>3</w:t>
      </w:r>
      <w:r>
        <w:t>/d</w:t>
      </w:r>
      <w:r>
        <w:rPr>
          <w:rFonts w:hint="eastAsia"/>
        </w:rPr>
        <w:t>；未预见水量按总耗水量的1</w:t>
      </w:r>
      <w:r>
        <w:t>0%</w:t>
      </w:r>
      <w:r>
        <w:rPr>
          <w:rFonts w:hint="eastAsia"/>
        </w:rPr>
        <w:t>计，则技改工程需增加水源供水量：2642.3×</w:t>
      </w:r>
      <w:r>
        <w:t>1.</w:t>
      </w:r>
      <w:r>
        <w:rPr>
          <w:rFonts w:hint="eastAsia"/>
        </w:rPr>
        <w:t>1＝2906.5</w:t>
      </w:r>
      <w:r>
        <w:t>m</w:t>
      </w:r>
      <w:r>
        <w:rPr>
          <w:vertAlign w:val="superscript"/>
        </w:rPr>
        <w:t>3</w:t>
      </w:r>
      <w:r>
        <w:t>/d</w:t>
      </w:r>
      <w:r>
        <w:rPr>
          <w:rFonts w:hint="eastAsia"/>
        </w:rPr>
        <w:t>。</w:t>
      </w:r>
    </w:p>
    <w:p>
      <w:pPr>
        <w:adjustRightInd w:val="0"/>
        <w:snapToGrid w:val="0"/>
        <w:spacing w:line="360" w:lineRule="auto"/>
        <w:ind w:firstLine="555"/>
        <w:rPr>
          <w:rFonts w:hint="eastAsia"/>
        </w:rPr>
      </w:pPr>
      <w:r>
        <w:t>拟利用本公司煤矿井下排水，经净化后作为生产和消防用水水源。现矿井废水流量大（日均</w:t>
      </w:r>
      <w:r>
        <w:rPr>
          <w:rFonts w:hint="eastAsia"/>
        </w:rPr>
        <w:t>45</w:t>
      </w:r>
      <w:r>
        <w:t>00</w:t>
      </w:r>
      <w:r>
        <w:rPr>
          <w:rFonts w:hint="eastAsia"/>
        </w:rPr>
        <w:t>m</w:t>
      </w:r>
      <w:r>
        <w:rPr>
          <w:rFonts w:hint="eastAsia"/>
          <w:vertAlign w:val="superscript"/>
        </w:rPr>
        <w:t>3</w:t>
      </w:r>
      <w:r>
        <w:t>以上），水量充足，完全能满足</w:t>
      </w:r>
      <w:r>
        <w:rPr>
          <w:rFonts w:hint="eastAsia"/>
        </w:rPr>
        <w:t>技改工程</w:t>
      </w:r>
      <w:r>
        <w:t>生产及消防用水要求。</w:t>
      </w:r>
    </w:p>
    <w:p>
      <w:pPr>
        <w:spacing w:line="360" w:lineRule="auto"/>
        <w:ind w:firstLine="420" w:firstLineChars="200"/>
        <w:rPr>
          <w:rFonts w:hint="eastAsia" w:ascii="宋体" w:hAnsi="宋体"/>
        </w:rPr>
      </w:pPr>
      <w:r>
        <w:rPr>
          <w:rFonts w:hint="eastAsia" w:ascii="宋体" w:hAnsi="宋体"/>
        </w:rPr>
        <w:t>（2）给水系统</w:t>
      </w:r>
    </w:p>
    <w:p>
      <w:pPr>
        <w:spacing w:line="360" w:lineRule="auto"/>
        <w:ind w:firstLine="420" w:firstLineChars="200"/>
        <w:rPr>
          <w:rFonts w:ascii="宋体" w:hAnsi="宋体"/>
        </w:rPr>
      </w:pPr>
      <w:r>
        <w:rPr>
          <w:rFonts w:ascii="宋体" w:hAnsi="宋体"/>
        </w:rPr>
        <w:t>A</w:t>
      </w:r>
      <w:r>
        <w:rPr>
          <w:rFonts w:hint="eastAsia" w:ascii="宋体" w:hAnsi="宋体"/>
        </w:rPr>
        <w:t>、</w:t>
      </w:r>
      <w:r>
        <w:rPr>
          <w:rFonts w:ascii="宋体" w:hAnsi="宋体"/>
        </w:rPr>
        <w:t>生产循环冷却给水系统</w:t>
      </w:r>
    </w:p>
    <w:p>
      <w:pPr>
        <w:spacing w:line="360" w:lineRule="auto"/>
        <w:ind w:firstLine="420" w:firstLineChars="200"/>
        <w:rPr>
          <w:rFonts w:hint="eastAsia" w:hAnsi="宋体"/>
        </w:rPr>
      </w:pPr>
      <w:r>
        <w:rPr>
          <w:rFonts w:hAnsi="宋体"/>
        </w:rPr>
        <w:t>为节约水资源，生产设备冷却用水采用循环供水系统。生产车间的设备冷却水除少量排放外基本上全部回流，利用余压进入冷却塔，降温处理后流入循环水池，再由循环水泵加压送至各用水点。为防止水质变坏，循环水设有消毒、加药和旁滤系统，同时适当补充新鲜水。</w:t>
      </w:r>
    </w:p>
    <w:p>
      <w:pPr>
        <w:spacing w:line="360" w:lineRule="auto"/>
        <w:ind w:firstLine="315" w:firstLineChars="150"/>
        <w:rPr>
          <w:rFonts w:ascii="宋体" w:hAnsi="宋体"/>
        </w:rPr>
      </w:pPr>
      <w:r>
        <w:rPr>
          <w:rFonts w:hint="eastAsia" w:ascii="宋体" w:hAnsi="宋体"/>
        </w:rPr>
        <w:t>B、</w:t>
      </w:r>
      <w:r>
        <w:rPr>
          <w:rFonts w:ascii="宋体" w:hAnsi="宋体"/>
        </w:rPr>
        <w:t>生产消防给水系统</w:t>
      </w:r>
    </w:p>
    <w:p>
      <w:pPr>
        <w:spacing w:line="360" w:lineRule="auto"/>
        <w:ind w:firstLine="420" w:firstLineChars="200"/>
        <w:rPr>
          <w:rFonts w:ascii="宋体" w:hAnsi="宋体"/>
        </w:rPr>
      </w:pPr>
      <w:r>
        <w:rPr>
          <w:rFonts w:ascii="宋体" w:hAnsi="宋体"/>
        </w:rPr>
        <w:t>水经处理后进入清水池，再由水泵加压送至全厂各用水点用水和供应消防用水，对电站来说主要是循环系统的补充用水和锅炉软化水系统用水。电站部分消防给水系统同水泥熟料生产线循环消防给水系统形成一个整体，不新增消防用水量。给水管网成环状布置，管径不小于DN100。室外消火栓间距不超过120m。</w:t>
      </w:r>
    </w:p>
    <w:p>
      <w:pPr>
        <w:spacing w:line="360" w:lineRule="auto"/>
        <w:outlineLvl w:val="2"/>
        <w:rPr>
          <w:rFonts w:hint="eastAsia"/>
          <w:b/>
          <w:bCs/>
          <w:szCs w:val="20"/>
        </w:rPr>
      </w:pPr>
      <w:r>
        <w:rPr>
          <w:rFonts w:hint="eastAsia"/>
          <w:b/>
          <w:bCs/>
          <w:szCs w:val="20"/>
        </w:rPr>
        <w:t>3.1.10.2 排水</w:t>
      </w:r>
    </w:p>
    <w:p>
      <w:pPr>
        <w:spacing w:line="360" w:lineRule="auto"/>
        <w:ind w:firstLine="420" w:firstLineChars="200"/>
        <w:rPr>
          <w:rFonts w:hint="eastAsia" w:ascii="宋体" w:hAnsi="宋体"/>
        </w:rPr>
      </w:pPr>
      <w:r>
        <w:rPr>
          <w:rFonts w:hint="eastAsia" w:ascii="宋体" w:hAnsi="宋体"/>
        </w:rPr>
        <w:t>厂区采用“清污分流”排水方案。技改项目排水总量为487.6</w:t>
      </w:r>
      <w:r>
        <w:rPr>
          <w:rFonts w:ascii="宋体" w:hAnsi="宋体"/>
        </w:rPr>
        <w:t>m</w:t>
      </w:r>
      <w:r>
        <w:rPr>
          <w:rFonts w:ascii="宋体" w:hAnsi="宋体"/>
          <w:vertAlign w:val="superscript"/>
        </w:rPr>
        <w:t>3</w:t>
      </w:r>
      <w:r>
        <w:rPr>
          <w:rFonts w:ascii="宋体" w:hAnsi="宋体"/>
        </w:rPr>
        <w:t>/d</w:t>
      </w:r>
      <w:r>
        <w:rPr>
          <w:rFonts w:hint="eastAsia" w:ascii="宋体" w:hAnsi="宋体"/>
        </w:rPr>
        <w:t>，其中生产循环冷却水等清净下水量为437</w:t>
      </w:r>
      <w:r>
        <w:rPr>
          <w:rFonts w:ascii="宋体" w:hAnsi="宋体"/>
        </w:rPr>
        <w:t>m</w:t>
      </w:r>
      <w:r>
        <w:rPr>
          <w:rFonts w:ascii="宋体" w:hAnsi="宋体"/>
          <w:vertAlign w:val="superscript"/>
        </w:rPr>
        <w:t>3</w:t>
      </w:r>
      <w:r>
        <w:rPr>
          <w:rFonts w:ascii="宋体" w:hAnsi="宋体"/>
        </w:rPr>
        <w:t>/d</w:t>
      </w:r>
      <w:r>
        <w:rPr>
          <w:rFonts w:hint="eastAsia" w:ascii="宋体" w:hAnsi="宋体"/>
        </w:rPr>
        <w:t>，这部分水除水温和悬浮物升高外无其它污染，可经沉淀处理后排放。余热电站化学水处理系统排水（10</w:t>
      </w:r>
      <w:r>
        <w:rPr>
          <w:rFonts w:ascii="宋体" w:hAnsi="宋体"/>
        </w:rPr>
        <w:t xml:space="preserve"> m</w:t>
      </w:r>
      <w:r>
        <w:rPr>
          <w:rFonts w:ascii="宋体" w:hAnsi="宋体"/>
          <w:vertAlign w:val="superscript"/>
        </w:rPr>
        <w:t>3</w:t>
      </w:r>
      <w:r>
        <w:rPr>
          <w:rFonts w:ascii="宋体" w:hAnsi="宋体"/>
        </w:rPr>
        <w:t>/d</w:t>
      </w:r>
      <w:r>
        <w:rPr>
          <w:rFonts w:hint="eastAsia" w:ascii="宋体" w:hAnsi="宋体"/>
        </w:rPr>
        <w:t xml:space="preserve"> </w:t>
      </w:r>
      <w:r>
        <w:rPr>
          <w:rFonts w:ascii="宋体" w:hAnsi="宋体"/>
        </w:rPr>
        <w:t>）</w:t>
      </w:r>
      <w:r>
        <w:rPr>
          <w:rFonts w:hint="eastAsia" w:ascii="宋体" w:hAnsi="宋体"/>
        </w:rPr>
        <w:t>经中和处理后与生活污水(24.6</w:t>
      </w:r>
      <w:r>
        <w:rPr>
          <w:rFonts w:ascii="宋体" w:hAnsi="宋体"/>
        </w:rPr>
        <w:t>m</w:t>
      </w:r>
      <w:r>
        <w:rPr>
          <w:rFonts w:ascii="宋体" w:hAnsi="宋体"/>
          <w:vertAlign w:val="superscript"/>
        </w:rPr>
        <w:t>3</w:t>
      </w:r>
      <w:r>
        <w:rPr>
          <w:rFonts w:ascii="宋体" w:hAnsi="宋体"/>
        </w:rPr>
        <w:t>/d</w:t>
      </w:r>
      <w:r>
        <w:rPr>
          <w:rFonts w:hint="eastAsia" w:ascii="宋体" w:hAnsi="宋体"/>
        </w:rPr>
        <w:t>)、化验室污水(18</w:t>
      </w:r>
      <w:r>
        <w:rPr>
          <w:rFonts w:ascii="宋体" w:hAnsi="宋体"/>
        </w:rPr>
        <w:t>m</w:t>
      </w:r>
      <w:r>
        <w:rPr>
          <w:rFonts w:ascii="宋体" w:hAnsi="宋体"/>
          <w:vertAlign w:val="superscript"/>
        </w:rPr>
        <w:t>3</w:t>
      </w:r>
      <w:r>
        <w:rPr>
          <w:rFonts w:ascii="宋体" w:hAnsi="宋体"/>
        </w:rPr>
        <w:t>/d</w:t>
      </w:r>
      <w:r>
        <w:rPr>
          <w:rFonts w:hint="eastAsia" w:ascii="宋体" w:hAnsi="宋体"/>
        </w:rPr>
        <w:t>)进入污水处理站，经处理满足《污水综合排放标准》一级标准排入北侧的无名小沟。</w:t>
      </w:r>
    </w:p>
    <w:p>
      <w:pPr>
        <w:spacing w:line="360" w:lineRule="auto"/>
        <w:ind w:firstLine="420" w:firstLineChars="200"/>
        <w:rPr>
          <w:rFonts w:hint="eastAsia" w:ascii="宋体" w:hAnsi="宋体"/>
        </w:rPr>
      </w:pPr>
      <w:r>
        <w:rPr>
          <w:rFonts w:hint="eastAsia" w:ascii="宋体" w:hAnsi="宋体"/>
        </w:rPr>
        <w:t>技改项目的给排水平衡见图3.2。</w:t>
      </w:r>
    </w:p>
    <w:p>
      <w:pPr>
        <w:spacing w:line="360" w:lineRule="auto"/>
        <w:outlineLvl w:val="2"/>
        <w:rPr>
          <w:rFonts w:hint="eastAsia"/>
          <w:b/>
          <w:bCs/>
          <w:szCs w:val="20"/>
        </w:rPr>
      </w:pPr>
      <w:r>
        <w:rPr>
          <w:rFonts w:hint="eastAsia"/>
          <w:b/>
          <w:bCs/>
          <w:szCs w:val="20"/>
        </w:rPr>
        <w:t>3.1.10.3 供配电</w:t>
      </w:r>
    </w:p>
    <w:p>
      <w:pPr>
        <w:pStyle w:val="8"/>
        <w:spacing w:line="360" w:lineRule="auto"/>
        <w:ind w:firstLine="420" w:firstLineChars="200"/>
        <w:rPr>
          <w:rFonts w:ascii="Times New Roman"/>
          <w:szCs w:val="28"/>
        </w:rPr>
      </w:pPr>
      <w:r>
        <w:rPr>
          <w:rFonts w:hint="eastAsia" w:ascii="Times New Roman" w:hAnsi="宋体"/>
          <w:szCs w:val="28"/>
        </w:rPr>
        <w:t>技改项目</w:t>
      </w:r>
      <w:r>
        <w:rPr>
          <w:rFonts w:ascii="Times New Roman" w:hAnsi="宋体"/>
          <w:szCs w:val="28"/>
        </w:rPr>
        <w:t>电源由重庆市沙坪坝区供电局供给，拟从距矿区</w:t>
      </w:r>
      <w:r>
        <w:rPr>
          <w:rFonts w:ascii="Times New Roman"/>
          <w:szCs w:val="28"/>
        </w:rPr>
        <w:t>3</w:t>
      </w:r>
      <w:r>
        <w:rPr>
          <w:rFonts w:hint="eastAsia" w:ascii="Times New Roman" w:hAnsi="宋体"/>
          <w:szCs w:val="28"/>
        </w:rPr>
        <w:t>km</w:t>
      </w:r>
      <w:r>
        <w:rPr>
          <w:rFonts w:ascii="Times New Roman" w:hAnsi="宋体"/>
          <w:szCs w:val="28"/>
        </w:rPr>
        <w:t>远的马铁线</w:t>
      </w:r>
      <w:r>
        <w:rPr>
          <w:rFonts w:ascii="Times New Roman"/>
          <w:szCs w:val="28"/>
        </w:rPr>
        <w:t>T</w:t>
      </w:r>
      <w:r>
        <w:rPr>
          <w:rFonts w:ascii="Times New Roman" w:hAnsi="宋体"/>
          <w:szCs w:val="28"/>
        </w:rPr>
        <w:t>接一回路</w:t>
      </w:r>
      <w:r>
        <w:rPr>
          <w:rFonts w:ascii="Times New Roman"/>
          <w:szCs w:val="28"/>
        </w:rPr>
        <w:t>35KV</w:t>
      </w:r>
      <w:r>
        <w:rPr>
          <w:rFonts w:ascii="Times New Roman" w:hAnsi="宋体"/>
          <w:szCs w:val="28"/>
        </w:rPr>
        <w:t>架空线路至本公司，新建</w:t>
      </w:r>
      <w:r>
        <w:rPr>
          <w:rFonts w:ascii="Times New Roman"/>
          <w:szCs w:val="28"/>
        </w:rPr>
        <w:t>35KV</w:t>
      </w:r>
      <w:r>
        <w:rPr>
          <w:rFonts w:ascii="Times New Roman" w:hAnsi="宋体"/>
          <w:szCs w:val="28"/>
        </w:rPr>
        <w:t>降压站一座，再与矿井总降压站形成双回路供电（</w:t>
      </w:r>
      <w:r>
        <w:rPr>
          <w:rFonts w:ascii="Times New Roman"/>
          <w:szCs w:val="28"/>
        </w:rPr>
        <w:t>35KV</w:t>
      </w:r>
      <w:r>
        <w:rPr>
          <w:rFonts w:ascii="Times New Roman" w:hAnsi="宋体"/>
          <w:szCs w:val="28"/>
        </w:rPr>
        <w:t>降压站拟由供电局设计及施工）。</w:t>
      </w:r>
    </w:p>
    <w:p>
      <w:pPr>
        <w:spacing w:line="360" w:lineRule="auto"/>
        <w:ind w:firstLine="420" w:firstLineChars="200"/>
        <w:rPr>
          <w:rFonts w:hint="eastAsia" w:ascii="宋体" w:hAnsi="宋体"/>
        </w:rPr>
      </w:pPr>
      <w:r>
        <w:rPr>
          <w:szCs w:val="28"/>
        </w:rPr>
        <w:t xml:space="preserve"> </w:t>
      </w:r>
      <w:r>
        <w:rPr>
          <w:rFonts w:hint="eastAsia" w:hAnsi="宋体"/>
          <w:szCs w:val="28"/>
        </w:rPr>
        <w:t>技改项目</w:t>
      </w:r>
      <w:r>
        <w:rPr>
          <w:rFonts w:hAnsi="宋体"/>
          <w:szCs w:val="28"/>
        </w:rPr>
        <w:t>拟新建</w:t>
      </w:r>
      <w:r>
        <w:rPr>
          <w:szCs w:val="28"/>
        </w:rPr>
        <w:t>35KV</w:t>
      </w:r>
      <w:r>
        <w:rPr>
          <w:rFonts w:hAnsi="宋体"/>
          <w:szCs w:val="28"/>
        </w:rPr>
        <w:t>配电站一座，采用户内式</w:t>
      </w:r>
      <w:r>
        <w:rPr>
          <w:szCs w:val="28"/>
        </w:rPr>
        <w:t>,</w:t>
      </w:r>
      <w:r>
        <w:rPr>
          <w:rFonts w:hAnsi="宋体"/>
          <w:szCs w:val="28"/>
        </w:rPr>
        <w:t>向水泥生产线上原料磨配电室、烧成配电室、窑头配电室、水泥磨配电室、</w:t>
      </w:r>
      <w:r>
        <w:rPr>
          <w:szCs w:val="28"/>
        </w:rPr>
        <w:t>10kv</w:t>
      </w:r>
      <w:r>
        <w:rPr>
          <w:rFonts w:hAnsi="宋体"/>
          <w:szCs w:val="28"/>
        </w:rPr>
        <w:t>高压电动机等变配电所、高压点提供</w:t>
      </w:r>
      <w:r>
        <w:rPr>
          <w:szCs w:val="28"/>
        </w:rPr>
        <w:t>10 kV</w:t>
      </w:r>
      <w:r>
        <w:rPr>
          <w:rFonts w:hAnsi="宋体"/>
          <w:szCs w:val="28"/>
        </w:rPr>
        <w:t>放射式配电。</w:t>
      </w:r>
      <w:r>
        <w:rPr>
          <w:rFonts w:hint="eastAsia" w:hAnsi="宋体"/>
          <w:szCs w:val="28"/>
        </w:rPr>
        <w:t>技改项目年用电量</w:t>
      </w:r>
      <w:r>
        <w:rPr>
          <w:rFonts w:hint="eastAsia" w:ascii="宋体" w:hAnsi="宋体"/>
        </w:rPr>
        <w:t>9.481</w:t>
      </w:r>
      <w:r>
        <w:rPr>
          <w:rFonts w:ascii="宋体" w:hAnsi="宋体"/>
        </w:rPr>
        <w:t>×10</w:t>
      </w:r>
      <w:r>
        <w:rPr>
          <w:rFonts w:ascii="宋体" w:hAnsi="宋体"/>
          <w:vertAlign w:val="superscript"/>
        </w:rPr>
        <w:t>7</w:t>
      </w:r>
      <w:r>
        <w:rPr>
          <w:rFonts w:ascii="宋体" w:hAnsi="宋体"/>
        </w:rPr>
        <w:t>kWh</w:t>
      </w:r>
      <w:r>
        <w:rPr>
          <w:rFonts w:hint="eastAsia" w:ascii="宋体" w:hAnsi="宋体"/>
        </w:rPr>
        <w:t>。</w:t>
      </w:r>
    </w:p>
    <w:p>
      <w:pPr>
        <w:spacing w:line="360" w:lineRule="auto"/>
        <w:ind w:firstLine="420" w:firstLineChars="200"/>
        <w:rPr>
          <w:szCs w:val="28"/>
        </w:rPr>
      </w:pPr>
      <w:r>
        <w:rPr>
          <w:rFonts w:hint="eastAsia"/>
          <w:szCs w:val="28"/>
        </w:rPr>
        <w:t>技改项目设纯低温余热发电机组一套，发电机10kV出线至总降10kV母线，正常时，与总降并网运行，但不向外部电网供电。</w:t>
      </w:r>
    </w:p>
    <w:p>
      <w:pPr>
        <w:spacing w:line="360" w:lineRule="auto"/>
        <w:outlineLvl w:val="2"/>
        <w:rPr>
          <w:rFonts w:hint="eastAsia"/>
          <w:b/>
          <w:bCs/>
          <w:szCs w:val="20"/>
        </w:rPr>
      </w:pPr>
      <w:r>
        <w:rPr>
          <w:rFonts w:hint="eastAsia"/>
          <w:b/>
          <w:bCs/>
          <w:szCs w:val="20"/>
        </w:rPr>
        <w:t>3.1.10.4 脱盐水</w:t>
      </w:r>
    </w:p>
    <w:p>
      <w:pPr>
        <w:spacing w:line="360" w:lineRule="auto"/>
        <w:ind w:firstLine="420" w:firstLineChars="200"/>
        <w:rPr>
          <w:rFonts w:hint="eastAsia" w:ascii="宋体" w:hAnsi="宋体"/>
        </w:rPr>
      </w:pPr>
      <w:r>
        <w:rPr>
          <w:rFonts w:hint="eastAsia" w:ascii="宋体" w:hAnsi="宋体"/>
        </w:rPr>
        <w:t>采用</w:t>
      </w:r>
      <w:r>
        <w:rPr>
          <w:rFonts w:hint="eastAsia" w:ascii="宋体" w:hAnsi="宋体"/>
          <w:szCs w:val="28"/>
        </w:rPr>
        <w:t>二级RO装置</w:t>
      </w:r>
      <w:r>
        <w:rPr>
          <w:rFonts w:hint="eastAsia" w:ascii="宋体" w:hAnsi="宋体"/>
        </w:rPr>
        <w:t>制备脱盐水。</w:t>
      </w:r>
    </w:p>
    <w:p>
      <w:pPr>
        <w:spacing w:line="360" w:lineRule="auto"/>
        <w:ind w:firstLine="420" w:firstLineChars="200"/>
        <w:rPr>
          <w:rFonts w:hint="eastAsia" w:ascii="宋体" w:hAnsi="宋体"/>
        </w:rPr>
      </w:pPr>
      <w:r>
        <w:rPr>
          <w:rFonts w:hint="eastAsia" w:ascii="宋体" w:hAnsi="宋体"/>
        </w:rPr>
        <w:t>技改项目脱盐水耗量50m</w:t>
      </w:r>
      <w:r>
        <w:rPr>
          <w:rFonts w:hint="eastAsia" w:ascii="宋体" w:hAnsi="宋体"/>
          <w:vertAlign w:val="superscript"/>
        </w:rPr>
        <w:t>3</w:t>
      </w:r>
      <w:r>
        <w:rPr>
          <w:rFonts w:hint="eastAsia" w:ascii="宋体" w:hAnsi="宋体"/>
        </w:rPr>
        <w:t>/d。</w:t>
      </w:r>
    </w:p>
    <w:p>
      <w:pPr>
        <w:spacing w:line="360" w:lineRule="auto"/>
        <w:ind w:firstLine="420" w:firstLineChars="200"/>
        <w:rPr>
          <w:rFonts w:hint="eastAsia" w:ascii="宋体" w:hAnsi="宋体"/>
        </w:rPr>
      </w:pPr>
      <w:r>
        <w:rPr>
          <w:rFonts w:hint="eastAsia" w:ascii="宋体" w:hAnsi="宋体"/>
        </w:rPr>
        <w:t>新建1座脱盐水站，设计规模60m</w:t>
      </w:r>
      <w:r>
        <w:rPr>
          <w:rFonts w:hint="eastAsia" w:ascii="宋体" w:hAnsi="宋体"/>
          <w:vertAlign w:val="superscript"/>
        </w:rPr>
        <w:t>3</w:t>
      </w:r>
      <w:r>
        <w:rPr>
          <w:rFonts w:hint="eastAsia" w:ascii="宋体" w:hAnsi="宋体"/>
        </w:rPr>
        <w:t>/ d，能够满足技改项目脱盐水耗量。采用</w:t>
      </w:r>
      <w:r>
        <w:rPr>
          <w:rFonts w:hint="eastAsia" w:ascii="宋体" w:hAnsi="宋体"/>
          <w:szCs w:val="28"/>
        </w:rPr>
        <w:t>多介质过滤器和活性碳过滤器过滤后经二级RO装置</w:t>
      </w:r>
      <w:r>
        <w:rPr>
          <w:rFonts w:hint="eastAsia" w:ascii="宋体" w:hAnsi="宋体"/>
        </w:rPr>
        <w:t>制备脱盐水。</w:t>
      </w:r>
    </w:p>
    <w:p>
      <w:pPr>
        <w:spacing w:line="360" w:lineRule="auto"/>
        <w:outlineLvl w:val="2"/>
        <w:rPr>
          <w:rFonts w:hint="eastAsia"/>
          <w:b/>
          <w:bCs/>
          <w:szCs w:val="20"/>
        </w:rPr>
      </w:pPr>
      <w:r>
        <w:rPr>
          <w:rFonts w:hint="eastAsia"/>
          <w:b/>
          <w:bCs/>
          <w:szCs w:val="20"/>
        </w:rPr>
        <w:t>3.1.10.5 空压</w:t>
      </w:r>
    </w:p>
    <w:p>
      <w:pPr>
        <w:suppressAutoHyphens/>
        <w:adjustRightInd w:val="0"/>
        <w:snapToGrid w:val="0"/>
        <w:spacing w:line="360" w:lineRule="auto"/>
        <w:ind w:firstLine="573"/>
        <w:rPr>
          <w:szCs w:val="28"/>
        </w:rPr>
      </w:pPr>
      <w:r>
        <w:rPr>
          <w:szCs w:val="28"/>
        </w:rPr>
        <w:t>厂区内设空压机站一座，位于窑尾塔架第一层平面。共有螺杆式空压机5台（一台备用），每台排气压力0.8MPa，排气量25m</w:t>
      </w:r>
      <w:r>
        <w:rPr>
          <w:szCs w:val="28"/>
          <w:vertAlign w:val="superscript"/>
        </w:rPr>
        <w:t>3</w:t>
      </w:r>
      <w:r>
        <w:rPr>
          <w:szCs w:val="28"/>
        </w:rPr>
        <w:t>/min，分别向气动元件、收尘器和窑尾吹堵系统等处供气。</w:t>
      </w:r>
    </w:p>
    <w:p>
      <w:pPr>
        <w:spacing w:line="360" w:lineRule="auto"/>
        <w:outlineLvl w:val="2"/>
        <w:rPr>
          <w:rFonts w:hint="eastAsia"/>
          <w:b/>
          <w:bCs/>
          <w:szCs w:val="20"/>
        </w:rPr>
      </w:pPr>
      <w:r>
        <w:rPr>
          <w:rFonts w:hint="eastAsia"/>
          <w:b/>
          <w:bCs/>
          <w:szCs w:val="20"/>
        </w:rPr>
        <w:t>3.1.10.6 厂区绿化</w:t>
      </w:r>
    </w:p>
    <w:p>
      <w:pPr>
        <w:spacing w:line="360" w:lineRule="auto"/>
        <w:ind w:firstLine="420" w:firstLineChars="200"/>
        <w:rPr>
          <w:rFonts w:ascii="宋体" w:hAnsi="宋体"/>
        </w:rPr>
      </w:pPr>
      <w:bookmarkStart w:id="124" w:name="_Toc165607352"/>
      <w:bookmarkStart w:id="125" w:name="_Toc129763707"/>
      <w:bookmarkStart w:id="126" w:name="_Toc175479794"/>
      <w:bookmarkStart w:id="127" w:name="_Toc473281497"/>
      <w:bookmarkStart w:id="128" w:name="_Toc189814139"/>
      <w:r>
        <w:rPr>
          <w:rFonts w:ascii="宋体" w:hAnsi="宋体"/>
        </w:rPr>
        <w:t>全厂绿化布置分为道路绿化和重点绿化。</w:t>
      </w:r>
    </w:p>
    <w:p>
      <w:pPr>
        <w:spacing w:line="360" w:lineRule="auto"/>
        <w:ind w:firstLine="420" w:firstLineChars="200"/>
        <w:rPr>
          <w:rFonts w:ascii="宋体" w:hAnsi="宋体"/>
        </w:rPr>
      </w:pPr>
      <w:r>
        <w:rPr>
          <w:rFonts w:ascii="宋体" w:hAnsi="宋体"/>
        </w:rPr>
        <w:t>道路绿化：在道路一侧或两侧布置行道树。</w:t>
      </w:r>
    </w:p>
    <w:p>
      <w:pPr>
        <w:spacing w:line="360" w:lineRule="auto"/>
        <w:ind w:firstLine="420" w:firstLineChars="200"/>
        <w:rPr>
          <w:rFonts w:ascii="宋体" w:hAnsi="宋体"/>
        </w:rPr>
      </w:pPr>
      <w:r>
        <w:rPr>
          <w:rFonts w:ascii="宋体" w:hAnsi="宋体"/>
        </w:rPr>
        <w:t>重点绿化：对厂前区及预留区地带进行重点绿化。布置较密的乔木群，以形成隔离带，达到防尘和隔噪音的作用。</w:t>
      </w:r>
    </w:p>
    <w:p>
      <w:pPr>
        <w:spacing w:line="360" w:lineRule="auto"/>
        <w:ind w:firstLine="420" w:firstLineChars="200"/>
        <w:rPr>
          <w:rFonts w:ascii="宋体" w:hAnsi="宋体"/>
        </w:rPr>
      </w:pPr>
      <w:r>
        <w:rPr>
          <w:rFonts w:ascii="宋体" w:hAnsi="宋体"/>
        </w:rPr>
        <w:t>选用树种以针叶树为主。日常管理应加强对路面及绿化植被的冲洗，以达到最佳效果。全厂绿地率为13%。</w:t>
      </w:r>
    </w:p>
    <w:p>
      <w:pPr>
        <w:spacing w:line="360" w:lineRule="auto"/>
        <w:outlineLvl w:val="2"/>
        <w:rPr>
          <w:rFonts w:hint="eastAsia"/>
          <w:b/>
          <w:bCs/>
          <w:szCs w:val="20"/>
        </w:rPr>
      </w:pPr>
      <w:r>
        <w:rPr>
          <w:rFonts w:hint="eastAsia"/>
          <w:b/>
          <w:bCs/>
          <w:szCs w:val="20"/>
        </w:rPr>
        <w:t>3.1</w:t>
      </w:r>
      <w:r>
        <w:rPr>
          <w:b/>
          <w:bCs/>
          <w:szCs w:val="20"/>
        </w:rPr>
        <w:t>.</w:t>
      </w:r>
      <w:r>
        <w:rPr>
          <w:rFonts w:hint="eastAsia"/>
          <w:b/>
          <w:bCs/>
          <w:szCs w:val="20"/>
        </w:rPr>
        <w:t>11运输</w:t>
      </w:r>
      <w:bookmarkEnd w:id="124"/>
      <w:bookmarkEnd w:id="125"/>
      <w:bookmarkEnd w:id="126"/>
      <w:bookmarkEnd w:id="127"/>
      <w:bookmarkEnd w:id="128"/>
    </w:p>
    <w:p>
      <w:pPr>
        <w:spacing w:line="360" w:lineRule="auto"/>
        <w:ind w:firstLine="420" w:firstLineChars="200"/>
        <w:rPr>
          <w:rFonts w:hint="eastAsia" w:ascii="宋体" w:hAnsi="宋体"/>
        </w:rPr>
      </w:pPr>
      <w:r>
        <w:rPr>
          <w:rFonts w:hint="eastAsia" w:ascii="宋体" w:hAnsi="宋体"/>
        </w:rPr>
        <w:t>技改项目</w:t>
      </w:r>
      <w:r>
        <w:rPr>
          <w:rFonts w:ascii="宋体" w:hAnsi="宋体"/>
        </w:rPr>
        <w:t>位于重庆市沙坪坝区青木关镇关口村20号，</w:t>
      </w:r>
      <w:r>
        <w:rPr>
          <w:rFonts w:ascii="宋体" w:hAnsi="宋体"/>
          <w:kern w:val="28"/>
        </w:rPr>
        <w:t xml:space="preserve"> 319国道经过厂区，距西永火车站和遂渝高速公路璧山站分别为12</w:t>
      </w:r>
      <w:r>
        <w:rPr>
          <w:rFonts w:hint="eastAsia" w:ascii="宋体" w:hAnsi="宋体"/>
          <w:kern w:val="28"/>
        </w:rPr>
        <w:t>km</w:t>
      </w:r>
      <w:r>
        <w:rPr>
          <w:rFonts w:ascii="宋体" w:hAnsi="宋体"/>
          <w:kern w:val="28"/>
        </w:rPr>
        <w:t>和1.5</w:t>
      </w:r>
      <w:r>
        <w:rPr>
          <w:rFonts w:hint="eastAsia" w:ascii="宋体" w:hAnsi="宋体"/>
          <w:kern w:val="28"/>
        </w:rPr>
        <w:t>km</w:t>
      </w:r>
      <w:r>
        <w:rPr>
          <w:rFonts w:ascii="宋体" w:hAnsi="宋体"/>
          <w:kern w:val="28"/>
        </w:rPr>
        <w:t>，距壁山县城14</w:t>
      </w:r>
      <w:r>
        <w:rPr>
          <w:rFonts w:hint="eastAsia" w:ascii="宋体" w:hAnsi="宋体"/>
          <w:kern w:val="28"/>
        </w:rPr>
        <w:t>km</w:t>
      </w:r>
      <w:r>
        <w:rPr>
          <w:rFonts w:ascii="宋体" w:hAnsi="宋体"/>
          <w:kern w:val="28"/>
        </w:rPr>
        <w:t>、北碚23</w:t>
      </w:r>
      <w:r>
        <w:rPr>
          <w:rFonts w:hint="eastAsia" w:ascii="宋体" w:hAnsi="宋体"/>
          <w:kern w:val="28"/>
        </w:rPr>
        <w:t>km</w:t>
      </w:r>
      <w:r>
        <w:rPr>
          <w:rFonts w:ascii="宋体" w:hAnsi="宋体"/>
          <w:kern w:val="28"/>
        </w:rPr>
        <w:t>、沙坪坝区37</w:t>
      </w:r>
      <w:r>
        <w:rPr>
          <w:rFonts w:hint="eastAsia" w:ascii="宋体" w:hAnsi="宋体"/>
          <w:kern w:val="28"/>
        </w:rPr>
        <w:t>km</w:t>
      </w:r>
      <w:r>
        <w:rPr>
          <w:rFonts w:ascii="宋体" w:hAnsi="宋体"/>
          <w:kern w:val="28"/>
        </w:rPr>
        <w:t>、重庆市中心54</w:t>
      </w:r>
      <w:r>
        <w:rPr>
          <w:rFonts w:hint="eastAsia" w:ascii="宋体" w:hAnsi="宋体"/>
          <w:kern w:val="28"/>
        </w:rPr>
        <w:t>km</w:t>
      </w:r>
      <w:r>
        <w:rPr>
          <w:rFonts w:ascii="宋体" w:hAnsi="宋体"/>
          <w:kern w:val="28"/>
        </w:rPr>
        <w:t>，各种</w:t>
      </w:r>
      <w:r>
        <w:rPr>
          <w:rFonts w:ascii="宋体" w:hAnsi="宋体"/>
        </w:rPr>
        <w:t>原燃料和产品均可通过公路运输进出厂，因此</w:t>
      </w:r>
      <w:r>
        <w:rPr>
          <w:rFonts w:hint="eastAsia" w:ascii="宋体" w:hAnsi="宋体"/>
        </w:rPr>
        <w:t>技改项目</w:t>
      </w:r>
      <w:r>
        <w:rPr>
          <w:rFonts w:ascii="宋体" w:hAnsi="宋体"/>
        </w:rPr>
        <w:t>的交通运输条件良好。</w:t>
      </w:r>
      <w:r>
        <w:rPr>
          <w:rFonts w:hint="eastAsia" w:ascii="宋体" w:hAnsi="宋体"/>
        </w:rPr>
        <w:t>技改项目物料运量见表3-9。</w:t>
      </w:r>
    </w:p>
    <w:p>
      <w:pPr>
        <w:spacing w:line="480" w:lineRule="exact"/>
        <w:jc w:val="center"/>
        <w:rPr>
          <w:rFonts w:hint="eastAsia" w:ascii="宋体" w:hAnsi="宋体"/>
          <w:b/>
        </w:rPr>
      </w:pPr>
      <w:r>
        <w:rPr>
          <w:rFonts w:hint="eastAsia" w:ascii="宋体" w:hAnsi="宋体"/>
          <w:b/>
        </w:rPr>
        <w:t xml:space="preserve">表3-9   </w:t>
      </w:r>
      <w:r>
        <w:rPr>
          <w:rFonts w:hint="eastAsia"/>
          <w:b/>
          <w:sz w:val="28"/>
        </w:rPr>
        <w:t xml:space="preserve"> </w:t>
      </w:r>
      <w:r>
        <w:rPr>
          <w:rFonts w:hint="eastAsia" w:ascii="宋体" w:hAnsi="宋体"/>
          <w:b/>
        </w:rPr>
        <w:t>技改项目物料运量统计</w:t>
      </w:r>
    </w:p>
    <w:tbl>
      <w:tblPr>
        <w:tblStyle w:val="20"/>
        <w:tblW w:w="9184" w:type="dxa"/>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36"/>
        <w:gridCol w:w="2720"/>
        <w:gridCol w:w="1460"/>
        <w:gridCol w:w="1984"/>
        <w:gridCol w:w="198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jc w:val="center"/>
              <w:rPr>
                <w:sz w:val="21"/>
                <w:szCs w:val="21"/>
              </w:rPr>
            </w:pPr>
            <w:r>
              <w:rPr>
                <w:rFonts w:hAnsi="宋体"/>
                <w:sz w:val="21"/>
                <w:szCs w:val="21"/>
              </w:rPr>
              <w:t>序号</w:t>
            </w:r>
          </w:p>
        </w:tc>
        <w:tc>
          <w:tcPr>
            <w:tcW w:w="2720" w:type="dxa"/>
            <w:noWrap w:val="0"/>
            <w:vAlign w:val="center"/>
          </w:tcPr>
          <w:p>
            <w:pPr>
              <w:spacing w:line="560" w:lineRule="exact"/>
              <w:ind w:firstLine="592" w:firstLineChars="282"/>
              <w:jc w:val="center"/>
              <w:rPr>
                <w:sz w:val="21"/>
                <w:szCs w:val="21"/>
              </w:rPr>
            </w:pPr>
            <w:r>
              <w:rPr>
                <w:rFonts w:hAnsi="宋体"/>
                <w:sz w:val="21"/>
                <w:szCs w:val="21"/>
              </w:rPr>
              <w:t>物料名称</w:t>
            </w:r>
          </w:p>
        </w:tc>
        <w:tc>
          <w:tcPr>
            <w:tcW w:w="1460" w:type="dxa"/>
            <w:noWrap w:val="0"/>
            <w:vAlign w:val="center"/>
          </w:tcPr>
          <w:p>
            <w:pPr>
              <w:spacing w:line="560" w:lineRule="exact"/>
              <w:ind w:firstLine="592" w:firstLineChars="282"/>
              <w:jc w:val="center"/>
              <w:rPr>
                <w:sz w:val="21"/>
                <w:szCs w:val="21"/>
              </w:rPr>
            </w:pPr>
            <w:r>
              <w:rPr>
                <w:rFonts w:hAnsi="宋体"/>
                <w:sz w:val="21"/>
                <w:szCs w:val="21"/>
              </w:rPr>
              <w:t>单位</w:t>
            </w:r>
          </w:p>
        </w:tc>
        <w:tc>
          <w:tcPr>
            <w:tcW w:w="1984" w:type="dxa"/>
            <w:noWrap w:val="0"/>
            <w:vAlign w:val="center"/>
          </w:tcPr>
          <w:p>
            <w:pPr>
              <w:spacing w:line="560" w:lineRule="exact"/>
              <w:ind w:firstLine="592" w:firstLineChars="282"/>
              <w:jc w:val="center"/>
              <w:rPr>
                <w:sz w:val="21"/>
                <w:szCs w:val="21"/>
              </w:rPr>
            </w:pPr>
            <w:r>
              <w:rPr>
                <w:rFonts w:hAnsi="宋体"/>
                <w:sz w:val="21"/>
                <w:szCs w:val="21"/>
              </w:rPr>
              <w:t>总运量</w:t>
            </w:r>
          </w:p>
        </w:tc>
        <w:tc>
          <w:tcPr>
            <w:tcW w:w="1984" w:type="dxa"/>
            <w:noWrap w:val="0"/>
            <w:vAlign w:val="center"/>
          </w:tcPr>
          <w:p>
            <w:pPr>
              <w:spacing w:line="560" w:lineRule="exact"/>
              <w:ind w:firstLine="592" w:firstLineChars="282"/>
              <w:jc w:val="center"/>
              <w:rPr>
                <w:rFonts w:hint="eastAsia" w:hAnsi="宋体"/>
                <w:sz w:val="21"/>
                <w:szCs w:val="21"/>
              </w:rPr>
            </w:pPr>
            <w:r>
              <w:rPr>
                <w:rFonts w:hint="eastAsia" w:hAnsi="宋体"/>
                <w:sz w:val="21"/>
                <w:szCs w:val="21"/>
              </w:rPr>
              <w:t>运输方式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1</w:t>
            </w:r>
          </w:p>
        </w:tc>
        <w:tc>
          <w:tcPr>
            <w:tcW w:w="2720" w:type="dxa"/>
            <w:noWrap w:val="0"/>
            <w:vAlign w:val="center"/>
          </w:tcPr>
          <w:p>
            <w:pPr>
              <w:spacing w:line="560" w:lineRule="exact"/>
              <w:ind w:firstLine="592" w:firstLineChars="282"/>
              <w:jc w:val="center"/>
              <w:rPr>
                <w:sz w:val="21"/>
                <w:szCs w:val="21"/>
              </w:rPr>
            </w:pPr>
            <w:r>
              <w:rPr>
                <w:rFonts w:hAnsi="宋体"/>
                <w:sz w:val="21"/>
                <w:szCs w:val="21"/>
              </w:rPr>
              <w:t>石灰石（进）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rFonts w:hint="eastAsia"/>
                <w:sz w:val="21"/>
                <w:szCs w:val="21"/>
              </w:rPr>
            </w:pPr>
            <w:r>
              <w:rPr>
                <w:sz w:val="21"/>
                <w:szCs w:val="21"/>
              </w:rPr>
              <w:t>10</w:t>
            </w:r>
            <w:r>
              <w:rPr>
                <w:rFonts w:hint="eastAsia"/>
                <w:sz w:val="21"/>
                <w:szCs w:val="21"/>
              </w:rPr>
              <w:t>2</w:t>
            </w:r>
          </w:p>
        </w:tc>
        <w:tc>
          <w:tcPr>
            <w:tcW w:w="1984" w:type="dxa"/>
            <w:noWrap w:val="0"/>
            <w:vAlign w:val="center"/>
          </w:tcPr>
          <w:p>
            <w:pPr>
              <w:spacing w:line="560" w:lineRule="exact"/>
              <w:ind w:firstLine="315" w:firstLineChars="150"/>
              <w:rPr>
                <w:rFonts w:hint="eastAsia"/>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2</w:t>
            </w:r>
          </w:p>
        </w:tc>
        <w:tc>
          <w:tcPr>
            <w:tcW w:w="2720" w:type="dxa"/>
            <w:noWrap w:val="0"/>
            <w:vAlign w:val="center"/>
          </w:tcPr>
          <w:p>
            <w:pPr>
              <w:spacing w:line="560" w:lineRule="exact"/>
              <w:ind w:firstLine="592" w:firstLineChars="282"/>
              <w:jc w:val="center"/>
              <w:rPr>
                <w:sz w:val="21"/>
                <w:szCs w:val="21"/>
              </w:rPr>
            </w:pPr>
            <w:r>
              <w:rPr>
                <w:rFonts w:hAnsi="宋体"/>
                <w:sz w:val="21"/>
                <w:szCs w:val="21"/>
              </w:rPr>
              <w:t>砂岩（进）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sz w:val="21"/>
                <w:szCs w:val="21"/>
              </w:rPr>
            </w:pPr>
            <w:r>
              <w:rPr>
                <w:sz w:val="21"/>
                <w:szCs w:val="21"/>
              </w:rPr>
              <w:t>6.7</w:t>
            </w:r>
          </w:p>
        </w:tc>
        <w:tc>
          <w:tcPr>
            <w:tcW w:w="1984" w:type="dxa"/>
            <w:noWrap w:val="0"/>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3</w:t>
            </w:r>
          </w:p>
        </w:tc>
        <w:tc>
          <w:tcPr>
            <w:tcW w:w="2720" w:type="dxa"/>
            <w:noWrap w:val="0"/>
            <w:vAlign w:val="center"/>
          </w:tcPr>
          <w:p>
            <w:pPr>
              <w:spacing w:line="560" w:lineRule="exact"/>
              <w:ind w:firstLine="592" w:firstLineChars="282"/>
              <w:jc w:val="center"/>
              <w:rPr>
                <w:sz w:val="21"/>
                <w:szCs w:val="21"/>
              </w:rPr>
            </w:pPr>
            <w:r>
              <w:rPr>
                <w:rFonts w:hAnsi="宋体"/>
                <w:sz w:val="21"/>
                <w:szCs w:val="21"/>
              </w:rPr>
              <w:t>煤矸石（进）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rFonts w:hint="eastAsia"/>
                <w:sz w:val="21"/>
                <w:szCs w:val="21"/>
              </w:rPr>
            </w:pPr>
            <w:r>
              <w:rPr>
                <w:sz w:val="21"/>
                <w:szCs w:val="21"/>
              </w:rPr>
              <w:t>9.</w:t>
            </w:r>
            <w:r>
              <w:rPr>
                <w:rFonts w:hint="eastAsia"/>
                <w:sz w:val="21"/>
                <w:szCs w:val="21"/>
              </w:rPr>
              <w:t>2</w:t>
            </w:r>
          </w:p>
        </w:tc>
        <w:tc>
          <w:tcPr>
            <w:tcW w:w="1984" w:type="dxa"/>
            <w:noWrap w:val="0"/>
            <w:vAlign w:val="center"/>
          </w:tcPr>
          <w:p>
            <w:pPr>
              <w:jc w:val="center"/>
              <w:rPr>
                <w:sz w:val="21"/>
                <w:szCs w:val="21"/>
              </w:rPr>
            </w:pPr>
            <w:r>
              <w:rPr>
                <w:rFonts w:hint="eastAsia"/>
                <w:sz w:val="21"/>
                <w:szCs w:val="21"/>
              </w:rPr>
              <w:t>皮带运输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4</w:t>
            </w:r>
          </w:p>
        </w:tc>
        <w:tc>
          <w:tcPr>
            <w:tcW w:w="2720" w:type="dxa"/>
            <w:noWrap w:val="0"/>
            <w:vAlign w:val="center"/>
          </w:tcPr>
          <w:p>
            <w:pPr>
              <w:spacing w:line="560" w:lineRule="exact"/>
              <w:ind w:firstLine="592" w:firstLineChars="282"/>
              <w:jc w:val="center"/>
              <w:rPr>
                <w:sz w:val="21"/>
                <w:szCs w:val="21"/>
              </w:rPr>
            </w:pPr>
            <w:r>
              <w:rPr>
                <w:rFonts w:hAnsi="宋体"/>
                <w:sz w:val="21"/>
                <w:szCs w:val="21"/>
              </w:rPr>
              <w:t>硫酸渣（进）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sz w:val="21"/>
                <w:szCs w:val="21"/>
              </w:rPr>
            </w:pPr>
            <w:r>
              <w:rPr>
                <w:sz w:val="21"/>
                <w:szCs w:val="21"/>
              </w:rPr>
              <w:t>1.6</w:t>
            </w:r>
          </w:p>
        </w:tc>
        <w:tc>
          <w:tcPr>
            <w:tcW w:w="1984" w:type="dxa"/>
            <w:noWrap w:val="0"/>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5</w:t>
            </w:r>
          </w:p>
        </w:tc>
        <w:tc>
          <w:tcPr>
            <w:tcW w:w="2720" w:type="dxa"/>
            <w:noWrap w:val="0"/>
            <w:vAlign w:val="center"/>
          </w:tcPr>
          <w:p>
            <w:pPr>
              <w:spacing w:line="560" w:lineRule="exact"/>
              <w:ind w:firstLine="592" w:firstLineChars="282"/>
              <w:jc w:val="center"/>
              <w:rPr>
                <w:sz w:val="21"/>
                <w:szCs w:val="21"/>
              </w:rPr>
            </w:pPr>
            <w:r>
              <w:rPr>
                <w:rFonts w:hAnsi="宋体"/>
                <w:sz w:val="21"/>
                <w:szCs w:val="21"/>
              </w:rPr>
              <w:t>原煤（进）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rFonts w:hint="eastAsia"/>
                <w:sz w:val="21"/>
                <w:szCs w:val="21"/>
              </w:rPr>
            </w:pPr>
            <w:r>
              <w:rPr>
                <w:sz w:val="21"/>
                <w:szCs w:val="21"/>
              </w:rPr>
              <w:t>1</w:t>
            </w:r>
            <w:r>
              <w:rPr>
                <w:rFonts w:hint="eastAsia"/>
                <w:sz w:val="21"/>
                <w:szCs w:val="21"/>
              </w:rPr>
              <w:t>1.9</w:t>
            </w:r>
          </w:p>
        </w:tc>
        <w:tc>
          <w:tcPr>
            <w:tcW w:w="1984" w:type="dxa"/>
            <w:noWrap w:val="0"/>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6</w:t>
            </w:r>
          </w:p>
        </w:tc>
        <w:tc>
          <w:tcPr>
            <w:tcW w:w="2720" w:type="dxa"/>
            <w:noWrap w:val="0"/>
            <w:vAlign w:val="center"/>
          </w:tcPr>
          <w:p>
            <w:pPr>
              <w:spacing w:line="560" w:lineRule="exact"/>
              <w:ind w:firstLine="592" w:firstLineChars="282"/>
              <w:jc w:val="center"/>
              <w:rPr>
                <w:sz w:val="21"/>
                <w:szCs w:val="21"/>
              </w:rPr>
            </w:pPr>
            <w:r>
              <w:rPr>
                <w:rFonts w:hAnsi="宋体"/>
                <w:sz w:val="21"/>
                <w:szCs w:val="21"/>
              </w:rPr>
              <w:t>石膏（进）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sz w:val="21"/>
                <w:szCs w:val="21"/>
              </w:rPr>
            </w:pPr>
            <w:r>
              <w:rPr>
                <w:sz w:val="21"/>
                <w:szCs w:val="21"/>
              </w:rPr>
              <w:t>3.7</w:t>
            </w:r>
          </w:p>
        </w:tc>
        <w:tc>
          <w:tcPr>
            <w:tcW w:w="1984" w:type="dxa"/>
            <w:noWrap w:val="0"/>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noWrap w:val="0"/>
            <w:vAlign w:val="center"/>
          </w:tcPr>
          <w:p>
            <w:pPr>
              <w:spacing w:line="560" w:lineRule="exact"/>
              <w:ind w:firstLine="592" w:firstLineChars="282"/>
              <w:jc w:val="center"/>
              <w:rPr>
                <w:sz w:val="21"/>
                <w:szCs w:val="21"/>
              </w:rPr>
            </w:pPr>
            <w:r>
              <w:rPr>
                <w:sz w:val="21"/>
                <w:szCs w:val="21"/>
              </w:rPr>
              <w:t>7</w:t>
            </w:r>
          </w:p>
        </w:tc>
        <w:tc>
          <w:tcPr>
            <w:tcW w:w="2720" w:type="dxa"/>
            <w:noWrap w:val="0"/>
            <w:vAlign w:val="center"/>
          </w:tcPr>
          <w:p>
            <w:pPr>
              <w:spacing w:line="560" w:lineRule="exact"/>
              <w:ind w:firstLine="592" w:firstLineChars="282"/>
              <w:jc w:val="center"/>
              <w:rPr>
                <w:sz w:val="21"/>
                <w:szCs w:val="21"/>
              </w:rPr>
            </w:pPr>
            <w:r>
              <w:rPr>
                <w:rFonts w:hAnsi="宋体"/>
                <w:sz w:val="21"/>
                <w:szCs w:val="21"/>
              </w:rPr>
              <w:t>混合材（进）</w:t>
            </w:r>
          </w:p>
        </w:tc>
        <w:tc>
          <w:tcPr>
            <w:tcW w:w="1460" w:type="dxa"/>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noWrap w:val="0"/>
            <w:vAlign w:val="center"/>
          </w:tcPr>
          <w:p>
            <w:pPr>
              <w:spacing w:line="560" w:lineRule="exact"/>
              <w:ind w:firstLine="592" w:firstLineChars="282"/>
              <w:jc w:val="center"/>
              <w:rPr>
                <w:sz w:val="21"/>
                <w:szCs w:val="21"/>
              </w:rPr>
            </w:pPr>
            <w:r>
              <w:rPr>
                <w:sz w:val="21"/>
                <w:szCs w:val="21"/>
              </w:rPr>
              <w:t>19</w:t>
            </w:r>
          </w:p>
        </w:tc>
        <w:tc>
          <w:tcPr>
            <w:tcW w:w="1984" w:type="dxa"/>
            <w:noWrap w:val="0"/>
            <w:vAlign w:val="center"/>
          </w:tcPr>
          <w:p>
            <w:pPr>
              <w:jc w:val="center"/>
              <w:rPr>
                <w:sz w:val="21"/>
                <w:szCs w:val="21"/>
              </w:rPr>
            </w:pPr>
            <w:r>
              <w:rPr>
                <w:rFonts w:hint="eastAsia"/>
                <w:sz w:val="21"/>
                <w:szCs w:val="21"/>
              </w:rPr>
              <w:t>汽车运输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1036" w:type="dxa"/>
            <w:tcBorders>
              <w:top w:val="single" w:color="000000" w:sz="6" w:space="0"/>
              <w:left w:val="single" w:color="000000" w:sz="12" w:space="0"/>
              <w:bottom w:val="single" w:color="000000" w:sz="12" w:space="0"/>
              <w:right w:val="single" w:color="000000" w:sz="6" w:space="0"/>
            </w:tcBorders>
            <w:noWrap w:val="0"/>
            <w:vAlign w:val="center"/>
          </w:tcPr>
          <w:p>
            <w:pPr>
              <w:spacing w:line="560" w:lineRule="exact"/>
              <w:ind w:firstLine="592" w:firstLineChars="282"/>
              <w:jc w:val="center"/>
              <w:rPr>
                <w:sz w:val="21"/>
                <w:szCs w:val="21"/>
              </w:rPr>
            </w:pPr>
            <w:r>
              <w:rPr>
                <w:sz w:val="21"/>
                <w:szCs w:val="21"/>
              </w:rPr>
              <w:t>7</w:t>
            </w:r>
          </w:p>
        </w:tc>
        <w:tc>
          <w:tcPr>
            <w:tcW w:w="2720" w:type="dxa"/>
            <w:tcBorders>
              <w:top w:val="single" w:color="000000" w:sz="6" w:space="0"/>
              <w:left w:val="single" w:color="000000" w:sz="6" w:space="0"/>
              <w:bottom w:val="single" w:color="000000" w:sz="12" w:space="0"/>
              <w:right w:val="single" w:color="000000" w:sz="6" w:space="0"/>
            </w:tcBorders>
            <w:noWrap w:val="0"/>
            <w:vAlign w:val="center"/>
          </w:tcPr>
          <w:p>
            <w:pPr>
              <w:spacing w:line="560" w:lineRule="exact"/>
              <w:ind w:firstLine="592" w:firstLineChars="282"/>
              <w:jc w:val="center"/>
              <w:rPr>
                <w:sz w:val="21"/>
                <w:szCs w:val="21"/>
              </w:rPr>
            </w:pPr>
            <w:r>
              <w:rPr>
                <w:rFonts w:hAnsi="宋体"/>
                <w:sz w:val="21"/>
                <w:szCs w:val="21"/>
              </w:rPr>
              <w:t>水泥（出）</w:t>
            </w:r>
          </w:p>
        </w:tc>
        <w:tc>
          <w:tcPr>
            <w:tcW w:w="1460" w:type="dxa"/>
            <w:tcBorders>
              <w:top w:val="single" w:color="000000" w:sz="6" w:space="0"/>
              <w:left w:val="single" w:color="000000" w:sz="6" w:space="0"/>
              <w:bottom w:val="single" w:color="000000" w:sz="12" w:space="0"/>
              <w:right w:val="single" w:color="000000" w:sz="6" w:space="0"/>
            </w:tcBorders>
            <w:noWrap w:val="0"/>
            <w:vAlign w:val="center"/>
          </w:tcPr>
          <w:p>
            <w:pPr>
              <w:spacing w:line="560" w:lineRule="exact"/>
              <w:ind w:firstLine="592" w:firstLineChars="282"/>
              <w:jc w:val="center"/>
              <w:rPr>
                <w:sz w:val="21"/>
                <w:szCs w:val="21"/>
              </w:rPr>
            </w:pPr>
            <w:r>
              <w:rPr>
                <w:rFonts w:hAnsi="宋体"/>
                <w:sz w:val="21"/>
                <w:szCs w:val="21"/>
              </w:rPr>
              <w:t>万</w:t>
            </w:r>
            <w:r>
              <w:rPr>
                <w:sz w:val="21"/>
                <w:szCs w:val="21"/>
              </w:rPr>
              <w:t>t/a</w:t>
            </w:r>
          </w:p>
        </w:tc>
        <w:tc>
          <w:tcPr>
            <w:tcW w:w="1984" w:type="dxa"/>
            <w:tcBorders>
              <w:top w:val="single" w:color="000000" w:sz="6" w:space="0"/>
              <w:left w:val="single" w:color="000000" w:sz="6" w:space="0"/>
              <w:bottom w:val="single" w:color="000000" w:sz="12" w:space="0"/>
              <w:right w:val="single" w:color="000000" w:sz="6" w:space="0"/>
            </w:tcBorders>
            <w:noWrap w:val="0"/>
            <w:vAlign w:val="center"/>
          </w:tcPr>
          <w:p>
            <w:pPr>
              <w:spacing w:line="560" w:lineRule="exact"/>
              <w:ind w:firstLine="592" w:firstLineChars="282"/>
              <w:jc w:val="center"/>
              <w:rPr>
                <w:rFonts w:hint="eastAsia"/>
                <w:sz w:val="21"/>
                <w:szCs w:val="21"/>
              </w:rPr>
            </w:pPr>
            <w:r>
              <w:rPr>
                <w:sz w:val="21"/>
                <w:szCs w:val="21"/>
              </w:rPr>
              <w:t>1</w:t>
            </w:r>
            <w:r>
              <w:rPr>
                <w:rFonts w:hint="eastAsia"/>
                <w:sz w:val="21"/>
                <w:szCs w:val="21"/>
              </w:rPr>
              <w:t>00</w:t>
            </w:r>
          </w:p>
        </w:tc>
        <w:tc>
          <w:tcPr>
            <w:tcW w:w="1984" w:type="dxa"/>
            <w:tcBorders>
              <w:top w:val="single" w:color="000000" w:sz="6" w:space="0"/>
              <w:left w:val="single" w:color="000000" w:sz="6" w:space="0"/>
              <w:bottom w:val="single" w:color="000000" w:sz="12" w:space="0"/>
              <w:right w:val="single" w:color="000000" w:sz="6" w:space="0"/>
            </w:tcBorders>
            <w:noWrap w:val="0"/>
            <w:vAlign w:val="center"/>
          </w:tcPr>
          <w:p>
            <w:pPr>
              <w:jc w:val="center"/>
              <w:rPr>
                <w:sz w:val="21"/>
                <w:szCs w:val="21"/>
              </w:rPr>
            </w:pPr>
            <w:r>
              <w:rPr>
                <w:rFonts w:hint="eastAsia"/>
                <w:sz w:val="21"/>
                <w:szCs w:val="21"/>
              </w:rPr>
              <w:t>汽车运输</w:t>
            </w:r>
          </w:p>
        </w:tc>
      </w:tr>
    </w:tbl>
    <w:p>
      <w:pPr>
        <w:spacing w:line="480" w:lineRule="exact"/>
        <w:jc w:val="center"/>
        <w:rPr>
          <w:rFonts w:hint="eastAsia" w:ascii="宋体" w:hAnsi="宋体"/>
          <w:b/>
        </w:rPr>
      </w:pPr>
    </w:p>
    <w:p>
      <w:pPr>
        <w:spacing w:line="360" w:lineRule="auto"/>
        <w:outlineLvl w:val="2"/>
        <w:rPr>
          <w:rFonts w:hint="eastAsia"/>
          <w:b/>
          <w:bCs/>
          <w:szCs w:val="20"/>
        </w:rPr>
      </w:pPr>
      <w:bookmarkStart w:id="129" w:name="_Toc129763708"/>
      <w:bookmarkStart w:id="130" w:name="_Toc175479795"/>
      <w:bookmarkStart w:id="131" w:name="_Toc165607353"/>
      <w:bookmarkStart w:id="132" w:name="_Toc473281498"/>
      <w:bookmarkStart w:id="133" w:name="_Toc189814140"/>
      <w:r>
        <w:rPr>
          <w:rFonts w:hint="eastAsia"/>
          <w:b/>
          <w:bCs/>
          <w:szCs w:val="20"/>
        </w:rPr>
        <w:t>3.1</w:t>
      </w:r>
      <w:r>
        <w:rPr>
          <w:b/>
          <w:bCs/>
          <w:szCs w:val="20"/>
        </w:rPr>
        <w:t>.</w:t>
      </w:r>
      <w:r>
        <w:rPr>
          <w:rFonts w:hint="eastAsia"/>
          <w:b/>
          <w:bCs/>
          <w:szCs w:val="20"/>
        </w:rPr>
        <w:t>12</w:t>
      </w:r>
      <w:r>
        <w:rPr>
          <w:b/>
          <w:bCs/>
          <w:szCs w:val="20"/>
        </w:rPr>
        <w:t xml:space="preserve"> </w:t>
      </w:r>
      <w:r>
        <w:rPr>
          <w:rFonts w:hint="eastAsia"/>
          <w:b/>
          <w:bCs/>
          <w:szCs w:val="20"/>
        </w:rPr>
        <w:t>主要技术经济指标</w:t>
      </w:r>
      <w:bookmarkEnd w:id="129"/>
      <w:bookmarkEnd w:id="130"/>
      <w:bookmarkEnd w:id="131"/>
      <w:bookmarkEnd w:id="132"/>
      <w:bookmarkEnd w:id="133"/>
    </w:p>
    <w:p>
      <w:pPr>
        <w:spacing w:line="460" w:lineRule="exact"/>
        <w:ind w:firstLine="411" w:firstLineChars="196"/>
        <w:rPr>
          <w:rFonts w:hint="eastAsia"/>
        </w:rPr>
      </w:pPr>
      <w:r>
        <w:rPr>
          <w:rFonts w:hint="eastAsia"/>
        </w:rPr>
        <w:t>技改项目主要技术经济指标见表3-10。</w:t>
      </w:r>
    </w:p>
    <w:p>
      <w:pPr>
        <w:spacing w:line="480" w:lineRule="exact"/>
        <w:jc w:val="center"/>
        <w:rPr>
          <w:rFonts w:hint="eastAsia" w:ascii="宋体" w:hAnsi="宋体"/>
          <w:b/>
        </w:rPr>
      </w:pPr>
      <w:r>
        <w:rPr>
          <w:rFonts w:hint="eastAsia" w:ascii="宋体" w:hAnsi="宋体"/>
          <w:b/>
        </w:rPr>
        <w:t>表3-10   技改项目主要技术经济指标</w:t>
      </w:r>
    </w:p>
    <w:tbl>
      <w:tblPr>
        <w:tblStyle w:val="20"/>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24"/>
        <w:gridCol w:w="3160"/>
        <w:gridCol w:w="1564"/>
        <w:gridCol w:w="1620"/>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序号</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指标名称</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单位</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指标数量</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工厂建设规模</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t/d</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2500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产品：水泥</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100.00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主要原、燃料消耗量</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石灰石</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101.9</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砂岩</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煤矸石</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9.2</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硫酸渣</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1.58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原  煤</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万t/a</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11.86</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生产方法</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新型干法</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主要生产设备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辊压机联合粉磨系统</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其中：辊压机</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Φ4.2Χ13m水泥磨</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五级旋风预热器+分解炉</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φ4.0×60回转窑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控制流篦冷机</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煤  磨</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台</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4.6</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4500kW纯低温余热发电机组</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套</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全厂技术性指标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水泥生产年耗电量</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 h/a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9481×10</w:t>
            </w:r>
            <w:r>
              <w:rPr>
                <w:rFonts w:ascii="宋体" w:hAnsi="宋体"/>
                <w:sz w:val="21"/>
                <w:szCs w:val="21"/>
                <w:vertAlign w:val="superscript"/>
              </w:rPr>
              <w:t>4</w:t>
            </w:r>
          </w:p>
        </w:tc>
        <w:tc>
          <w:tcPr>
            <w:tcW w:w="1619" w:type="dxa"/>
            <w:noWrap w:val="0"/>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日耗水量</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m</w:t>
            </w:r>
            <w:r>
              <w:rPr>
                <w:rFonts w:ascii="宋体" w:hAnsi="宋体"/>
                <w:sz w:val="21"/>
                <w:szCs w:val="21"/>
                <w:vertAlign w:val="superscript"/>
              </w:rPr>
              <w:t>3</w:t>
            </w:r>
            <w:r>
              <w:rPr>
                <w:rFonts w:ascii="宋体" w:hAnsi="宋体"/>
                <w:sz w:val="21"/>
                <w:szCs w:val="21"/>
              </w:rPr>
              <w:t>/d</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2642.3</w:t>
            </w:r>
          </w:p>
        </w:tc>
        <w:tc>
          <w:tcPr>
            <w:tcW w:w="1619" w:type="dxa"/>
            <w:noWrap w:val="0"/>
            <w:vAlign w:val="center"/>
          </w:tcPr>
          <w:p>
            <w:pPr>
              <w:spacing w:line="500" w:lineRule="exact"/>
              <w:jc w:val="center"/>
              <w:rPr>
                <w:rFonts w:ascii="宋体" w:hAnsi="宋体"/>
                <w:sz w:val="21"/>
                <w:szCs w:val="21"/>
              </w:rPr>
            </w:pPr>
            <w:r>
              <w:rPr>
                <w:rFonts w:ascii="宋体" w:hAnsi="宋体"/>
                <w:sz w:val="21"/>
                <w:szCs w:val="21"/>
              </w:rPr>
              <w:t>含</w:t>
            </w:r>
            <w:r>
              <w:rPr>
                <w:rFonts w:hint="eastAsia" w:ascii="宋体" w:hAnsi="宋体"/>
                <w:sz w:val="21"/>
                <w:szCs w:val="21"/>
              </w:rPr>
              <w:t>余热</w:t>
            </w:r>
            <w:r>
              <w:rPr>
                <w:rFonts w:ascii="宋体" w:hAnsi="宋体"/>
                <w:sz w:val="21"/>
                <w:szCs w:val="21"/>
              </w:rPr>
              <w:t>发电用水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余热发电可供量</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 h/a</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2479×10</w:t>
            </w:r>
            <w:r>
              <w:rPr>
                <w:rFonts w:ascii="宋体" w:hAnsi="宋体"/>
                <w:sz w:val="21"/>
                <w:szCs w:val="21"/>
                <w:vertAlign w:val="superscript"/>
              </w:rPr>
              <w:t>4</w:t>
            </w:r>
          </w:p>
        </w:tc>
        <w:tc>
          <w:tcPr>
            <w:tcW w:w="1619" w:type="dxa"/>
            <w:noWrap w:val="0"/>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吨熟料余热发电量</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w:t>
            </w:r>
            <w:r>
              <w:rPr>
                <w:rFonts w:ascii="宋体" w:hAnsi="宋体"/>
                <w:sz w:val="21"/>
                <w:szCs w:val="21"/>
              </w:rPr>
              <w:sym w:font="Symbol" w:char="F0D7"/>
            </w:r>
            <w:r>
              <w:rPr>
                <w:rFonts w:ascii="宋体" w:hAnsi="宋体"/>
                <w:sz w:val="21"/>
                <w:szCs w:val="21"/>
              </w:rPr>
              <w:t>h/t</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32</w:t>
            </w:r>
          </w:p>
        </w:tc>
        <w:tc>
          <w:tcPr>
            <w:tcW w:w="1619" w:type="dxa"/>
            <w:noWrap w:val="0"/>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spacing w:line="500" w:lineRule="exact"/>
              <w:jc w:val="center"/>
              <w:rPr>
                <w:rFonts w:ascii="宋体" w:hAnsi="宋体"/>
                <w:sz w:val="21"/>
                <w:szCs w:val="21"/>
              </w:rPr>
            </w:pPr>
            <w:r>
              <w:rPr>
                <w:rFonts w:ascii="宋体" w:hAnsi="宋体"/>
                <w:sz w:val="21"/>
                <w:szCs w:val="21"/>
              </w:rPr>
              <w:t>5.5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循环水利用率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ascii="宋体" w:hAnsi="宋体"/>
                <w:sz w:val="21"/>
                <w:szCs w:val="21"/>
              </w:rPr>
              <w:t>96</w:t>
            </w:r>
            <w:r>
              <w:rPr>
                <w:rFonts w:hint="eastAsia" w:ascii="宋体" w:hAnsi="宋体"/>
                <w:sz w:val="21"/>
                <w:szCs w:val="21"/>
              </w:rPr>
              <w:t>.4</w:t>
            </w:r>
          </w:p>
        </w:tc>
        <w:tc>
          <w:tcPr>
            <w:tcW w:w="1619" w:type="dxa"/>
            <w:noWrap w:val="0"/>
            <w:vAlign w:val="center"/>
          </w:tcPr>
          <w:p>
            <w:pPr>
              <w:spacing w:line="500" w:lineRule="exact"/>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项目总资金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36173.97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建设总投资</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38253.8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spacing w:line="500" w:lineRule="exact"/>
              <w:jc w:val="center"/>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建筑工程</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10500.4</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设备购置</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18676.6</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安装工程</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4120.1</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其它费用</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4965.7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设备材料涨价预备金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spacing w:line="500" w:lineRule="exact"/>
              <w:jc w:val="center"/>
              <w:rPr>
                <w:rFonts w:hint="eastAsia" w:ascii="宋体" w:hAnsi="宋体"/>
                <w:sz w:val="21"/>
                <w:szCs w:val="21"/>
              </w:rPr>
            </w:pPr>
            <w:r>
              <w:rPr>
                <w:rFonts w:hint="eastAsia" w:ascii="宋体" w:hAnsi="宋体"/>
                <w:sz w:val="21"/>
                <w:szCs w:val="21"/>
              </w:rPr>
              <w:t>1087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建设期利息</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812.7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6.2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流动资金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2500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其中：铺底流动资金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750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7</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单位指标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熟料料耗</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kg/kg</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1.518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熟料热耗</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kJ/kg-cl</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2969</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水泥吨投资</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元/t</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330.6</w:t>
            </w:r>
          </w:p>
        </w:tc>
        <w:tc>
          <w:tcPr>
            <w:tcW w:w="1619" w:type="dxa"/>
            <w:noWrap w:val="0"/>
            <w:vAlign w:val="center"/>
          </w:tcPr>
          <w:p>
            <w:pPr>
              <w:pStyle w:val="12"/>
              <w:widowControl/>
              <w:snapToGrid w:val="0"/>
              <w:spacing w:line="500" w:lineRule="exact"/>
              <w:ind w:left="6000"/>
              <w:jc w:val="center"/>
              <w:textAlignment w:val="bottom"/>
              <w:rPr>
                <w:rFonts w:ascii="宋体" w:hAnsi="宋体"/>
                <w:sz w:val="21"/>
                <w:szCs w:val="21"/>
              </w:rPr>
            </w:pPr>
            <w:r>
              <w:rPr>
                <w:rFonts w:ascii="宋体" w:hAnsi="宋体"/>
                <w:sz w:val="21"/>
                <w:szCs w:val="21"/>
              </w:rPr>
              <w:t>建设总投资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水泥综合电耗</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kWh/t</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91.8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7</w:t>
            </w:r>
            <w:r>
              <w:rPr>
                <w:rFonts w:ascii="宋体" w:hAnsi="宋体"/>
                <w:sz w:val="21"/>
                <w:szCs w:val="21"/>
              </w:rPr>
              <w:t>.5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产品总成本</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元/t</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20871.8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生产期平均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8</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职工人数及劳动生产率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w:t>
            </w:r>
            <w:r>
              <w:rPr>
                <w:rFonts w:ascii="宋体" w:hAnsi="宋体"/>
                <w:sz w:val="21"/>
                <w:szCs w:val="21"/>
              </w:rPr>
              <w:t>.1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职工人数</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人</w:t>
            </w: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273</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含余热发电部分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8</w:t>
            </w:r>
            <w:r>
              <w:rPr>
                <w:rFonts w:ascii="宋体" w:hAnsi="宋体"/>
                <w:sz w:val="21"/>
                <w:szCs w:val="21"/>
              </w:rPr>
              <w:t>.2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全员劳动生产率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t/人·a</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3663</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9</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财务评价指标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2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年销售额</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27320</w:t>
            </w:r>
          </w:p>
        </w:tc>
        <w:tc>
          <w:tcPr>
            <w:tcW w:w="1619"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年销售成本</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20871.8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年销售税金</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2595.4</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年销售税金附加</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285.5</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.5</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年资源税</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ascii="宋体" w:hAnsi="宋体"/>
                <w:sz w:val="21"/>
                <w:szCs w:val="21"/>
              </w:rPr>
              <w:t>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.6</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年利润总额</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ascii="宋体" w:hAnsi="宋体"/>
                <w:sz w:val="21"/>
                <w:szCs w:val="21"/>
              </w:rPr>
            </w:pPr>
            <w:r>
              <w:rPr>
                <w:rFonts w:hint="eastAsia" w:ascii="宋体" w:hAnsi="宋体"/>
                <w:sz w:val="21"/>
                <w:szCs w:val="21"/>
              </w:rPr>
              <w:t>6163.2</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.7</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年所得税</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924.5</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.8</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年可分配利润</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万元</w:t>
            </w:r>
          </w:p>
        </w:tc>
        <w:tc>
          <w:tcPr>
            <w:tcW w:w="1620" w:type="dxa"/>
            <w:noWrap w:val="0"/>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5238.7</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.9</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投资利润率（税前）</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noWrap w:val="0"/>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18.36</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.10</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投资利润率（税后）</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noWrap w:val="0"/>
            <w:vAlign w:val="center"/>
          </w:tcPr>
          <w:p>
            <w:pPr>
              <w:widowControl/>
              <w:spacing w:line="500" w:lineRule="exact"/>
              <w:jc w:val="center"/>
              <w:textAlignment w:val="bottom"/>
              <w:rPr>
                <w:rFonts w:hint="eastAsia" w:ascii="宋体" w:hAnsi="宋体"/>
                <w:sz w:val="21"/>
                <w:szCs w:val="21"/>
              </w:rPr>
            </w:pPr>
            <w:r>
              <w:rPr>
                <w:rFonts w:hint="eastAsia" w:ascii="宋体" w:hAnsi="宋体"/>
                <w:sz w:val="21"/>
                <w:szCs w:val="21"/>
              </w:rPr>
              <w:t>27.30</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.12</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全投资财务内部收益率</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w:t>
            </w:r>
          </w:p>
        </w:tc>
        <w:tc>
          <w:tcPr>
            <w:tcW w:w="1620" w:type="dxa"/>
            <w:noWrap w:val="0"/>
            <w:vAlign w:val="center"/>
          </w:tcPr>
          <w:p>
            <w:pPr>
              <w:widowControl/>
              <w:autoSpaceDE w:val="0"/>
              <w:autoSpaceDN w:val="0"/>
              <w:spacing w:line="500" w:lineRule="exact"/>
              <w:jc w:val="center"/>
              <w:textAlignment w:val="bottom"/>
              <w:rPr>
                <w:rFonts w:hint="eastAsia" w:ascii="宋体" w:hAnsi="宋体"/>
                <w:sz w:val="21"/>
                <w:szCs w:val="21"/>
              </w:rPr>
            </w:pPr>
            <w:r>
              <w:rPr>
                <w:rFonts w:hint="eastAsia" w:ascii="宋体" w:hAnsi="宋体"/>
                <w:sz w:val="21"/>
                <w:szCs w:val="21"/>
              </w:rPr>
              <w:t>25.18</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.13</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全投资静态投资回收期</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w:t>
            </w:r>
          </w:p>
        </w:tc>
        <w:tc>
          <w:tcPr>
            <w:tcW w:w="1620" w:type="dxa"/>
            <w:noWrap w:val="0"/>
            <w:vAlign w:val="center"/>
          </w:tcPr>
          <w:p>
            <w:pPr>
              <w:widowControl/>
              <w:autoSpaceDE w:val="0"/>
              <w:autoSpaceDN w:val="0"/>
              <w:spacing w:line="500" w:lineRule="exact"/>
              <w:jc w:val="center"/>
              <w:textAlignment w:val="bottom"/>
              <w:rPr>
                <w:rFonts w:hint="eastAsia" w:ascii="宋体" w:hAnsi="宋体"/>
                <w:sz w:val="21"/>
                <w:szCs w:val="21"/>
              </w:rPr>
            </w:pPr>
            <w:r>
              <w:rPr>
                <w:rFonts w:hint="eastAsia" w:ascii="宋体" w:hAnsi="宋体"/>
                <w:sz w:val="21"/>
                <w:szCs w:val="21"/>
              </w:rPr>
              <w:t>5.49</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含建设期1年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exact"/>
          <w:jc w:val="center"/>
        </w:trPr>
        <w:tc>
          <w:tcPr>
            <w:tcW w:w="92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hint="eastAsia" w:ascii="宋体" w:hAnsi="宋体"/>
                <w:sz w:val="21"/>
                <w:szCs w:val="21"/>
              </w:rPr>
              <w:t>9</w:t>
            </w:r>
            <w:r>
              <w:rPr>
                <w:rFonts w:ascii="宋体" w:hAnsi="宋体"/>
                <w:sz w:val="21"/>
                <w:szCs w:val="21"/>
              </w:rPr>
              <w:t>.14</w:t>
            </w:r>
          </w:p>
        </w:tc>
        <w:tc>
          <w:tcPr>
            <w:tcW w:w="3160"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贷款偿还期</w:t>
            </w:r>
          </w:p>
        </w:tc>
        <w:tc>
          <w:tcPr>
            <w:tcW w:w="1564"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年</w:t>
            </w:r>
          </w:p>
        </w:tc>
        <w:tc>
          <w:tcPr>
            <w:tcW w:w="1620" w:type="dxa"/>
            <w:noWrap w:val="0"/>
            <w:vAlign w:val="center"/>
          </w:tcPr>
          <w:p>
            <w:pPr>
              <w:widowControl/>
              <w:autoSpaceDE w:val="0"/>
              <w:autoSpaceDN w:val="0"/>
              <w:adjustRightInd w:val="0"/>
              <w:snapToGrid w:val="0"/>
              <w:spacing w:line="500" w:lineRule="exact"/>
              <w:jc w:val="center"/>
              <w:textAlignment w:val="bottom"/>
              <w:rPr>
                <w:rFonts w:hint="eastAsia" w:ascii="宋体" w:hAnsi="宋体"/>
                <w:sz w:val="21"/>
                <w:szCs w:val="21"/>
              </w:rPr>
            </w:pPr>
            <w:r>
              <w:rPr>
                <w:rFonts w:hint="eastAsia" w:ascii="宋体" w:hAnsi="宋体"/>
                <w:sz w:val="21"/>
                <w:szCs w:val="21"/>
              </w:rPr>
              <w:t>4.95</w:t>
            </w:r>
          </w:p>
        </w:tc>
        <w:tc>
          <w:tcPr>
            <w:tcW w:w="1619" w:type="dxa"/>
            <w:noWrap w:val="0"/>
            <w:vAlign w:val="center"/>
          </w:tcPr>
          <w:p>
            <w:pPr>
              <w:widowControl/>
              <w:autoSpaceDE w:val="0"/>
              <w:autoSpaceDN w:val="0"/>
              <w:adjustRightInd w:val="0"/>
              <w:snapToGrid w:val="0"/>
              <w:spacing w:line="500" w:lineRule="exact"/>
              <w:jc w:val="center"/>
              <w:textAlignment w:val="bottom"/>
              <w:rPr>
                <w:rFonts w:ascii="宋体" w:hAnsi="宋体"/>
                <w:sz w:val="21"/>
                <w:szCs w:val="21"/>
              </w:rPr>
            </w:pPr>
            <w:r>
              <w:rPr>
                <w:rFonts w:ascii="宋体" w:hAnsi="宋体"/>
                <w:sz w:val="21"/>
                <w:szCs w:val="21"/>
              </w:rPr>
              <w:t>含建设期1年</w:t>
            </w:r>
          </w:p>
        </w:tc>
      </w:tr>
    </w:tbl>
    <w:p>
      <w:pPr>
        <w:spacing w:line="460" w:lineRule="exact"/>
        <w:outlineLvl w:val="0"/>
        <w:rPr>
          <w:b/>
          <w:bCs/>
          <w:sz w:val="28"/>
          <w:szCs w:val="28"/>
        </w:rPr>
        <w:sectPr>
          <w:pgSz w:w="11906" w:h="16838"/>
          <w:pgMar w:top="1134" w:right="1418" w:bottom="1134" w:left="1418" w:header="851" w:footer="992" w:gutter="0"/>
          <w:paperSrc w:first="20070" w:other="20070"/>
          <w:cols w:space="425" w:num="1"/>
          <w:docGrid w:linePitch="312" w:charSpace="0"/>
        </w:sectPr>
      </w:pPr>
      <w:bookmarkStart w:id="134" w:name="_Toc175479796"/>
      <w:bookmarkStart w:id="135" w:name="_Toc473281499"/>
      <w:bookmarkStart w:id="136" w:name="_Toc155859738"/>
      <w:bookmarkStart w:id="137" w:name="_Toc174241351"/>
    </w:p>
    <w:p>
      <w:pPr>
        <w:spacing w:line="360" w:lineRule="auto"/>
        <w:outlineLvl w:val="1"/>
        <w:rPr>
          <w:rFonts w:hint="eastAsia"/>
          <w:b/>
          <w:szCs w:val="20"/>
        </w:rPr>
      </w:pPr>
      <w:bookmarkStart w:id="138" w:name="_Toc276372230"/>
      <w:bookmarkStart w:id="139" w:name="_Toc189814141"/>
      <w:r>
        <w:rPr>
          <w:rFonts w:hint="eastAsia"/>
          <w:b/>
          <w:szCs w:val="20"/>
        </w:rPr>
        <w:t>3.2工程分析</w:t>
      </w:r>
      <w:bookmarkEnd w:id="134"/>
      <w:bookmarkEnd w:id="135"/>
      <w:bookmarkEnd w:id="138"/>
      <w:bookmarkEnd w:id="139"/>
    </w:p>
    <w:bookmarkEnd w:id="136"/>
    <w:bookmarkEnd w:id="137"/>
    <w:p>
      <w:pPr>
        <w:spacing w:line="360" w:lineRule="auto"/>
        <w:outlineLvl w:val="2"/>
        <w:rPr>
          <w:rFonts w:hint="eastAsia"/>
          <w:b/>
          <w:bCs/>
          <w:szCs w:val="20"/>
        </w:rPr>
      </w:pPr>
      <w:bookmarkStart w:id="140" w:name="_Toc189814142"/>
      <w:bookmarkStart w:id="141" w:name="_Toc473281500"/>
      <w:bookmarkStart w:id="142" w:name="_Toc150759637"/>
      <w:bookmarkStart w:id="143" w:name="_Toc155859739"/>
      <w:r>
        <w:rPr>
          <w:rFonts w:hint="eastAsia"/>
          <w:b/>
          <w:bCs/>
          <w:szCs w:val="20"/>
        </w:rPr>
        <w:t>3.2. 1生产工艺</w:t>
      </w:r>
      <w:bookmarkEnd w:id="140"/>
      <w:bookmarkEnd w:id="141"/>
    </w:p>
    <w:bookmarkEnd w:id="142"/>
    <w:bookmarkEnd w:id="143"/>
    <w:p>
      <w:pPr>
        <w:spacing w:line="360" w:lineRule="auto"/>
        <w:ind w:firstLine="420" w:firstLineChars="200"/>
        <w:rPr>
          <w:rFonts w:ascii="宋体" w:hAnsi="宋体"/>
        </w:rPr>
      </w:pPr>
      <w:r>
        <w:rPr>
          <w:rFonts w:hint="eastAsia" w:ascii="宋体" w:hAnsi="宋体"/>
        </w:rPr>
        <w:t>技改项目采用新型干法——窑外预分解熟料生产工艺，主要包括生料制备、熟料煅烧、水泥调配等过程，其生产工艺流程见图3.3。</w:t>
      </w:r>
    </w:p>
    <w:p>
      <w:pPr>
        <w:spacing w:line="360" w:lineRule="auto"/>
        <w:ind w:firstLine="420" w:firstLineChars="200"/>
        <w:rPr>
          <w:rFonts w:hint="eastAsia" w:ascii="宋体" w:hAnsi="宋体"/>
        </w:rPr>
      </w:pPr>
      <w:r>
        <w:rPr>
          <w:rFonts w:hint="eastAsia" w:ascii="宋体" w:hAnsi="宋体"/>
        </w:rPr>
        <w:t>主要工艺流程简述：</w:t>
      </w:r>
    </w:p>
    <w:p>
      <w:pPr>
        <w:spacing w:line="360" w:lineRule="auto"/>
        <w:ind w:firstLine="420" w:firstLineChars="200"/>
        <w:rPr>
          <w:rFonts w:hint="eastAsia" w:ascii="宋体" w:hAnsi="宋体"/>
        </w:rPr>
      </w:pPr>
      <w:r>
        <w:rPr>
          <w:rFonts w:hint="eastAsia" w:ascii="宋体" w:hAnsi="宋体"/>
        </w:rPr>
        <w:t>（1）</w:t>
      </w:r>
      <w:r>
        <w:rPr>
          <w:rFonts w:ascii="宋体" w:hAnsi="宋体"/>
        </w:rPr>
        <w:t>石灰石破碎及预均化</w:t>
      </w:r>
    </w:p>
    <w:p>
      <w:pPr>
        <w:spacing w:line="360" w:lineRule="auto"/>
        <w:ind w:firstLine="420" w:firstLineChars="200"/>
        <w:rPr>
          <w:rFonts w:ascii="宋体" w:hAnsi="宋体"/>
        </w:rPr>
      </w:pPr>
      <w:r>
        <w:rPr>
          <w:rFonts w:ascii="宋体" w:hAnsi="宋体"/>
        </w:rPr>
        <w:t>石灰石运到石灰石破碎机前料仓内，或储存在石灰石堆场；堆场内的石灰石由装载机卸入破碎机前料仓，由仓下板喂机喂入PCF20.18石灰石单段锤式破碎机，出破碎机石灰石由皮带机送入</w:t>
      </w:r>
      <w:r>
        <w:rPr>
          <w:rFonts w:hint="eastAsia" w:ascii="宋体" w:hAnsi="宋体"/>
        </w:rPr>
        <w:t>Φ6</w:t>
      </w:r>
      <w:r>
        <w:rPr>
          <w:rFonts w:ascii="宋体" w:hAnsi="宋体"/>
        </w:rPr>
        <w:t>0m石灰石预均化堆场。</w:t>
      </w:r>
    </w:p>
    <w:p>
      <w:pPr>
        <w:spacing w:line="360" w:lineRule="auto"/>
        <w:ind w:firstLine="420" w:firstLineChars="200"/>
        <w:rPr>
          <w:rFonts w:ascii="宋体" w:hAnsi="宋体"/>
        </w:rPr>
      </w:pPr>
      <w:r>
        <w:rPr>
          <w:rFonts w:ascii="宋体" w:hAnsi="宋体"/>
        </w:rPr>
        <w:t>用皮带机送至预均化堆场中心的石灰石，由悬臂堆料皮带机进行连续人字形堆料，由刮板取料机横切取料。预均化后的石灰石从堆场中心漏斗卸出，经带式输送机输送至Φ8m石灰石配料库中。库底设置调速定量给料秤，经过计量的石灰石通过皮带输送机输送到生料磨中粉磨。</w:t>
      </w:r>
    </w:p>
    <w:p>
      <w:pPr>
        <w:spacing w:line="360" w:lineRule="auto"/>
        <w:ind w:firstLine="420" w:firstLineChars="200"/>
        <w:rPr>
          <w:rFonts w:ascii="宋体" w:hAnsi="宋体"/>
        </w:rPr>
      </w:pPr>
      <w:r>
        <w:rPr>
          <w:rFonts w:hint="eastAsia" w:ascii="宋体" w:hAnsi="宋体"/>
        </w:rPr>
        <w:t>（2）</w:t>
      </w:r>
      <w:r>
        <w:rPr>
          <w:rFonts w:ascii="宋体" w:hAnsi="宋体"/>
        </w:rPr>
        <w:t xml:space="preserve"> 辅助原料破碎</w:t>
      </w:r>
    </w:p>
    <w:p>
      <w:pPr>
        <w:spacing w:line="360" w:lineRule="auto"/>
        <w:ind w:firstLine="420" w:firstLineChars="200"/>
        <w:rPr>
          <w:rFonts w:ascii="宋体" w:hAnsi="宋体"/>
        </w:rPr>
      </w:pPr>
      <w:r>
        <w:rPr>
          <w:rFonts w:ascii="宋体" w:hAnsi="宋体"/>
        </w:rPr>
        <w:t>从矿区采出的砂岩及煤矸石由汽车运入厂区，计量后卸入原料堆场，堆场内的砂岩及煤矸石由装载机分别卸入破碎机前料仓，由仓下板喂机喂入各自破碎机，出破碎机砂岩及煤矸石由皮带机送入辅助原料预均化堆场。</w:t>
      </w:r>
    </w:p>
    <w:p>
      <w:pPr>
        <w:spacing w:line="360" w:lineRule="auto"/>
        <w:ind w:firstLine="420" w:firstLineChars="200"/>
        <w:rPr>
          <w:rFonts w:ascii="宋体" w:hAnsi="宋体"/>
        </w:rPr>
      </w:pPr>
      <w:r>
        <w:rPr>
          <w:rFonts w:hint="eastAsia" w:ascii="宋体" w:hAnsi="宋体"/>
        </w:rPr>
        <w:t>（3）</w:t>
      </w:r>
      <w:r>
        <w:rPr>
          <w:rFonts w:ascii="宋体" w:hAnsi="宋体"/>
        </w:rPr>
        <w:t>原料储库及输送</w:t>
      </w:r>
    </w:p>
    <w:p>
      <w:pPr>
        <w:spacing w:line="360" w:lineRule="auto"/>
        <w:ind w:firstLine="420" w:firstLineChars="200"/>
        <w:rPr>
          <w:rFonts w:ascii="宋体" w:hAnsi="宋体"/>
        </w:rPr>
      </w:pPr>
      <w:r>
        <w:rPr>
          <w:rFonts w:ascii="宋体" w:hAnsi="宋体"/>
        </w:rPr>
        <w:t>硫酸渣由汽车运输进厂，计量后卸入原料预均化堆场中储存。</w:t>
      </w:r>
    </w:p>
    <w:p>
      <w:pPr>
        <w:spacing w:line="360" w:lineRule="auto"/>
        <w:ind w:firstLine="420" w:firstLineChars="200"/>
        <w:rPr>
          <w:rFonts w:ascii="宋体" w:hAnsi="宋体"/>
        </w:rPr>
      </w:pPr>
      <w:r>
        <w:rPr>
          <w:rFonts w:ascii="宋体" w:hAnsi="宋体"/>
        </w:rPr>
        <w:t>辅助原料预均化堆场内的砂岩、煤矸石、硫酸渣分别用取料机送至各自配料库，经库底调速板喂机,定量给料秤计量，通过皮带输送机输送到生料磨中粉磨。</w:t>
      </w:r>
    </w:p>
    <w:p>
      <w:pPr>
        <w:spacing w:line="360" w:lineRule="auto"/>
        <w:ind w:firstLine="420" w:firstLineChars="200"/>
        <w:rPr>
          <w:rFonts w:ascii="宋体" w:hAnsi="宋体"/>
        </w:rPr>
      </w:pPr>
      <w:r>
        <w:rPr>
          <w:rFonts w:hint="eastAsia" w:ascii="宋体" w:hAnsi="宋体"/>
        </w:rPr>
        <w:t>（4）</w:t>
      </w:r>
      <w:r>
        <w:rPr>
          <w:rFonts w:ascii="宋体" w:hAnsi="宋体"/>
        </w:rPr>
        <w:t xml:space="preserve"> 石膏破碎及储存</w:t>
      </w:r>
    </w:p>
    <w:p>
      <w:pPr>
        <w:spacing w:line="360" w:lineRule="auto"/>
        <w:ind w:firstLine="420" w:firstLineChars="200"/>
        <w:rPr>
          <w:rFonts w:ascii="宋体" w:hAnsi="宋体"/>
        </w:rPr>
      </w:pPr>
      <w:r>
        <w:rPr>
          <w:rFonts w:ascii="宋体" w:hAnsi="宋体"/>
        </w:rPr>
        <w:t>石膏由汽车运输进厂，计量后卸至堆场，再由轮式装载机运至卸车坑，经卸料坑坑下板喂机喂入破碎机中。破碎后的石膏经皮带机输送至φ8m石膏库。</w:t>
      </w:r>
    </w:p>
    <w:p>
      <w:pPr>
        <w:spacing w:line="360" w:lineRule="auto"/>
        <w:ind w:firstLine="420" w:firstLineChars="200"/>
        <w:rPr>
          <w:rFonts w:ascii="宋体" w:hAnsi="宋体"/>
        </w:rPr>
      </w:pPr>
      <w:r>
        <w:rPr>
          <w:rFonts w:hint="eastAsia" w:ascii="宋体" w:hAnsi="宋体"/>
        </w:rPr>
        <w:t>（5）</w:t>
      </w:r>
      <w:r>
        <w:rPr>
          <w:rFonts w:ascii="宋体" w:hAnsi="宋体"/>
        </w:rPr>
        <w:t xml:space="preserve"> 煤输送、破碎及储存</w:t>
      </w:r>
    </w:p>
    <w:p>
      <w:pPr>
        <w:spacing w:line="360" w:lineRule="auto"/>
        <w:ind w:firstLine="420" w:firstLineChars="200"/>
        <w:rPr>
          <w:rFonts w:ascii="宋体" w:hAnsi="宋体"/>
        </w:rPr>
      </w:pPr>
      <w:r>
        <w:rPr>
          <w:rFonts w:ascii="宋体" w:hAnsi="宋体"/>
        </w:rPr>
        <w:t>原煤由汽车运输进厂，卸至堆场。由轮式装载机运至卸车坑，经卸料坑坑下板喂机喂入破碎机中破碎。再由皮带机输送至原煤预均化堆场。</w:t>
      </w:r>
    </w:p>
    <w:p>
      <w:pPr>
        <w:spacing w:line="360" w:lineRule="auto"/>
        <w:ind w:firstLine="420" w:firstLineChars="200"/>
        <w:rPr>
          <w:rFonts w:ascii="宋体" w:hAnsi="宋体"/>
        </w:rPr>
      </w:pPr>
      <w:r>
        <w:rPr>
          <w:rFonts w:ascii="宋体" w:hAnsi="宋体"/>
        </w:rPr>
        <w:t>原煤破碎机采用一台PCH-1010型环锤式破碎机。</w:t>
      </w:r>
    </w:p>
    <w:p>
      <w:pPr>
        <w:spacing w:line="360" w:lineRule="auto"/>
        <w:ind w:firstLine="420" w:firstLineChars="200"/>
        <w:rPr>
          <w:rFonts w:ascii="宋体" w:hAnsi="宋体"/>
        </w:rPr>
      </w:pPr>
      <w:r>
        <w:rPr>
          <w:rFonts w:hint="eastAsia" w:ascii="宋体" w:hAnsi="宋体"/>
        </w:rPr>
        <w:t>（6）</w:t>
      </w:r>
      <w:r>
        <w:rPr>
          <w:rFonts w:ascii="宋体" w:hAnsi="宋体"/>
        </w:rPr>
        <w:t xml:space="preserve"> 原煤预均化</w:t>
      </w:r>
    </w:p>
    <w:p>
      <w:pPr>
        <w:spacing w:line="360" w:lineRule="auto"/>
        <w:ind w:firstLine="420" w:firstLineChars="200"/>
        <w:rPr>
          <w:rFonts w:ascii="宋体" w:hAnsi="宋体"/>
        </w:rPr>
      </w:pPr>
      <w:r>
        <w:rPr>
          <w:rFonts w:ascii="宋体" w:hAnsi="宋体"/>
        </w:rPr>
        <w:t>破碎后的原煤输送至预均化堆场，堆场内由一台小车式皮带机进行布料，堆场内仅堆放原煤。一台桥式刮板取料机用于原煤取料，并经带式输送机输送至煤粉制备原煤仓。</w:t>
      </w:r>
    </w:p>
    <w:p>
      <w:pPr>
        <w:spacing w:line="480" w:lineRule="exact"/>
        <w:rPr>
          <w:rFonts w:hint="eastAsia" w:ascii="宋体" w:hAnsi="宋体"/>
        </w:rPr>
      </w:pPr>
      <w:r>
        <w:rPr>
          <w:rFonts w:ascii="宋体" w:hAnsi="宋体"/>
          <w:sz w:val="20"/>
        </w:rPr>
        <mc:AlternateContent>
          <mc:Choice Requires="wps">
            <w:drawing>
              <wp:anchor distT="0" distB="0" distL="114300" distR="114300" simplePos="0" relativeHeight="251828224" behindDoc="0" locked="0" layoutInCell="1" allowOverlap="1">
                <wp:simplePos x="0" y="0"/>
                <wp:positionH relativeFrom="column">
                  <wp:posOffset>3090545</wp:posOffset>
                </wp:positionH>
                <wp:positionV relativeFrom="paragraph">
                  <wp:posOffset>297180</wp:posOffset>
                </wp:positionV>
                <wp:extent cx="0" cy="297180"/>
                <wp:effectExtent l="38100" t="0" r="38100" b="7620"/>
                <wp:wrapNone/>
                <wp:docPr id="26" name="直接连接符 2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35pt;margin-top:23.4pt;height:23.4pt;width:0pt;z-index:251828224;mso-width-relative:page;mso-height-relative:page;" filled="f" stroked="t" coordsize="21600,21600" o:gfxdata="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X3x0z2AAAAAkB&#10;AAAPAAAAAAAAAAEAIAAAACIAAABkcnMvZG93bnJldi54bWxQSwECFAAUAAAACACHTuJA3skgtO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6176" behindDoc="0" locked="0" layoutInCell="1" allowOverlap="1">
                <wp:simplePos x="0" y="0"/>
                <wp:positionH relativeFrom="column">
                  <wp:posOffset>1736725</wp:posOffset>
                </wp:positionH>
                <wp:positionV relativeFrom="paragraph">
                  <wp:posOffset>-9525</wp:posOffset>
                </wp:positionV>
                <wp:extent cx="585470" cy="297180"/>
                <wp:effectExtent l="0" t="0" r="5080" b="7620"/>
                <wp:wrapNone/>
                <wp:docPr id="47" name="矩形 47"/>
                <wp:cNvGraphicFramePr/>
                <a:graphic xmlns:a="http://schemas.openxmlformats.org/drawingml/2006/main">
                  <a:graphicData uri="http://schemas.microsoft.com/office/word/2010/wordprocessingShape">
                    <wps:wsp>
                      <wps:cNvSpPr/>
                      <wps:spPr>
                        <a:xfrm>
                          <a:off x="0" y="0"/>
                          <a:ext cx="585470" cy="297180"/>
                        </a:xfrm>
                        <a:prstGeom prst="rect">
                          <a:avLst/>
                        </a:prstGeom>
                        <a:solidFill>
                          <a:srgbClr val="FFFFFF"/>
                        </a:solidFill>
                        <a:ln>
                          <a:noFill/>
                        </a:ln>
                      </wps:spPr>
                      <wps:txbx>
                        <w:txbxContent>
                          <w:p>
                            <w:r>
                              <w:rPr>
                                <w:rFonts w:hint="eastAsia" w:ascii="宋体" w:hAnsi="宋体"/>
                              </w:rPr>
                              <w:t>砂岩</w:t>
                            </w:r>
                          </w:p>
                        </w:txbxContent>
                      </wps:txbx>
                      <wps:bodyPr upright="1"/>
                    </wps:wsp>
                  </a:graphicData>
                </a:graphic>
              </wp:anchor>
            </w:drawing>
          </mc:Choice>
          <mc:Fallback>
            <w:pict>
              <v:rect id="_x0000_s1026" o:spid="_x0000_s1026" o:spt="1" style="position:absolute;left:0pt;margin-left:136.75pt;margin-top:-0.75pt;height:23.4pt;width:46.1pt;z-index:251826176;mso-width-relative:page;mso-height-relative:page;" fillcolor="#FFFFFF" filled="t" stroked="f" coordsize="21600,21600" o:gfxdata="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qaejD2AAAAAkBAAAPAAAAAAAAAAEA&#10;IAAAACIAAABkcnMvZG93bnJldi54bWxQSwECFAAUAAAACACHTuJATWMArp0BAAAdAwAADgAAAAAA&#10;AAABACAAAAAnAQAAZHJzL2Uyb0RvYy54bWxQSwUGAAAAAAYABgBZAQAANgUAAAAA&#10;">
                <v:fill on="t" focussize="0,0"/>
                <v:stroke on="f"/>
                <v:imagedata o:title=""/>
                <o:lock v:ext="edit" aspectratio="f"/>
                <v:textbox>
                  <w:txbxContent>
                    <w:p>
                      <w:r>
                        <w:rPr>
                          <w:rFonts w:hint="eastAsia" w:ascii="宋体" w:hAnsi="宋体"/>
                        </w:rPr>
                        <w:t>砂岩</w:t>
                      </w:r>
                    </w:p>
                  </w:txbxContent>
                </v:textbox>
              </v:rect>
            </w:pict>
          </mc:Fallback>
        </mc:AlternateContent>
      </w:r>
      <w:r>
        <w:rPr>
          <w:rFonts w:ascii="宋体" w:hAnsi="宋体"/>
          <w:sz w:val="20"/>
        </w:rPr>
        <mc:AlternateContent>
          <mc:Choice Requires="wps">
            <w:drawing>
              <wp:anchor distT="0" distB="0" distL="114300" distR="114300" simplePos="0" relativeHeight="251827200" behindDoc="0" locked="0" layoutInCell="1" allowOverlap="1">
                <wp:simplePos x="0" y="0"/>
                <wp:positionH relativeFrom="column">
                  <wp:posOffset>1988820</wp:posOffset>
                </wp:positionH>
                <wp:positionV relativeFrom="paragraph">
                  <wp:posOffset>281940</wp:posOffset>
                </wp:positionV>
                <wp:extent cx="0" cy="297180"/>
                <wp:effectExtent l="38100" t="0" r="38100" b="7620"/>
                <wp:wrapNone/>
                <wp:docPr id="28" name="直接连接符 2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6pt;margin-top:22.2pt;height:23.4pt;width:0pt;z-index:251827200;mso-width-relative:page;mso-height-relative:page;" filled="f" stroked="t" coordsize="21600,21600" o:gfxdata="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jiDC2QAAAAkB&#10;AAAPAAAAAAAAAAEAIAAAACIAAABkcnMvZG93bnJldi54bWxQSwECFAAUAAAACACHTuJA329Z/eEB&#10;AACbAwAADgAAAAAAAAABACAAAAAo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5152" behindDoc="0" locked="0" layoutInCell="1" allowOverlap="1">
                <wp:simplePos x="0" y="0"/>
                <wp:positionH relativeFrom="column">
                  <wp:posOffset>523240</wp:posOffset>
                </wp:positionH>
                <wp:positionV relativeFrom="paragraph">
                  <wp:posOffset>11430</wp:posOffset>
                </wp:positionV>
                <wp:extent cx="763270" cy="297180"/>
                <wp:effectExtent l="0" t="0" r="17780" b="7620"/>
                <wp:wrapNone/>
                <wp:docPr id="29" name="矩形 29"/>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石灰石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41.2pt;margin-top:0.9pt;height:23.4pt;width:60.1pt;z-index:251825152;mso-width-relative:page;mso-height-relative:page;" fillcolor="#FFFFFF" filled="t" stroked="f" coordsize="21600,21600" o:gfxdata="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Gish1QAAAAcBAAAPAAAAAAAAAAEAIAAA&#10;ACIAAABkcnMvZG93bnJldi54bWxQSwECFAAUAAAACACHTuJAkrdit50BAAAdAwAADgAAAAAAAAAB&#10;ACAAAAAkAQAAZHJzL2Uyb0RvYy54bWxQSwUGAAAAAAYABgBZAQAAMwUAAAAA&#10;">
                <v:fill on="t" focussize="0,0"/>
                <v:stroke on="f"/>
                <v:imagedata o:title=""/>
                <o:lock v:ext="edit" aspectratio="f"/>
                <v:textbox>
                  <w:txbxContent>
                    <w:p>
                      <w:r>
                        <w:rPr>
                          <w:rFonts w:hint="eastAsia" w:ascii="宋体" w:hAnsi="宋体"/>
                        </w:rPr>
                        <w:t>石灰石</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17984" behindDoc="0" locked="0" layoutInCell="1" allowOverlap="1">
                <wp:simplePos x="0" y="0"/>
                <wp:positionH relativeFrom="column">
                  <wp:posOffset>499745</wp:posOffset>
                </wp:positionH>
                <wp:positionV relativeFrom="paragraph">
                  <wp:posOffset>70485</wp:posOffset>
                </wp:positionV>
                <wp:extent cx="763270" cy="226695"/>
                <wp:effectExtent l="0" t="0" r="17780" b="1905"/>
                <wp:wrapNone/>
                <wp:docPr id="30" name="矩形 30"/>
                <wp:cNvGraphicFramePr/>
                <a:graphic xmlns:a="http://schemas.openxmlformats.org/drawingml/2006/main">
                  <a:graphicData uri="http://schemas.microsoft.com/office/word/2010/wordprocessingShape">
                    <wps:wsp>
                      <wps:cNvSpPr/>
                      <wps:spPr>
                        <a:xfrm>
                          <a:off x="0" y="0"/>
                          <a:ext cx="763270" cy="226695"/>
                        </a:xfrm>
                        <a:prstGeom prst="rect">
                          <a:avLst/>
                        </a:prstGeom>
                        <a:solidFill>
                          <a:srgbClr val="FFFFFF"/>
                        </a:solidFill>
                        <a:ln>
                          <a:noFill/>
                        </a:ln>
                      </wps:spPr>
                      <wps:txbx>
                        <w:txbxContent>
                          <w:p>
                            <w:r>
                              <w:rPr>
                                <w:rFonts w:hint="eastAsia" w:ascii="宋体" w:hAnsi="宋体"/>
                              </w:rPr>
                              <w:t>石灰石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9.35pt;margin-top:5.55pt;height:17.85pt;width:60.1pt;z-index:251817984;mso-width-relative:page;mso-height-relative:page;" fillcolor="#FFFFFF" filled="t" stroked="f" coordsize="21600,21600" o:gfxdata="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1Ak09YAAAAIAQAADwAAAAAAAAABACAAAAAi&#10;AAAAZHJzL2Rvd25yZXYueG1sUEsBAhQAFAAAAAgAh07iQGthXPmaAQAAHQMAAA4AAAAAAAAAAQAg&#10;AAAAJQEAAGRycy9lMm9Eb2MueG1sUEsFBgAAAAAGAAYAWQEAADEFAAAAAA==&#10;">
                <v:fill on="t" focussize="0,0"/>
                <v:stroke on="f"/>
                <v:imagedata o:title=""/>
                <o:lock v:ext="edit" aspectratio="f"/>
                <v:textbox>
                  <w:txbxContent>
                    <w:p>
                      <w:r>
                        <w:rPr>
                          <w:rFonts w:hint="eastAsia" w:ascii="宋体" w:hAnsi="宋体"/>
                        </w:rPr>
                        <w:t>石灰石</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20032" behindDoc="0" locked="0" layoutInCell="1" allowOverlap="1">
                <wp:simplePos x="0" y="0"/>
                <wp:positionH relativeFrom="column">
                  <wp:posOffset>889000</wp:posOffset>
                </wp:positionH>
                <wp:positionV relativeFrom="paragraph">
                  <wp:posOffset>297180</wp:posOffset>
                </wp:positionV>
                <wp:extent cx="0" cy="297180"/>
                <wp:effectExtent l="38100" t="0" r="38100" b="7620"/>
                <wp:wrapNone/>
                <wp:docPr id="35" name="直接连接符 3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0pt;margin-top:23.4pt;height:23.4pt;width:0pt;z-index:251820032;mso-width-relative:page;mso-height-relative:page;" filled="f" stroked="t" coordsize="21600,21600" o:gfxdata="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nk34C2AAAAAkB&#10;AAAPAAAAAAAAAAEAIAAAACIAAABkcnMvZG93bnJldi54bWxQSwECFAAUAAAACACHTuJAoDpVRe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821056" behindDoc="0" locked="0" layoutInCell="1" allowOverlap="1">
                <wp:simplePos x="0" y="0"/>
                <wp:positionH relativeFrom="column">
                  <wp:posOffset>2736850</wp:posOffset>
                </wp:positionH>
                <wp:positionV relativeFrom="paragraph">
                  <wp:posOffset>-1905</wp:posOffset>
                </wp:positionV>
                <wp:extent cx="763270" cy="297180"/>
                <wp:effectExtent l="0" t="0" r="17780" b="7620"/>
                <wp:wrapNone/>
                <wp:docPr id="36" name="矩形 36"/>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a:noFill/>
                        </a:ln>
                      </wps:spPr>
                      <wps:txbx>
                        <w:txbxContent>
                          <w:p>
                            <w:r>
                              <w:rPr>
                                <w:rFonts w:hint="eastAsia" w:ascii="宋体" w:hAnsi="宋体"/>
                              </w:rPr>
                              <w:t>煤矸石</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5.5pt;margin-top:-0.15pt;height:23.4pt;width:60.1pt;z-index:251821056;mso-width-relative:page;mso-height-relative:page;" fillcolor="#FFFFFF" filled="t" stroked="f" coordsize="21600,21600" o:gfxdata="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NI4mP7WAAAACAEAAA8AAAAAAAAAAQAg&#10;AAAAIgAAAGRycy9kb3ducmV2LnhtbFBLAQIUABQAAAAIAIdO4kC3lWqDngEAAB0DAAAOAAAAAAAA&#10;AAEAIAAAACUBAABkcnMvZTJvRG9jLnhtbFBLBQYAAAAABgAGAFkBAAA1BQAAAAA=&#10;">
                <v:fill on="t" focussize="0,0"/>
                <v:stroke on="f"/>
                <v:imagedata o:title=""/>
                <o:lock v:ext="edit" aspectratio="f"/>
                <v:textbox>
                  <w:txbxContent>
                    <w:p>
                      <w:r>
                        <w:rPr>
                          <w:rFonts w:hint="eastAsia" w:ascii="宋体" w:hAnsi="宋体"/>
                        </w:rPr>
                        <w:t>煤矸石</w:t>
                      </w:r>
                      <w:r>
                        <w:rPr>
                          <w:rFonts w:hint="eastAsia" w:ascii="宋体" w:hAnsi="宋体"/>
                          <w:sz w:val="21"/>
                          <w:szCs w:val="21"/>
                        </w:rPr>
                        <w:t>△</w:t>
                      </w:r>
                    </w:p>
                  </w:txbxContent>
                </v:textbox>
              </v:rect>
            </w:pict>
          </mc:Fallback>
        </mc:AlternateContent>
      </w:r>
      <w:r>
        <w:rPr>
          <w:rFonts w:hint="eastAsia"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77696" behindDoc="0" locked="0" layoutInCell="1" allowOverlap="1">
                <wp:simplePos x="0" y="0"/>
                <wp:positionH relativeFrom="column">
                  <wp:posOffset>1617980</wp:posOffset>
                </wp:positionH>
                <wp:positionV relativeFrom="paragraph">
                  <wp:posOffset>280670</wp:posOffset>
                </wp:positionV>
                <wp:extent cx="799465" cy="297180"/>
                <wp:effectExtent l="4445" t="4445" r="15240" b="22225"/>
                <wp:wrapNone/>
                <wp:docPr id="37" name="矩形 37"/>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27.4pt;margin-top:22.1pt;height:23.4pt;width:62.95pt;z-index:251677696;mso-width-relative:page;mso-height-relative:page;" fillcolor="#FFFFFF" filled="t" stroked="t" coordsize="21600,21600" o:gfxdata="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4Se92AAAAAkBAAAPAAAAAAAAAAEAIAAAACIAAABkcnMvZG93bnJldi54bWxQSwECFAAUAAAACACH&#10;TuJAMwaCr+sBAADcAwAADgAAAAAAAAABACAAAAAnAQAAZHJzL2Uyb0RvYy54bWxQSwUGAAAAAAYA&#10;BgBZAQAAhAU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24128" behindDoc="0" locked="0" layoutInCell="1" allowOverlap="1">
                <wp:simplePos x="0" y="0"/>
                <wp:positionH relativeFrom="column">
                  <wp:posOffset>2733040</wp:posOffset>
                </wp:positionH>
                <wp:positionV relativeFrom="paragraph">
                  <wp:posOffset>270510</wp:posOffset>
                </wp:positionV>
                <wp:extent cx="799465" cy="297180"/>
                <wp:effectExtent l="4445" t="4445" r="15240" b="22225"/>
                <wp:wrapNone/>
                <wp:docPr id="48" name="矩形 48"/>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5.2pt;margin-top:21.3pt;height:23.4pt;width:62.95pt;z-index:251824128;mso-width-relative:page;mso-height-relative:page;" fillcolor="#FFFFFF" filled="t" stroked="t" coordsize="21600,21600" o:gfxdata="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j&#10;LhvYAAAACQEAAA8AAAAAAAAAAQAgAAAAIgAAAGRycy9kb3ducmV2LnhtbFBLAQIUABQAAAAIAIdO&#10;4kBInYje6gEAANwDAAAOAAAAAAAAAAEAIAAAACcBAABkcnMvZTJvRG9jLnhtbFBLBQYAAAAABgAG&#10;AFkBAACDBQ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819008" behindDoc="0" locked="0" layoutInCell="1" allowOverlap="1">
                <wp:simplePos x="0" y="0"/>
                <wp:positionH relativeFrom="column">
                  <wp:posOffset>446405</wp:posOffset>
                </wp:positionH>
                <wp:positionV relativeFrom="paragraph">
                  <wp:posOffset>264795</wp:posOffset>
                </wp:positionV>
                <wp:extent cx="799465" cy="297180"/>
                <wp:effectExtent l="4445" t="4445" r="15240" b="22225"/>
                <wp:wrapNone/>
                <wp:docPr id="51" name="矩形 51"/>
                <wp:cNvGraphicFramePr/>
                <a:graphic xmlns:a="http://schemas.openxmlformats.org/drawingml/2006/main">
                  <a:graphicData uri="http://schemas.microsoft.com/office/word/2010/wordprocessingShape">
                    <wps:wsp>
                      <wps:cNvSpPr/>
                      <wps:spPr>
                        <a:xfrm>
                          <a:off x="0" y="0"/>
                          <a:ext cx="7994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5.15pt;margin-top:20.85pt;height:23.4pt;width:62.95pt;z-index:251819008;mso-width-relative:page;mso-height-relative:page;" fillcolor="#FFFFFF" filled="t" stroked="t" coordsize="21600,21600" o:gfxdata="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tx1&#10;29cAAAAIAQAADwAAAAAAAAABACAAAAAiAAAAZHJzL2Rvd25yZXYueG1sUEsBAhQAFAAAAAgAh07i&#10;QH800rDqAQAA3AMAAA4AAAAAAAAAAQAgAAAAJgEAAGRycy9lMm9Eb2MueG1sUEsFBgAAAAAGAAYA&#10;WQEAAIIFA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hint="eastAsia" w:ascii="宋体" w:hAnsi="宋体"/>
        </w:rPr>
        <w:t xml:space="preserve">              </w:t>
      </w:r>
    </w:p>
    <w:p>
      <w:pPr>
        <w:autoSpaceDE w:val="0"/>
        <w:autoSpaceDN w:val="0"/>
        <w:spacing w:line="480" w:lineRule="exact"/>
        <w:ind w:firstLine="874" w:firstLineChars="437"/>
        <w:textAlignment w:val="bottom"/>
        <w:rPr>
          <w:rFonts w:hint="eastAsia" w:ascii="宋体" w:hAnsi="宋体"/>
        </w:rPr>
      </w:pPr>
      <w:r>
        <w:rPr>
          <w:rFonts w:ascii="宋体" w:hAnsi="宋体"/>
          <w:sz w:val="20"/>
        </w:rPr>
        <mc:AlternateContent>
          <mc:Choice Requires="wps">
            <w:drawing>
              <wp:anchor distT="0" distB="0" distL="114300" distR="114300" simplePos="0" relativeHeight="251668480" behindDoc="0" locked="0" layoutInCell="1" allowOverlap="1">
                <wp:simplePos x="0" y="0"/>
                <wp:positionH relativeFrom="column">
                  <wp:posOffset>4813935</wp:posOffset>
                </wp:positionH>
                <wp:positionV relativeFrom="paragraph">
                  <wp:posOffset>26670</wp:posOffset>
                </wp:positionV>
                <wp:extent cx="252095" cy="215900"/>
                <wp:effectExtent l="0" t="0" r="14605" b="12700"/>
                <wp:wrapNone/>
                <wp:docPr id="31" name="矩形 31"/>
                <wp:cNvGraphicFramePr/>
                <a:graphic xmlns:a="http://schemas.openxmlformats.org/drawingml/2006/main">
                  <a:graphicData uri="http://schemas.microsoft.com/office/word/2010/wordprocessingShape">
                    <wps:wsp>
                      <wps:cNvSpPr/>
                      <wps:spPr>
                        <a:xfrm flipV="1">
                          <a:off x="0" y="0"/>
                          <a:ext cx="252095" cy="215900"/>
                        </a:xfrm>
                        <a:prstGeom prst="rect">
                          <a:avLst/>
                        </a:prstGeom>
                        <a:solidFill>
                          <a:srgbClr val="FFFFFF"/>
                        </a:solidFill>
                        <a:ln>
                          <a:noFill/>
                        </a:ln>
                      </wps:spPr>
                      <wps:txbx>
                        <w:txbxContent>
                          <w:p>
                            <w:pPr>
                              <w:spacing w:line="240" w:lineRule="exact"/>
                              <w:jc w:val="center"/>
                              <w:rPr>
                                <w:rFonts w:hint="eastAsia"/>
                              </w:rPr>
                            </w:pPr>
                            <w:r>
                              <w:rPr>
                                <w:rFonts w:hint="eastAsia"/>
                              </w:rPr>
                              <w:t>煤</w:t>
                            </w:r>
                          </w:p>
                        </w:txbxContent>
                      </wps:txbx>
                      <wps:bodyPr lIns="0" tIns="0" rIns="0" bIns="0" upright="1"/>
                    </wps:wsp>
                  </a:graphicData>
                </a:graphic>
              </wp:anchor>
            </w:drawing>
          </mc:Choice>
          <mc:Fallback>
            <w:pict>
              <v:rect id="_x0000_s1026" o:spid="_x0000_s1026" o:spt="1" style="position:absolute;left:0pt;flip:y;margin-left:379.05pt;margin-top:2.1pt;height:17pt;width:19.85pt;z-index:251668480;mso-width-relative:page;mso-height-relative:page;" fillcolor="#FFFFFF" filled="t" stroked="f" coordsize="21600,21600" o:gfxdata="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9j0S&#10;1gAAAAgBAAAPAAAAAAAAAAEAIAAAACIAAABkcnMvZG93bnJldi54bWxQSwECFAAUAAAACACHTuJA&#10;2dA+o7EBAABLAwAADgAAAAAAAAABACAAAAAlAQAAZHJzL2Uyb0RvYy54bWxQSwUGAAAAAAYABgBZ&#10;AQAASAUAAAAA&#10;">
                <v:fill on="t" focussize="0,0"/>
                <v:stroke on="f"/>
                <v:imagedata o:title=""/>
                <o:lock v:ext="edit" aspectratio="f"/>
                <v:textbox inset="0mm,0mm,0mm,0mm">
                  <w:txbxContent>
                    <w:p>
                      <w:pPr>
                        <w:spacing w:line="240" w:lineRule="exact"/>
                        <w:jc w:val="center"/>
                        <w:rPr>
                          <w:rFonts w:hint="eastAsia"/>
                        </w:rPr>
                      </w:pPr>
                      <w:r>
                        <w:rPr>
                          <w:rFonts w:hint="eastAsia"/>
                        </w:rPr>
                        <w:t>煤</w:t>
                      </w:r>
                    </w:p>
                  </w:txbxContent>
                </v:textbox>
              </v:rect>
            </w:pict>
          </mc:Fallback>
        </mc:AlternateContent>
      </w:r>
      <w:r>
        <w:rPr>
          <w:rFonts w:ascii="宋体" w:hAnsi="宋体"/>
        </w:rPr>
        <mc:AlternateContent>
          <mc:Choice Requires="wps">
            <w:drawing>
              <wp:anchor distT="0" distB="0" distL="114300" distR="114300" simplePos="0" relativeHeight="251679744" behindDoc="0" locked="0" layoutInCell="1" allowOverlap="1">
                <wp:simplePos x="0" y="0"/>
                <wp:positionH relativeFrom="column">
                  <wp:posOffset>1993265</wp:posOffset>
                </wp:positionH>
                <wp:positionV relativeFrom="paragraph">
                  <wp:posOffset>266065</wp:posOffset>
                </wp:positionV>
                <wp:extent cx="0" cy="297180"/>
                <wp:effectExtent l="38100" t="0" r="38100" b="7620"/>
                <wp:wrapNone/>
                <wp:docPr id="32" name="直接连接符 3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95pt;margin-top:20.95pt;height:23.4pt;width:0pt;z-index:251679744;mso-width-relative:page;mso-height-relative:page;" filled="f" stroked="t" coordsize="21600,21600" o:gfxdata="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6GexLdgAAAAJ&#10;AQAADwAAAAAAAAABACAAAAAiAAAAZHJzL2Rvd25yZXYueG1sUEsBAhQAFAAAAAgAh07iQIBqUYzj&#10;AQAAmw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59616" behindDoc="0" locked="0" layoutInCell="1" allowOverlap="1">
                <wp:simplePos x="0" y="0"/>
                <wp:positionH relativeFrom="column">
                  <wp:posOffset>4914900</wp:posOffset>
                </wp:positionH>
                <wp:positionV relativeFrom="paragraph">
                  <wp:posOffset>182880</wp:posOffset>
                </wp:positionV>
                <wp:extent cx="0" cy="297180"/>
                <wp:effectExtent l="38100" t="0" r="38100" b="7620"/>
                <wp:wrapNone/>
                <wp:docPr id="44" name="直接连接符 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4.4pt;height:23.4pt;width:0pt;z-index:251759616;mso-width-relative:page;mso-height-relative:page;" filled="f" stroked="t" coordsize="21600,21600" o:gfxdata="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z5NQ9kAAAAJ&#10;AQAADwAAAAAAAAABACAAAAAiAAAAZHJzL2Rvd25yZXYueG1sUEsBAhQAFAAAAAgAh07iQHXbdZ/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1792" behindDoc="0" locked="0" layoutInCell="1" allowOverlap="1">
                <wp:simplePos x="0" y="0"/>
                <wp:positionH relativeFrom="column">
                  <wp:posOffset>3128645</wp:posOffset>
                </wp:positionH>
                <wp:positionV relativeFrom="paragraph">
                  <wp:posOffset>288290</wp:posOffset>
                </wp:positionV>
                <wp:extent cx="0" cy="297180"/>
                <wp:effectExtent l="38100" t="0" r="38100" b="7620"/>
                <wp:wrapNone/>
                <wp:docPr id="40" name="直接连接符 4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35pt;margin-top:22.7pt;height:23.4pt;width:0pt;z-index:251681792;mso-width-relative:page;mso-height-relative:page;" filled="f" stroked="t" coordsize="21600,21600" o:gfxdata="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IlFU2AAAAAkB&#10;AAAPAAAAAAAAAAEAIAAAACIAAABkcnMvZG93bnJldi54bWxQSwECFAAUAAAACACHTuJAw8KIr+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0768" behindDoc="0" locked="0" layoutInCell="1" allowOverlap="1">
                <wp:simplePos x="0" y="0"/>
                <wp:positionH relativeFrom="column">
                  <wp:posOffset>861695</wp:posOffset>
                </wp:positionH>
                <wp:positionV relativeFrom="paragraph">
                  <wp:posOffset>255905</wp:posOffset>
                </wp:positionV>
                <wp:extent cx="0" cy="297180"/>
                <wp:effectExtent l="38100" t="0" r="38100" b="7620"/>
                <wp:wrapNone/>
                <wp:docPr id="33" name="直接连接符 3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7.85pt;margin-top:20.15pt;height:23.4pt;width:0pt;z-index:251680768;mso-width-relative:page;mso-height-relative:page;" filled="f" stroked="t" coordsize="21600,21600" o:gfxdata="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ysLNkAAAAJ&#10;AQAADwAAAAAAAAABACAAAAAiAAAAZHJzL2Rvd25yZXYueG1sUEsBAhQAFAAAAAgAh07iQM2v1m3i&#10;AQAAmwMAAA4AAAAAAAAAAQAgAAAAKA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823104" behindDoc="0" locked="0" layoutInCell="1" allowOverlap="1">
                <wp:simplePos x="0" y="0"/>
                <wp:positionH relativeFrom="column">
                  <wp:posOffset>2743200</wp:posOffset>
                </wp:positionH>
                <wp:positionV relativeFrom="paragraph">
                  <wp:posOffset>274320</wp:posOffset>
                </wp:positionV>
                <wp:extent cx="775970" cy="495300"/>
                <wp:effectExtent l="4445" t="4445" r="19685" b="14605"/>
                <wp:wrapNone/>
                <wp:docPr id="34" name="矩形 34"/>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216pt;margin-top:21.6pt;height:39pt;width:61.1pt;z-index:251823104;mso-width-relative:page;mso-height-relative:page;" fillcolor="#FFFFFF" filled="t" stroked="t" coordsize="21600,21600" o:gfxdata="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L&#10;oQrXAAAACgEAAA8AAAAAAAAAAQAgAAAAIgAAAGRycy9kb3ducmV2LnhtbFBLAQIUABQAAAAIAIdO&#10;4kBsevGI6wEAANw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822080" behindDoc="0" locked="0" layoutInCell="1" allowOverlap="1">
                <wp:simplePos x="0" y="0"/>
                <wp:positionH relativeFrom="column">
                  <wp:posOffset>1600200</wp:posOffset>
                </wp:positionH>
                <wp:positionV relativeFrom="paragraph">
                  <wp:posOffset>274320</wp:posOffset>
                </wp:positionV>
                <wp:extent cx="775970" cy="495300"/>
                <wp:effectExtent l="4445" t="4445" r="19685" b="14605"/>
                <wp:wrapNone/>
                <wp:docPr id="53" name="矩形 53"/>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26pt;margin-top:21.6pt;height:39pt;width:61.1pt;z-index:251822080;mso-width-relative:page;mso-height-relative:page;" fillcolor="#FFFFFF" filled="t" stroked="t" coordsize="21600,21600" o:gfxdata="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5o&#10;83XYAAAACgEAAA8AAAAAAAAAAQAgAAAAIgAAAGRycy9kb3ducmV2LnhtbFBLAQIUABQAAAAIAIdO&#10;4kDNvcD66gEAANwDAAAOAAAAAAAAAAEAIAAAACc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760640" behindDoc="0" locked="0" layoutInCell="1" allowOverlap="1">
                <wp:simplePos x="0" y="0"/>
                <wp:positionH relativeFrom="column">
                  <wp:posOffset>4572000</wp:posOffset>
                </wp:positionH>
                <wp:positionV relativeFrom="paragraph">
                  <wp:posOffset>175260</wp:posOffset>
                </wp:positionV>
                <wp:extent cx="763270" cy="297180"/>
                <wp:effectExtent l="4445" t="4445" r="13335" b="22225"/>
                <wp:wrapNone/>
                <wp:docPr id="59" name="矩形 59"/>
                <wp:cNvGraphicFramePr/>
                <a:graphic xmlns:a="http://schemas.openxmlformats.org/drawingml/2006/main">
                  <a:graphicData uri="http://schemas.microsoft.com/office/word/2010/wordprocessingShape">
                    <wps:wsp>
                      <wps:cNvSpPr/>
                      <wps:spPr>
                        <a:xfrm>
                          <a:off x="0" y="0"/>
                          <a:ext cx="7632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破碎</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60pt;margin-top:13.8pt;height:23.4pt;width:60.1pt;z-index:251760640;mso-width-relative:page;mso-height-relative:page;" fillcolor="#FFFFFF" filled="t" stroked="t" coordsize="21600,21600" o:gfxdata="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TFZ&#10;BdcAAAAJAQAADwAAAAAAAAABACAAAAAiAAAAZHJzL2Rvd25yZXYueG1sUEsBAhQAFAAAAAgAh07i&#10;QGfhr/HqAQAA3AMAAA4AAAAAAAAAAQAgAAAAJgEAAGRycy9lMm9Eb2MueG1sUEsFBgAAAAAGAAYA&#10;WQEAAIIFAAAAAA==&#10;">
                <v:fill on="t" focussize="0,0"/>
                <v:stroke color="#000000" joinstyle="miter"/>
                <v:imagedata o:title=""/>
                <o:lock v:ext="edit" aspectratio="f"/>
                <v:textbox>
                  <w:txbxContent>
                    <w:p>
                      <w:r>
                        <w:rPr>
                          <w:rFonts w:hint="eastAsia"/>
                        </w:rPr>
                        <w:t>破碎</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72576" behindDoc="0" locked="0" layoutInCell="1" allowOverlap="1">
                <wp:simplePos x="0" y="0"/>
                <wp:positionH relativeFrom="column">
                  <wp:posOffset>480695</wp:posOffset>
                </wp:positionH>
                <wp:positionV relativeFrom="paragraph">
                  <wp:posOffset>252095</wp:posOffset>
                </wp:positionV>
                <wp:extent cx="775970" cy="495300"/>
                <wp:effectExtent l="4445" t="4445" r="19685" b="14605"/>
                <wp:wrapNone/>
                <wp:docPr id="62" name="矩形 62"/>
                <wp:cNvGraphicFramePr/>
                <a:graphic xmlns:a="http://schemas.openxmlformats.org/drawingml/2006/main">
                  <a:graphicData uri="http://schemas.microsoft.com/office/word/2010/wordprocessingShape">
                    <wps:wsp>
                      <wps:cNvSpPr/>
                      <wps:spPr>
                        <a:xfrm>
                          <a:off x="0" y="0"/>
                          <a:ext cx="77597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7.85pt;margin-top:19.85pt;height:39pt;width:61.1pt;z-index:251672576;mso-width-relative:page;mso-height-relative:page;" fillcolor="#FFFFFF" filled="t" stroked="t" coordsize="21600,21600" o:gfxdata="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lY&#10;uOvXAAAACQEAAA8AAAAAAAAAAQAgAAAAIgAAAGRycy9kb3ducmV2LnhtbFBLAQIUABQAAAAIAIdO&#10;4kAxT6sv6wEAANw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预均化</w:t>
                      </w:r>
                    </w:p>
                    <w:p>
                      <w:pPr>
                        <w:jc w:val="center"/>
                      </w:pPr>
                      <w:r>
                        <w:rPr>
                          <w:rFonts w:hint="eastAsia"/>
                        </w:rPr>
                        <w:t>堆场</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61312" behindDoc="0" locked="0" layoutInCell="1" allowOverlap="1">
                <wp:simplePos x="0" y="0"/>
                <wp:positionH relativeFrom="column">
                  <wp:posOffset>3700145</wp:posOffset>
                </wp:positionH>
                <wp:positionV relativeFrom="paragraph">
                  <wp:posOffset>118110</wp:posOffset>
                </wp:positionV>
                <wp:extent cx="466725" cy="198120"/>
                <wp:effectExtent l="0" t="0" r="9525" b="11430"/>
                <wp:wrapNone/>
                <wp:docPr id="54" name="矩形 54"/>
                <wp:cNvGraphicFramePr/>
                <a:graphic xmlns:a="http://schemas.openxmlformats.org/drawingml/2006/main">
                  <a:graphicData uri="http://schemas.microsoft.com/office/word/2010/wordprocessingShape">
                    <wps:wsp>
                      <wps:cNvSpPr/>
                      <wps:spPr>
                        <a:xfrm flipV="1">
                          <a:off x="0" y="0"/>
                          <a:ext cx="466725" cy="198120"/>
                        </a:xfrm>
                        <a:prstGeom prst="rect">
                          <a:avLst/>
                        </a:prstGeom>
                        <a:solidFill>
                          <a:srgbClr val="FFFFFF"/>
                        </a:solidFill>
                        <a:ln>
                          <a:noFill/>
                        </a:ln>
                      </wps:spPr>
                      <wps:txbx>
                        <w:txbxContent>
                          <w:p>
                            <w:pPr>
                              <w:spacing w:line="240" w:lineRule="exact"/>
                              <w:jc w:val="center"/>
                              <w:rPr>
                                <w:rFonts w:hint="eastAsia"/>
                              </w:rPr>
                            </w:pPr>
                            <w:r>
                              <w:rPr>
                                <w:rFonts w:hint="eastAsia"/>
                              </w:rPr>
                              <w:t>硫酸渣</w:t>
                            </w:r>
                          </w:p>
                        </w:txbxContent>
                      </wps:txbx>
                      <wps:bodyPr lIns="0" tIns="0" rIns="0" bIns="0" upright="1"/>
                    </wps:wsp>
                  </a:graphicData>
                </a:graphic>
              </wp:anchor>
            </w:drawing>
          </mc:Choice>
          <mc:Fallback>
            <w:pict>
              <v:rect id="_x0000_s1026" o:spid="_x0000_s1026" o:spt="1" style="position:absolute;left:0pt;flip:y;margin-left:291.35pt;margin-top:9.3pt;height:15.6pt;width:36.75pt;z-index:251661312;mso-width-relative:page;mso-height-relative:page;" fillcolor="#FFFFFF" filled="t" stroked="f" coordsize="21600,21600" o:gfxdata="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O4&#10;VIrXAAAACQEAAA8AAAAAAAAAAQAgAAAAIgAAAGRycy9kb3ducmV2LnhtbFBLAQIUABQAAAAIAIdO&#10;4kCQ50Q6sgEAAEsDAAAOAAAAAAAAAAEAIAAAACYBAABkcnMvZTJvRG9jLnhtbFBLBQYAAAAABgAG&#10;AFkBAABKBQAAAAA=&#10;">
                <v:fill on="t" focussize="0,0"/>
                <v:stroke on="f"/>
                <v:imagedata o:title=""/>
                <o:lock v:ext="edit" aspectratio="f"/>
                <v:textbox inset="0mm,0mm,0mm,0mm">
                  <w:txbxContent>
                    <w:p>
                      <w:pPr>
                        <w:spacing w:line="240" w:lineRule="exact"/>
                        <w:jc w:val="center"/>
                        <w:rPr>
                          <w:rFonts w:hint="eastAsia"/>
                        </w:rPr>
                      </w:pPr>
                      <w:r>
                        <w:rPr>
                          <w:rFonts w:hint="eastAsia"/>
                        </w:rPr>
                        <w:t>硫酸渣</w:t>
                      </w:r>
                    </w:p>
                  </w:txbxContent>
                </v:textbox>
              </v:rect>
            </w:pict>
          </mc:Fallback>
        </mc:AlternateContent>
      </w:r>
      <w:r>
        <w:rPr>
          <w:rFonts w:ascii="宋体" w:hAnsi="宋体"/>
        </w:rPr>
        <mc:AlternateContent>
          <mc:Choice Requires="wps">
            <w:drawing>
              <wp:anchor distT="0" distB="0" distL="114300" distR="114300" simplePos="0" relativeHeight="251696128" behindDoc="0" locked="0" layoutInCell="1" allowOverlap="1">
                <wp:simplePos x="0" y="0"/>
                <wp:positionH relativeFrom="column">
                  <wp:posOffset>4914900</wp:posOffset>
                </wp:positionH>
                <wp:positionV relativeFrom="paragraph">
                  <wp:posOffset>167640</wp:posOffset>
                </wp:positionV>
                <wp:extent cx="0" cy="396240"/>
                <wp:effectExtent l="38100" t="0" r="38100" b="3810"/>
                <wp:wrapNone/>
                <wp:docPr id="63" name="直接连接符 6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pt;margin-top:13.2pt;height:31.2pt;width:0pt;z-index:251696128;mso-width-relative:page;mso-height-relative:page;" filled="f" stroked="t" coordsize="21600,21600" o:gfxdata="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ZvgDdkAAAAJ&#10;AQAADwAAAAAAAAABACAAAAAiAAAAZHJzL2Rvd25yZXYueG1sUEsBAhQAFAAAAAgAh07iQI4u7eHi&#10;AQAAmwMAAA4AAAAAAAAAAQAgAAAAKA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685888" behindDoc="0" locked="0" layoutInCell="1" allowOverlap="1">
                <wp:simplePos x="0" y="0"/>
                <wp:positionH relativeFrom="column">
                  <wp:posOffset>3966845</wp:posOffset>
                </wp:positionH>
                <wp:positionV relativeFrom="paragraph">
                  <wp:posOffset>60960</wp:posOffset>
                </wp:positionV>
                <wp:extent cx="6350" cy="375285"/>
                <wp:effectExtent l="36830" t="0" r="33020" b="5715"/>
                <wp:wrapNone/>
                <wp:docPr id="55" name="直接连接符 55"/>
                <wp:cNvGraphicFramePr/>
                <a:graphic xmlns:a="http://schemas.openxmlformats.org/drawingml/2006/main">
                  <a:graphicData uri="http://schemas.microsoft.com/office/word/2010/wordprocessingShape">
                    <wps:wsp>
                      <wps:cNvCnPr/>
                      <wps:spPr>
                        <a:xfrm flipH="1">
                          <a:off x="0" y="0"/>
                          <a:ext cx="6350" cy="3752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2.35pt;margin-top:4.8pt;height:29.55pt;width:0.5pt;z-index:251685888;mso-width-relative:page;mso-height-relative:page;" filled="f" stroked="t" coordsize="21600,21600" o:gfxdata="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sNdj9gAAAAIAQAADwAAAAAAAAABACAAAAAiAAAAZHJzL2Rvd25yZXYueG1sUEsBAhQAFAAA&#10;AAgAh07iQKzuvCjvAQAAqAMAAA4AAAAAAAAAAQAgAAAAJwEAAGRycy9lMm9Eb2MueG1sUEsFBgAA&#10;AAAGAAYAWQEAAIgF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3840" behindDoc="0" locked="0" layoutInCell="1" allowOverlap="1">
                <wp:simplePos x="0" y="0"/>
                <wp:positionH relativeFrom="column">
                  <wp:posOffset>1990090</wp:posOffset>
                </wp:positionH>
                <wp:positionV relativeFrom="paragraph">
                  <wp:posOffset>168275</wp:posOffset>
                </wp:positionV>
                <wp:extent cx="0" cy="297180"/>
                <wp:effectExtent l="38100" t="0" r="38100" b="7620"/>
                <wp:wrapNone/>
                <wp:docPr id="60" name="直接连接符 6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6.7pt;margin-top:13.25pt;height:23.4pt;width:0pt;z-index:251683840;mso-width-relative:page;mso-height-relative:page;" filled="f" stroked="t" coordsize="21600,21600" o:gfxdata="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URbmNkAAAAJ&#10;AQAADwAAAAAAAAABACAAAAAiAAAAZHJzL2Rvd25yZXYueG1sUEsBAhQAFAAAAAgAh07iQBO3kb7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684864" behindDoc="0" locked="0" layoutInCell="1" allowOverlap="1">
                <wp:simplePos x="0" y="0"/>
                <wp:positionH relativeFrom="column">
                  <wp:posOffset>3138170</wp:posOffset>
                </wp:positionH>
                <wp:positionV relativeFrom="paragraph">
                  <wp:posOffset>160020</wp:posOffset>
                </wp:positionV>
                <wp:extent cx="0" cy="297180"/>
                <wp:effectExtent l="38100" t="0" r="38100" b="7620"/>
                <wp:wrapNone/>
                <wp:docPr id="56" name="直接连接符 5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7.1pt;margin-top:12.6pt;height:23.4pt;width:0pt;z-index:251684864;mso-width-relative:page;mso-height-relative:page;" filled="f" stroked="t" coordsize="21600,21600" o:gfxdata="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hVVW2AAAAAkB&#10;AAAPAAAAAAAAAAEAIAAAACIAAABkcnMvZG93bnJldi54bWxQSwECFAAUAAAACACHTuJARu2Hj+IB&#10;AACb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9504" behindDoc="0" locked="0" layoutInCell="1" allowOverlap="1">
                <wp:simplePos x="0" y="0"/>
                <wp:positionH relativeFrom="column">
                  <wp:posOffset>4542790</wp:posOffset>
                </wp:positionH>
                <wp:positionV relativeFrom="paragraph">
                  <wp:posOffset>254635</wp:posOffset>
                </wp:positionV>
                <wp:extent cx="1057910" cy="202565"/>
                <wp:effectExtent l="4445" t="4445" r="23495" b="21590"/>
                <wp:wrapNone/>
                <wp:docPr id="57" name="矩形 57"/>
                <wp:cNvGraphicFramePr/>
                <a:graphic xmlns:a="http://schemas.openxmlformats.org/drawingml/2006/main">
                  <a:graphicData uri="http://schemas.microsoft.com/office/word/2010/wordprocessingShape">
                    <wps:wsp>
                      <wps:cNvSpPr/>
                      <wps:spPr>
                        <a:xfrm flipV="1">
                          <a:off x="0" y="0"/>
                          <a:ext cx="1057910" cy="2025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rPr>
                            </w:pPr>
                            <w:r>
                              <w:rPr>
                                <w:rFonts w:hint="eastAsia"/>
                              </w:rPr>
                              <w:t>预均化堆场</w:t>
                            </w:r>
                            <w:r>
                              <w:rPr>
                                <w:rFonts w:hint="eastAsia" w:ascii="宋体" w:hAnsi="宋体"/>
                                <w:sz w:val="21"/>
                                <w:szCs w:val="21"/>
                              </w:rPr>
                              <w:t>※△</w:t>
                            </w:r>
                          </w:p>
                        </w:txbxContent>
                      </wps:txbx>
                      <wps:bodyPr lIns="0" tIns="0" rIns="0" bIns="0" upright="1"/>
                    </wps:wsp>
                  </a:graphicData>
                </a:graphic>
              </wp:anchor>
            </w:drawing>
          </mc:Choice>
          <mc:Fallback>
            <w:pict>
              <v:rect id="_x0000_s1026" o:spid="_x0000_s1026" o:spt="1" style="position:absolute;left:0pt;flip:y;margin-left:357.7pt;margin-top:20.05pt;height:15.95pt;width:83.3pt;z-index:251669504;mso-width-relative:page;mso-height-relative:page;" fillcolor="#FFFFFF" filled="t" stroked="t" coordsize="21600,21600" o:gfxdata="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rtt8K1wAAAAkBAAAPAAAAAAAAAAEAIAAAACIAAABkcnMvZG93bnJldi54&#10;bWxQSwECFAAUAAAACACHTuJAjDVpL/sBAAALBAAADgAAAAAAAAABACAAAAAmAQAAZHJzL2Uyb0Rv&#10;Yy54bWxQSwUGAAAAAAYABgBZAQAAkwUAAAAA&#10;">
                <v:fill on="t" focussize="0,0"/>
                <v:stroke color="#000000" joinstyle="miter"/>
                <v:imagedata o:title=""/>
                <o:lock v:ext="edit" aspectratio="f"/>
                <v:textbox inset="0mm,0mm,0mm,0mm">
                  <w:txbxContent>
                    <w:p>
                      <w:pPr>
                        <w:spacing w:line="240" w:lineRule="exact"/>
                        <w:rPr>
                          <w:rFonts w:hint="eastAsia"/>
                        </w:rPr>
                      </w:pPr>
                      <w:r>
                        <w:rPr>
                          <w:rFonts w:hint="eastAsia"/>
                        </w:rPr>
                        <w:t>预均化堆场</w:t>
                      </w:r>
                      <w:r>
                        <w:rPr>
                          <w:rFonts w:hint="eastAsia" w:ascii="宋体" w:hAnsi="宋体"/>
                          <w:sz w:val="21"/>
                          <w:szCs w:val="21"/>
                        </w:rPr>
                        <w:t>※△</w:t>
                      </w:r>
                    </w:p>
                  </w:txbxContent>
                </v:textbox>
              </v:rect>
            </w:pict>
          </mc:Fallback>
        </mc:AlternateContent>
      </w:r>
      <w:r>
        <w:rPr>
          <w:rFonts w:ascii="宋体" w:hAnsi="宋体"/>
        </w:rPr>
        <mc:AlternateContent>
          <mc:Choice Requires="wps">
            <w:drawing>
              <wp:anchor distT="0" distB="0" distL="114300" distR="114300" simplePos="0" relativeHeight="251682816" behindDoc="0" locked="0" layoutInCell="1" allowOverlap="1">
                <wp:simplePos x="0" y="0"/>
                <wp:positionH relativeFrom="column">
                  <wp:posOffset>823595</wp:posOffset>
                </wp:positionH>
                <wp:positionV relativeFrom="paragraph">
                  <wp:posOffset>170180</wp:posOffset>
                </wp:positionV>
                <wp:extent cx="0" cy="297180"/>
                <wp:effectExtent l="38100" t="0" r="38100" b="7620"/>
                <wp:wrapNone/>
                <wp:docPr id="58" name="直接连接符 5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4.85pt;margin-top:13.4pt;height:23.4pt;width:0pt;z-index:251682816;mso-width-relative:page;mso-height-relative:page;" filled="f" stroked="t" coordsize="21600,21600" o:gfxdata="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2To7fYAAAACQEA&#10;AA8AAAAAAAAAAQAgAAAAIgAAAGRycy9kb3ducmV2LnhtbFBLAQIUABQAAAAIAIdO4kBHS/7G4QEA&#10;AJsDAAAOAAAAAAAAAAEAIAAAACcBAABkcnMvZTJvRG9jLnhtbFBLBQYAAAAABgAGAFkBAAB6BQAA&#10;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758592" behindDoc="0" locked="0" layoutInCell="1" allowOverlap="1">
                <wp:simplePos x="0" y="0"/>
                <wp:positionH relativeFrom="column">
                  <wp:posOffset>2286000</wp:posOffset>
                </wp:positionH>
                <wp:positionV relativeFrom="paragraph">
                  <wp:posOffset>227330</wp:posOffset>
                </wp:positionV>
                <wp:extent cx="333375" cy="125095"/>
                <wp:effectExtent l="3810" t="3175" r="5715" b="5080"/>
                <wp:wrapNone/>
                <wp:docPr id="61" name="任意多边形 61"/>
                <wp:cNvGraphicFramePr/>
                <a:graphic xmlns:a="http://schemas.openxmlformats.org/drawingml/2006/main">
                  <a:graphicData uri="http://schemas.microsoft.com/office/word/2010/wordprocessingShape">
                    <wps:wsp>
                      <wps:cNvSpPr/>
                      <wps:spPr>
                        <a:xfrm>
                          <a:off x="0" y="0"/>
                          <a:ext cx="333375" cy="125095"/>
                        </a:xfrm>
                        <a:custGeom>
                          <a:avLst/>
                          <a:gdLst/>
                          <a:ahLst/>
                          <a:cxnLst/>
                          <a:pathLst>
                            <a:path w="510" h="194">
                              <a:moveTo>
                                <a:pt x="0" y="194"/>
                              </a:moveTo>
                              <a:cubicBezTo>
                                <a:pt x="85" y="99"/>
                                <a:pt x="170" y="4"/>
                                <a:pt x="255" y="2"/>
                              </a:cubicBezTo>
                              <a:cubicBezTo>
                                <a:pt x="340" y="0"/>
                                <a:pt x="425" y="91"/>
                                <a:pt x="510" y="182"/>
                              </a:cubicBez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80pt;margin-top:17.9pt;height:9.85pt;width:26.25pt;z-index:251758592;mso-width-relative:page;mso-height-relative:page;" filled="f" stroked="t" coordsize="510,194" o:gfxdata="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aIEKDXAAAACQEAAA8A&#10;AAAAAAAAAQAgAAAAIgAAAGRycy9kb3ducmV2LnhtbFBLAQIUABQAAAAIAIdO4kCzYB1JUQIAANcE&#10;AAAOAAAAAAAAAAEAIAAAACYBAABkcnMvZTJvRG9jLnhtbFBLBQYAAAAABgAGAFkBAADpBQAAAAA=&#10;" path="m0,194c85,99,170,4,255,2c340,0,425,91,510,182e">
                <v:fill on="f" focussize="0,0"/>
                <v:stroke color="#000000" joinstyle="round"/>
                <v:imagedata o:title=""/>
                <o:lock v:ext="edit" aspectratio="f"/>
              </v:shape>
            </w:pict>
          </mc:Fallback>
        </mc:AlternateContent>
      </w:r>
      <w:r>
        <w:rPr>
          <w:rFonts w:ascii="宋体" w:hAnsi="宋体"/>
        </w:rPr>
        <mc:AlternateContent>
          <mc:Choice Requires="wps">
            <w:drawing>
              <wp:anchor distT="0" distB="0" distL="114300" distR="114300" simplePos="0" relativeHeight="251697152" behindDoc="0" locked="0" layoutInCell="1" allowOverlap="1">
                <wp:simplePos x="0" y="0"/>
                <wp:positionH relativeFrom="column">
                  <wp:posOffset>4919345</wp:posOffset>
                </wp:positionH>
                <wp:positionV relativeFrom="paragraph">
                  <wp:posOffset>160655</wp:posOffset>
                </wp:positionV>
                <wp:extent cx="0" cy="297180"/>
                <wp:effectExtent l="38100" t="0" r="38100" b="7620"/>
                <wp:wrapNone/>
                <wp:docPr id="71" name="直接连接符 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7.35pt;margin-top:12.65pt;height:23.4pt;width:0pt;z-index:251697152;mso-width-relative:page;mso-height-relative:page;" filled="f" stroked="t" coordsize="21600,21600" o:gfxdata="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p/ytkAAAAJ&#10;AQAADwAAAAAAAAABACAAAAAiAAAAZHJzL2Rvd25yZXYueG1sUEsBAhQAFAAAAAgAh07iQLbImlfi&#10;AQAAm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3600" behindDoc="0" locked="0" layoutInCell="1" allowOverlap="1">
                <wp:simplePos x="0" y="0"/>
                <wp:positionH relativeFrom="column">
                  <wp:posOffset>2452370</wp:posOffset>
                </wp:positionH>
                <wp:positionV relativeFrom="paragraph">
                  <wp:posOffset>153035</wp:posOffset>
                </wp:positionV>
                <wp:extent cx="0" cy="274320"/>
                <wp:effectExtent l="42545" t="0" r="52705" b="11430"/>
                <wp:wrapNone/>
                <wp:docPr id="66" name="直接连接符 66"/>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2.05pt;height:21.6pt;width:0pt;z-index:251673600;mso-width-relative:page;mso-height-relative:page;" filled="f" stroked="t" coordsize="21600,21600" o:gfxdata="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ygpj31QAAAAkBAAAP&#10;AAAAAAAAAAEAIAAAACIAAABkcnMvZG93bnJldi54bWxQSwECFAAUAAAACACHTuJATbmUnOIBAACc&#10;AwAADgAAAAAAAAABACAAAAAkAQAAZHJzL2Uyb0RvYy54bWxQSwUGAAAAAAYABgBZAQAAeAUAAA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86912" behindDoc="0" locked="0" layoutInCell="1" allowOverlap="1">
                <wp:simplePos x="0" y="0"/>
                <wp:positionH relativeFrom="column">
                  <wp:posOffset>800100</wp:posOffset>
                </wp:positionH>
                <wp:positionV relativeFrom="paragraph">
                  <wp:posOffset>152400</wp:posOffset>
                </wp:positionV>
                <wp:extent cx="3200400" cy="0"/>
                <wp:effectExtent l="0" t="0" r="0" b="0"/>
                <wp:wrapNone/>
                <wp:docPr id="64" name="直接连接符 64"/>
                <wp:cNvGraphicFramePr/>
                <a:graphic xmlns:a="http://schemas.openxmlformats.org/drawingml/2006/main">
                  <a:graphicData uri="http://schemas.microsoft.com/office/word/2010/wordprocessingShape">
                    <wps:wsp>
                      <wps:cNvCnPr/>
                      <wps:spPr>
                        <a:xfrm>
                          <a:off x="0" y="0"/>
                          <a:ext cx="3200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12pt;height:0pt;width:252pt;z-index:251686912;mso-width-relative:page;mso-height-relative:page;" filled="f" stroked="t" coordsize="21600,21600" o:gfxdata="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NwOL0wAAAAkBAAAPAAAAAAAAAAEA&#10;IAAAACIAAABkcnMvZG93bnJldi54bWxQSwECFAAUAAAACACHTuJAGdj98tsBAACYAwAADgAAAAAA&#10;AAABACAAAAAiAQAAZHJzL2Uyb0RvYy54bWxQSwUGAAAAAAYABgBZAQAAbwUAAAAA&#10;">
                <v:fill on="f" focussize="0,0"/>
                <v:stroke color="#000000" joinstyle="round"/>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70528" behindDoc="0" locked="0" layoutInCell="1" allowOverlap="1">
                <wp:simplePos x="0" y="0"/>
                <wp:positionH relativeFrom="column">
                  <wp:posOffset>4229100</wp:posOffset>
                </wp:positionH>
                <wp:positionV relativeFrom="paragraph">
                  <wp:posOffset>144780</wp:posOffset>
                </wp:positionV>
                <wp:extent cx="1371600" cy="297180"/>
                <wp:effectExtent l="4445" t="4445" r="14605" b="22225"/>
                <wp:wrapNone/>
                <wp:docPr id="65" name="矩形 65"/>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ZGM80立磨</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33pt;margin-top:11.4pt;height:23.4pt;width:108pt;z-index:251670528;mso-width-relative:page;mso-height-relative:page;" fillcolor="#FFFFFF" filled="t" stroked="t" coordsize="21600,21600" o:gfxdata="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EDc&#10;GtYAAAAJAQAADwAAAAAAAAABACAAAAAiAAAAZHJzL2Rvd25yZXYueG1sUEsBAhQAFAAAAAgAh07i&#10;QJtBh6DrAQAA3QMAAA4AAAAAAAAAAQAgAAAAJQEAAGRycy9lMm9Eb2MueG1sUEsFBgAAAAAGAAYA&#10;WQEAAIIFAAAAAA==&#10;">
                <v:fill on="t" focussize="0,0"/>
                <v:stroke color="#000000" joinstyle="miter"/>
                <v:imagedata o:title=""/>
                <o:lock v:ext="edit" aspectratio="f"/>
                <v:textbox>
                  <w:txbxContent>
                    <w:p>
                      <w:pPr>
                        <w:jc w:val="center"/>
                      </w:pPr>
                      <w:r>
                        <w:rPr>
                          <w:rFonts w:hint="eastAsia"/>
                        </w:rPr>
                        <w:t>ZGM80立磨</w:t>
                      </w:r>
                      <w:r>
                        <w:rPr>
                          <w:rFonts w:hint="eastAsia" w:ascii="宋体" w:hAnsi="宋体"/>
                          <w:sz w:val="21"/>
                          <w:szCs w:val="21"/>
                        </w:rPr>
                        <w:t>※△</w:t>
                      </w:r>
                    </w:p>
                  </w:txbxContent>
                </v:textbox>
              </v:rect>
            </w:pict>
          </mc:Fallback>
        </mc:AlternateContent>
      </w:r>
      <w:r>
        <w:rPr>
          <w:rFonts w:hint="eastAsia" w:ascii="宋体" w:hAnsi="宋体"/>
        </w:rPr>
        <mc:AlternateContent>
          <mc:Choice Requires="wps">
            <w:drawing>
              <wp:anchor distT="0" distB="0" distL="114300" distR="114300" simplePos="0" relativeHeight="251754496" behindDoc="0" locked="0" layoutInCell="1" allowOverlap="1">
                <wp:simplePos x="0" y="0"/>
                <wp:positionH relativeFrom="column">
                  <wp:posOffset>-228600</wp:posOffset>
                </wp:positionH>
                <wp:positionV relativeFrom="paragraph">
                  <wp:posOffset>45720</wp:posOffset>
                </wp:positionV>
                <wp:extent cx="2514600" cy="0"/>
                <wp:effectExtent l="0" t="0" r="0" b="0"/>
                <wp:wrapNone/>
                <wp:docPr id="67" name="直接连接符 67"/>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3.6pt;height:0pt;width:198pt;z-index:251754496;mso-width-relative:page;mso-height-relative:page;" filled="f" stroked="t" coordsize="21600,21600" o:gfxdata="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dMXcdMAAAAHAQAADwAAAAAAAAAB&#10;ACAAAAAiAAAAZHJzL2Rvd25yZXYueG1sUEsBAhQAFAAAAAgAh07iQLmmK6ncAQAAmAMAAA4AAAAA&#10;AAAAAQAgAAAAIgEAAGRycy9lMm9Eb2MueG1sUEsFBgAAAAAGAAYAWQEAAHAFA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3472" behindDoc="0" locked="0" layoutInCell="1" allowOverlap="1">
                <wp:simplePos x="0" y="0"/>
                <wp:positionH relativeFrom="column">
                  <wp:posOffset>-228600</wp:posOffset>
                </wp:positionH>
                <wp:positionV relativeFrom="paragraph">
                  <wp:posOffset>45720</wp:posOffset>
                </wp:positionV>
                <wp:extent cx="0" cy="2872740"/>
                <wp:effectExtent l="4445" t="0" r="14605" b="3810"/>
                <wp:wrapNone/>
                <wp:docPr id="68" name="直接连接符 68"/>
                <wp:cNvGraphicFramePr/>
                <a:graphic xmlns:a="http://schemas.openxmlformats.org/drawingml/2006/main">
                  <a:graphicData uri="http://schemas.microsoft.com/office/word/2010/wordprocessingShape">
                    <wps:wsp>
                      <wps:cNvCnPr/>
                      <wps:spPr>
                        <a:xfrm flipV="1">
                          <a:off x="0" y="0"/>
                          <a:ext cx="0" cy="28727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pt;margin-top:3.6pt;height:226.2pt;width:0pt;z-index:251753472;mso-width-relative:page;mso-height-relative:page;" filled="f" stroked="t" coordsize="21600,21600" o:gfxdata="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mGdy1gAAAAkB&#10;AAAPAAAAAAAAAAEAIAAAACIAAABkcnMvZG93bnJldi54bWxQSwECFAAUAAAACACHTuJAduhPxOQB&#10;AACiAwAADgAAAAAAAAABACAAAAAlAQAAZHJzL2Uyb0RvYy54bWxQSwUGAAAAAAYABgBZAQAAewUA&#10;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7568" behindDoc="0" locked="0" layoutInCell="1" allowOverlap="1">
                <wp:simplePos x="0" y="0"/>
                <wp:positionH relativeFrom="column">
                  <wp:posOffset>2628900</wp:posOffset>
                </wp:positionH>
                <wp:positionV relativeFrom="paragraph">
                  <wp:posOffset>45720</wp:posOffset>
                </wp:positionV>
                <wp:extent cx="1257300" cy="0"/>
                <wp:effectExtent l="0" t="0" r="0" b="0"/>
                <wp:wrapNone/>
                <wp:docPr id="69" name="直接连接符 69"/>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207pt;margin-top:3.6pt;height:0pt;width:99pt;z-index:251757568;mso-width-relative:page;mso-height-relative:page;" filled="f" stroked="t" coordsize="21600,21600" o:gfxdata="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J6ro9QAAAAHAQAA&#10;DwAAAAAAAAABACAAAAAiAAAAZHJzL2Rvd25yZXYueG1sUEsBAhQAFAAAAAgAh07iQEeVEQvkAQAA&#10;ogMAAA4AAAAAAAAAAQAgAAAAIwEAAGRycy9lMm9Eb2MueG1sUEsFBgAAAAAGAAYAWQEAAHkFAAAA&#10;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755520" behindDoc="0" locked="0" layoutInCell="1" allowOverlap="1">
                <wp:simplePos x="0" y="0"/>
                <wp:positionH relativeFrom="column">
                  <wp:posOffset>3886200</wp:posOffset>
                </wp:positionH>
                <wp:positionV relativeFrom="paragraph">
                  <wp:posOffset>45720</wp:posOffset>
                </wp:positionV>
                <wp:extent cx="0" cy="297180"/>
                <wp:effectExtent l="4445" t="0" r="14605" b="7620"/>
                <wp:wrapNone/>
                <wp:docPr id="70" name="直接连接符 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pt;margin-top:3.6pt;height:23.4pt;width:0pt;z-index:251755520;mso-width-relative:page;mso-height-relative:page;" filled="f" stroked="t" coordsize="21600,21600" o:gfxdata="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LfxhPVAAAACAEAAA8AAAAAAAAA&#10;AQAgAAAAIgAAAGRycy9kb3ducmV2LnhtbFBLAQIUABQAAAAIAIdO4kAHI2AE2wEAAJcDAAAOAAAA&#10;AAAAAAEAIAAAACQBAABkcnMvZTJvRG9jLnhtbFBLBQYAAAAABgAGAFkBAABxBQAAAAA=&#10;">
                <v:fill on="f" focussize="0,0"/>
                <v:stroke color="#000000" joinstyle="round"/>
                <v:imagedata o:title=""/>
                <o:lock v:ext="edit" aspectratio="f"/>
              </v:line>
            </w:pict>
          </mc:Fallback>
        </mc:AlternateContent>
      </w:r>
      <w:r>
        <w:rPr>
          <w:rFonts w:hint="eastAsia" w:ascii="宋体" w:hAnsi="宋体"/>
        </w:rPr>
        <mc:AlternateContent>
          <mc:Choice Requires="wps">
            <w:drawing>
              <wp:anchor distT="0" distB="0" distL="114300" distR="114300" simplePos="0" relativeHeight="251663360" behindDoc="0" locked="0" layoutInCell="1" allowOverlap="1">
                <wp:simplePos x="0" y="0"/>
                <wp:positionH relativeFrom="column">
                  <wp:posOffset>1912620</wp:posOffset>
                </wp:positionH>
                <wp:positionV relativeFrom="paragraph">
                  <wp:posOffset>99695</wp:posOffset>
                </wp:positionV>
                <wp:extent cx="1061720" cy="297180"/>
                <wp:effectExtent l="4445" t="4445" r="19685" b="22225"/>
                <wp:wrapNone/>
                <wp:docPr id="238" name="矩形 238"/>
                <wp:cNvGraphicFramePr/>
                <a:graphic xmlns:a="http://schemas.openxmlformats.org/drawingml/2006/main">
                  <a:graphicData uri="http://schemas.microsoft.com/office/word/2010/wordprocessingShape">
                    <wps:wsp>
                      <wps:cNvSpPr/>
                      <wps:spPr>
                        <a:xfrm>
                          <a:off x="0" y="0"/>
                          <a:ext cx="106172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原料调配</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50.6pt;margin-top:7.85pt;height:23.4pt;width:83.6pt;z-index:251663360;mso-width-relative:page;mso-height-relative:page;" fillcolor="#FFFFFF" filled="t" stroked="t" coordsize="21600,21600" o:gfxdata="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q&#10;gocD2AAAAAkBAAAPAAAAAAAAAAEAIAAAACIAAABkcnMvZG93bnJldi54bWxQSwECFAAUAAAACACH&#10;TuJAFYh+JusBAADfAwAADgAAAAAAAAABACAAAAAnAQAAZHJzL2Uyb0RvYy54bWxQSwUGAAAAAAYA&#10;BgBZAQAAhAUAAAAA&#10;">
                <v:fill on="t" focussize="0,0"/>
                <v:stroke color="#000000" joinstyle="miter"/>
                <v:imagedata o:title=""/>
                <o:lock v:ext="edit" aspectratio="f"/>
                <v:textbox>
                  <w:txbxContent>
                    <w:p>
                      <w:pPr>
                        <w:jc w:val="center"/>
                      </w:pPr>
                      <w:r>
                        <w:rPr>
                          <w:rFonts w:hint="eastAsia"/>
                        </w:rPr>
                        <w:t>原料调配</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3232" behindDoc="0" locked="0" layoutInCell="1" allowOverlap="1">
                <wp:simplePos x="0" y="0"/>
                <wp:positionH relativeFrom="column">
                  <wp:posOffset>1188720</wp:posOffset>
                </wp:positionH>
                <wp:positionV relativeFrom="paragraph">
                  <wp:posOffset>209550</wp:posOffset>
                </wp:positionV>
                <wp:extent cx="1143000" cy="29718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粉磨废气</w:t>
                            </w:r>
                          </w:p>
                        </w:txbxContent>
                      </wps:txbx>
                      <wps:bodyPr upright="1"/>
                    </wps:wsp>
                  </a:graphicData>
                </a:graphic>
              </wp:anchor>
            </w:drawing>
          </mc:Choice>
          <mc:Fallback>
            <w:pict>
              <v:shape id="_x0000_s1026" o:spid="_x0000_s1026" o:spt="202" type="#_x0000_t202" style="position:absolute;left:0pt;margin-left:93.6pt;margin-top:16.5pt;height:23.4pt;width:90pt;z-index:251743232;mso-width-relative:page;mso-height-relative:page;" fillcolor="#FFFFFF" filled="t" stroked="f" coordsize="21600,21600" o:gfxdata="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82z61wAAAAkBAAAPAAAAAAAAAAEAIAAAACIAAABkcnMvZG93bnJldi54bWxQSwECFAAUAAAACACH&#10;TuJA+/jhLrMBAABKAwAADgAAAAAAAAABACAAAAAmAQAAZHJzL2Uyb0RvYy54bWxQSwUGAAAAAAYA&#10;BgBZAQAASwUAAAAA&#10;">
                <v:fill on="t" opacity="0f" focussize="0,0"/>
                <v:stroke on="f"/>
                <v:imagedata o:title=""/>
                <o:lock v:ext="edit" aspectratio="f"/>
                <v:textbox>
                  <w:txbxContent>
                    <w:p>
                      <w:pPr>
                        <w:rPr>
                          <w:rFonts w:hint="eastAsia"/>
                        </w:rPr>
                      </w:pPr>
                      <w:r>
                        <w:rPr>
                          <w:rFonts w:hint="eastAsia"/>
                        </w:rPr>
                        <w:t>粉磨废气</w:t>
                      </w:r>
                    </w:p>
                  </w:txbxContent>
                </v:textbox>
              </v:shape>
            </w:pict>
          </mc:Fallback>
        </mc:AlternateContent>
      </w:r>
      <w:r>
        <w:rPr>
          <w:rFonts w:hint="eastAsia" w:ascii="宋体" w:hAnsi="宋体"/>
        </w:rPr>
        <mc:AlternateContent>
          <mc:Choice Requires="wps">
            <w:drawing>
              <wp:anchor distT="0" distB="0" distL="114300" distR="114300" simplePos="0" relativeHeight="251756544" behindDoc="0" locked="0" layoutInCell="1" allowOverlap="1">
                <wp:simplePos x="0" y="0"/>
                <wp:positionH relativeFrom="column">
                  <wp:posOffset>3886200</wp:posOffset>
                </wp:positionH>
                <wp:positionV relativeFrom="paragraph">
                  <wp:posOffset>38100</wp:posOffset>
                </wp:positionV>
                <wp:extent cx="342900" cy="0"/>
                <wp:effectExtent l="0" t="38100" r="0" b="38100"/>
                <wp:wrapNone/>
                <wp:docPr id="347" name="直接连接符 347"/>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6pt;margin-top:3pt;height:0pt;width:27pt;z-index:251756544;mso-width-relative:page;mso-height-relative:page;" filled="f" stroked="t" coordsize="21600,21600" o:gfxdata="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2RFE9UAAAAHAQAA&#10;DwAAAAAAAAABACAAAAAiAAAAZHJzL2Rvd25yZXYueG1sUEsBAhQAFAAAAAgAh07iQFzWUOzjAQAA&#10;nQMAAA4AAAAAAAAAAQAgAAAAJAEAAGRycy9lMm9Eb2MueG1sUEsFBgAAAAAGAAYAWQEAAHkFAAAA&#10;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725824" behindDoc="0" locked="0" layoutInCell="1" allowOverlap="1">
                <wp:simplePos x="0" y="0"/>
                <wp:positionH relativeFrom="column">
                  <wp:posOffset>2971800</wp:posOffset>
                </wp:positionH>
                <wp:positionV relativeFrom="paragraph">
                  <wp:posOffset>236220</wp:posOffset>
                </wp:positionV>
                <wp:extent cx="1143000" cy="29718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234pt;margin-top:18.6pt;height:23.4pt;width:90pt;z-index:251725824;mso-width-relative:page;mso-height-relative:page;" fillcolor="#FFFFFF" filled="t" stroked="f" coordsize="21600,21600" o:gfxdata="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zUoWdgAAAAJAQAADwAAAAAAAAABACAAAAAiAAAAZHJzL2Rvd25yZXYueG1sUEsBAhQAFAAAAAgA&#10;h07iQBmgbQmzAQAASgMAAA4AAAAAAAAAAQAgAAAAJwEAAGRycy9lMm9Eb2MueG1sUEsFBgAAAAAG&#10;AAYAWQEAAEwFA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hint="eastAsia" w:ascii="宋体" w:hAnsi="宋体"/>
        </w:rPr>
        <mc:AlternateContent>
          <mc:Choice Requires="wps">
            <w:drawing>
              <wp:anchor distT="0" distB="0" distL="114300" distR="114300" simplePos="0" relativeHeight="251695104" behindDoc="0" locked="0" layoutInCell="1" allowOverlap="1">
                <wp:simplePos x="0" y="0"/>
                <wp:positionH relativeFrom="column">
                  <wp:posOffset>4914265</wp:posOffset>
                </wp:positionH>
                <wp:positionV relativeFrom="paragraph">
                  <wp:posOffset>123190</wp:posOffset>
                </wp:positionV>
                <wp:extent cx="0" cy="297180"/>
                <wp:effectExtent l="38100" t="0" r="38100" b="7620"/>
                <wp:wrapNone/>
                <wp:docPr id="337" name="直接连接符 3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86.95pt;margin-top:9.7pt;height:23.4pt;width:0pt;z-index:251695104;mso-width-relative:page;mso-height-relative:page;" filled="f" stroked="t" coordsize="21600,21600" o:gfxdata="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5FaHL2QAA&#10;AAkBAAAPAAAAAAAAAAEAIAAAACIAAABkcnMvZG93bnJldi54bWxQSwECFAAUAAAACACHTuJAdU8i&#10;peQBAACdAwAADgAAAAAAAAABACAAAAAoAQAAZHJzL2Uyb0RvYy54bWxQSwUGAAAAAAYABgBZAQAA&#10;fg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87936" behindDoc="0" locked="0" layoutInCell="1" allowOverlap="1">
                <wp:simplePos x="0" y="0"/>
                <wp:positionH relativeFrom="column">
                  <wp:posOffset>2437765</wp:posOffset>
                </wp:positionH>
                <wp:positionV relativeFrom="paragraph">
                  <wp:posOffset>107950</wp:posOffset>
                </wp:positionV>
                <wp:extent cx="0" cy="274320"/>
                <wp:effectExtent l="42545" t="0" r="52705" b="11430"/>
                <wp:wrapNone/>
                <wp:docPr id="349" name="直接连接符 349"/>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95pt;margin-top:8.5pt;height:21.6pt;width:0pt;z-index:251687936;mso-width-relative:page;mso-height-relative:page;" filled="f" stroked="t" coordsize="21600,21600" o:gfxdata="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OzpoHVAAAACQEA&#10;AA8AAAAAAAAAAQAgAAAAIgAAAGRycy9kb3ducmV2LnhtbFBLAQIUABQAAAAIAIdO4kD2FUM85AEA&#10;AJ4DAAAOAAAAAAAAAAEAIAAAACQBAABkcnMvZTJvRG9jLnhtbFBLBQYAAAAABgAGAFkBAAB6BQAA&#10;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30480</wp:posOffset>
                </wp:positionV>
                <wp:extent cx="1342390" cy="297180"/>
                <wp:effectExtent l="0" t="0" r="10160" b="7620"/>
                <wp:wrapNone/>
                <wp:docPr id="328" name="矩形 328"/>
                <wp:cNvGraphicFramePr/>
                <a:graphic xmlns:a="http://schemas.openxmlformats.org/drawingml/2006/main">
                  <a:graphicData uri="http://schemas.microsoft.com/office/word/2010/wordprocessingShape">
                    <wps:wsp>
                      <wps:cNvSpPr/>
                      <wps:spPr>
                        <a:xfrm>
                          <a:off x="0" y="0"/>
                          <a:ext cx="1342390" cy="297180"/>
                        </a:xfrm>
                        <a:prstGeom prst="rect">
                          <a:avLst/>
                        </a:prstGeom>
                        <a:solidFill>
                          <a:srgbClr val="FFFFFF"/>
                        </a:solidFill>
                        <a:ln>
                          <a:noFill/>
                        </a:ln>
                      </wps:spPr>
                      <wps:txbx>
                        <w:txbxContent>
                          <w:p>
                            <w:pPr>
                              <w:jc w:val="center"/>
                            </w:pPr>
                            <w:r>
                              <w:rPr>
                                <w:rFonts w:hint="eastAsia" w:ascii="宋体" w:hAnsi="宋体"/>
                                <w:sz w:val="21"/>
                                <w:szCs w:val="21"/>
                              </w:rPr>
                              <w:t>※PM</w:t>
                            </w:r>
                            <w:r>
                              <w:rPr>
                                <w:rFonts w:hint="eastAsia" w:ascii="宋体" w:hAnsi="宋体"/>
                                <w:sz w:val="21"/>
                                <w:szCs w:val="21"/>
                                <w:vertAlign w:val="subscript"/>
                              </w:rPr>
                              <w:t>10</w:t>
                            </w:r>
                            <w:r>
                              <w:rPr>
                                <w:rFonts w:hint="eastAsia" w:ascii="宋体" w:hAnsi="宋体"/>
                                <w:sz w:val="21"/>
                                <w:szCs w:val="21"/>
                              </w:rPr>
                              <w:t>、SO</w:t>
                            </w:r>
                            <w:r>
                              <w:rPr>
                                <w:rFonts w:hint="eastAsia" w:ascii="宋体" w:hAnsi="宋体"/>
                                <w:sz w:val="21"/>
                                <w:szCs w:val="21"/>
                                <w:vertAlign w:val="subscript"/>
                              </w:rPr>
                              <w:t>2</w:t>
                            </w:r>
                            <w:r>
                              <w:rPr>
                                <w:rFonts w:hint="eastAsia" w:ascii="宋体" w:hAnsi="宋体"/>
                                <w:sz w:val="21"/>
                                <w:szCs w:val="21"/>
                              </w:rPr>
                              <w:t>、NO</w:t>
                            </w:r>
                            <w:r>
                              <w:rPr>
                                <w:rFonts w:hint="eastAsia" w:ascii="宋体" w:hAnsi="宋体"/>
                                <w:sz w:val="21"/>
                                <w:szCs w:val="21"/>
                                <w:vertAlign w:val="subscript"/>
                              </w:rPr>
                              <w:t>2</w:t>
                            </w:r>
                          </w:p>
                          <w:p/>
                        </w:txbxContent>
                      </wps:txbx>
                      <wps:bodyPr upright="1"/>
                    </wps:wsp>
                  </a:graphicData>
                </a:graphic>
              </wp:anchor>
            </w:drawing>
          </mc:Choice>
          <mc:Fallback>
            <w:pict>
              <v:rect id="_x0000_s1026" o:spid="_x0000_s1026" o:spt="1" style="position:absolute;left:0pt;margin-left:-18pt;margin-top:2.4pt;height:23.4pt;width:105.7pt;z-index:251717632;mso-width-relative:page;mso-height-relative:page;" fillcolor="#FFFFFF" filled="t" stroked="f" coordsize="21600,21600" o:gfxdata="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yYpr01gAAAAgBAAAPAAAAAAAAAAEA&#10;IAAAACIAAABkcnMvZG93bnJldi54bWxQSwECFAAUAAAACACHTuJA9Z23P58BAAAgAwAADgAAAAAA&#10;AAABACAAAAAlAQAAZHJzL2Uyb0RvYy54bWxQSwUGAAAAAAYABgBZAQAANgUAAAAA&#10;">
                <v:fill on="t" focussize="0,0"/>
                <v:stroke on="f"/>
                <v:imagedata o:title=""/>
                <o:lock v:ext="edit" aspectratio="f"/>
                <v:textbox>
                  <w:txbxContent>
                    <w:p>
                      <w:pPr>
                        <w:jc w:val="center"/>
                      </w:pPr>
                      <w:r>
                        <w:rPr>
                          <w:rFonts w:hint="eastAsia" w:ascii="宋体" w:hAnsi="宋体"/>
                          <w:sz w:val="21"/>
                          <w:szCs w:val="21"/>
                        </w:rPr>
                        <w:t>※PM</w:t>
                      </w:r>
                      <w:r>
                        <w:rPr>
                          <w:rFonts w:hint="eastAsia" w:ascii="宋体" w:hAnsi="宋体"/>
                          <w:sz w:val="21"/>
                          <w:szCs w:val="21"/>
                          <w:vertAlign w:val="subscript"/>
                        </w:rPr>
                        <w:t>10</w:t>
                      </w:r>
                      <w:r>
                        <w:rPr>
                          <w:rFonts w:hint="eastAsia" w:ascii="宋体" w:hAnsi="宋体"/>
                          <w:sz w:val="21"/>
                          <w:szCs w:val="21"/>
                        </w:rPr>
                        <w:t>、SO</w:t>
                      </w:r>
                      <w:r>
                        <w:rPr>
                          <w:rFonts w:hint="eastAsia" w:ascii="宋体" w:hAnsi="宋体"/>
                          <w:sz w:val="21"/>
                          <w:szCs w:val="21"/>
                          <w:vertAlign w:val="subscript"/>
                        </w:rPr>
                        <w:t>2</w:t>
                      </w:r>
                      <w:r>
                        <w:rPr>
                          <w:rFonts w:hint="eastAsia" w:ascii="宋体" w:hAnsi="宋体"/>
                          <w:sz w:val="21"/>
                          <w:szCs w:val="21"/>
                        </w:rPr>
                        <w:t>、NO</w:t>
                      </w:r>
                      <w:r>
                        <w:rPr>
                          <w:rFonts w:hint="eastAsia" w:ascii="宋体" w:hAnsi="宋体"/>
                          <w:sz w:val="21"/>
                          <w:szCs w:val="21"/>
                          <w:vertAlign w:val="subscript"/>
                        </w:rPr>
                        <w:t>2</w:t>
                      </w:r>
                    </w:p>
                    <w:p/>
                  </w:txbxContent>
                </v:textbox>
              </v:rect>
            </w:pict>
          </mc:Fallback>
        </mc:AlternateContent>
      </w:r>
      <w:r>
        <w:rPr>
          <w:rFonts w:hint="eastAsia" w:ascii="宋体" w:hAnsi="宋体"/>
        </w:rPr>
        <mc:AlternateContent>
          <mc:Choice Requires="wps">
            <w:drawing>
              <wp:anchor distT="0" distB="0" distL="114300" distR="114300" simplePos="0" relativeHeight="251741184" behindDoc="0" locked="0" layoutInCell="1" allowOverlap="1">
                <wp:simplePos x="0" y="0"/>
                <wp:positionH relativeFrom="column">
                  <wp:posOffset>1371600</wp:posOffset>
                </wp:positionH>
                <wp:positionV relativeFrom="paragraph">
                  <wp:posOffset>228600</wp:posOffset>
                </wp:positionV>
                <wp:extent cx="0" cy="594360"/>
                <wp:effectExtent l="13970" t="0" r="24130" b="15875"/>
                <wp:wrapNone/>
                <wp:docPr id="350" name="直接连接符 350"/>
                <wp:cNvGraphicFramePr/>
                <a:graphic xmlns:a="http://schemas.openxmlformats.org/drawingml/2006/main">
                  <a:graphicData uri="http://schemas.microsoft.com/office/word/2010/wordprocessingShape">
                    <wps:wsp>
                      <wps:cNvCnPr/>
                      <wps:spPr>
                        <a:xfrm flipV="1">
                          <a:off x="0" y="0"/>
                          <a:ext cx="0" cy="59436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108pt;margin-top:18pt;height:46.8pt;width:0pt;z-index:251741184;mso-width-relative:page;mso-height-relative:page;" filled="f" stroked="t" coordsize="21600,21600" o:gfxdata="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u49U1wAA&#10;AAoBAAAPAAAAAAAAAAEAIAAAACIAAABkcnMvZG93bnJldi54bWxQSwECFAAUAAAACACHTuJAzoyS&#10;6OYBAACjAwAADgAAAAAAAAABACAAAAAmAQAAZHJzL2Uyb0RvYy54bWxQSwUGAAAAAAYABgBZAQAA&#10;fg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40160" behindDoc="0" locked="0" layoutInCell="1" allowOverlap="1">
                <wp:simplePos x="0" y="0"/>
                <wp:positionH relativeFrom="column">
                  <wp:posOffset>1371600</wp:posOffset>
                </wp:positionH>
                <wp:positionV relativeFrom="paragraph">
                  <wp:posOffset>228600</wp:posOffset>
                </wp:positionV>
                <wp:extent cx="571500" cy="0"/>
                <wp:effectExtent l="0" t="13970" r="0" b="24130"/>
                <wp:wrapNone/>
                <wp:docPr id="335" name="直接连接符 335"/>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08pt;margin-top:18pt;height:0pt;width:45pt;z-index:251740160;mso-width-relative:page;mso-height-relative:page;" filled="f" stroked="t" coordsize="21600,21600" o:gfxdata="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x/gIzVAAAACQEAAA8AAAAA&#10;AAAAAQAgAAAAIgAAAGRycy9kb3ducmV2LnhtbFBLAQIUABQAAAAIAIdO4kB2gEY83gEAAJkDAAAO&#10;AAAAAAAAAAEAIAAAACQBAABkcnMvZTJvRG9jLnhtbFBLBQYAAAAABgAGAFkBAAB0BQ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723776" behindDoc="0" locked="0" layoutInCell="1" allowOverlap="1">
                <wp:simplePos x="0" y="0"/>
                <wp:positionH relativeFrom="column">
                  <wp:posOffset>3314700</wp:posOffset>
                </wp:positionH>
                <wp:positionV relativeFrom="paragraph">
                  <wp:posOffset>228600</wp:posOffset>
                </wp:positionV>
                <wp:extent cx="0" cy="792480"/>
                <wp:effectExtent l="13970" t="0" r="24130" b="6985"/>
                <wp:wrapNone/>
                <wp:docPr id="329" name="直接连接符 329"/>
                <wp:cNvGraphicFramePr/>
                <a:graphic xmlns:a="http://schemas.openxmlformats.org/drawingml/2006/main">
                  <a:graphicData uri="http://schemas.microsoft.com/office/word/2010/wordprocessingShape">
                    <wps:wsp>
                      <wps:cNvCnPr/>
                      <wps:spPr>
                        <a:xfrm flipV="1">
                          <a:off x="0" y="0"/>
                          <a:ext cx="0" cy="79248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261pt;margin-top:18pt;height:62.4pt;width:0pt;z-index:251723776;mso-width-relative:page;mso-height-relative:page;" filled="f" stroked="t" coordsize="21600,21600" o:gfxdata="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GoGPtcA&#10;AAAKAQAADwAAAAAAAAABACAAAAAiAAAAZHJzL2Rvd25yZXYueG1sUEsBAhQAFAAAAAgAh07iQHT8&#10;yjjnAQAAowMAAA4AAAAAAAAAAQAgAAAAJgEAAGRycy9lMm9Eb2MueG1sUEsFBgAAAAAGAAYAWQEA&#10;AH8FAAAAAA==&#10;">
                <v:fill on="f" focussize="0,0"/>
                <v:stroke weight="2.25pt" color="#000000" joinstyle="round" dashstyle="dash"/>
                <v:imagedata o:title=""/>
                <o:lock v:ext="edit" aspectratio="f"/>
              </v:line>
            </w:pict>
          </mc:Fallback>
        </mc:AlternateContent>
      </w:r>
      <w:r>
        <w:rPr>
          <w:rFonts w:hint="eastAsia" w:ascii="宋体" w:hAnsi="宋体"/>
        </w:rPr>
        <mc:AlternateContent>
          <mc:Choice Requires="wps">
            <w:drawing>
              <wp:anchor distT="0" distB="0" distL="114300" distR="114300" simplePos="0" relativeHeight="251724800" behindDoc="0" locked="0" layoutInCell="1" allowOverlap="1">
                <wp:simplePos x="0" y="0"/>
                <wp:positionH relativeFrom="column">
                  <wp:posOffset>2971800</wp:posOffset>
                </wp:positionH>
                <wp:positionV relativeFrom="paragraph">
                  <wp:posOffset>228600</wp:posOffset>
                </wp:positionV>
                <wp:extent cx="342900" cy="0"/>
                <wp:effectExtent l="0" t="42545" r="0" b="52705"/>
                <wp:wrapNone/>
                <wp:docPr id="326" name="直接连接符 326"/>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34pt;margin-top:18pt;height:0pt;width:27pt;z-index:251724800;mso-width-relative:page;mso-height-relative:page;" filled="f" stroked="t" coordsize="21600,21600" o:gfxdata="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NEA9TYAAAACQEAAA8AAAAAAAAAAQAgAAAAIgAAAGRycy9kb3ducmV2LnhtbFBLAQIUABQAAAAI&#10;AIdO4kC94xNC7QEAAKcDAAAOAAAAAAAAAAEAIAAAACcBAABkcnMvZTJvRG9jLnhtbFBLBQYAAAAA&#10;BgAGAFkBAACGBQ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1552" behindDoc="0" locked="0" layoutInCell="1" allowOverlap="1">
                <wp:simplePos x="0" y="0"/>
                <wp:positionH relativeFrom="column">
                  <wp:posOffset>4365625</wp:posOffset>
                </wp:positionH>
                <wp:positionV relativeFrom="paragraph">
                  <wp:posOffset>126365</wp:posOffset>
                </wp:positionV>
                <wp:extent cx="1005205" cy="297180"/>
                <wp:effectExtent l="4445" t="5080" r="19050" b="21590"/>
                <wp:wrapNone/>
                <wp:docPr id="330" name="矩形 330"/>
                <wp:cNvGraphicFramePr/>
                <a:graphic xmlns:a="http://schemas.openxmlformats.org/drawingml/2006/main">
                  <a:graphicData uri="http://schemas.microsoft.com/office/word/2010/wordprocessingShape">
                    <wps:wsp>
                      <wps:cNvSpPr/>
                      <wps:spPr>
                        <a:xfrm>
                          <a:off x="0" y="0"/>
                          <a:ext cx="10052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煤粉仓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43.75pt;margin-top:9.95pt;height:23.4pt;width:79.15pt;z-index:251671552;mso-width-relative:page;mso-height-relative:page;" fillcolor="#FFFFFF" filled="t" stroked="t" coordsize="21600,21600" o:gfxdata="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Aqz&#10;YtcAAAAJAQAADwAAAAAAAAABACAAAAAiAAAAZHJzL2Rvd25yZXYueG1sUEsBAhQAFAAAAAgAh07i&#10;QFd4ZUfqAQAA3wMAAA4AAAAAAAAAAQAgAAAAJgEAAGRycy9lMm9Eb2MueG1sUEsFBgAAAAAGAAYA&#10;WQEAAIIFAAAAAA==&#10;">
                <v:fill on="t" focussize="0,0"/>
                <v:stroke color="#000000" joinstyle="miter"/>
                <v:imagedata o:title=""/>
                <o:lock v:ext="edit" aspectratio="f"/>
                <v:textbox>
                  <w:txbxContent>
                    <w:p>
                      <w:pPr>
                        <w:jc w:val="center"/>
                      </w:pPr>
                      <w:r>
                        <w:rPr>
                          <w:rFonts w:hint="eastAsia"/>
                        </w:rPr>
                        <w:t>煤粉仓</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62336" behindDoc="0" locked="0" layoutInCell="1" allowOverlap="1">
                <wp:simplePos x="0" y="0"/>
                <wp:positionH relativeFrom="column">
                  <wp:posOffset>1877060</wp:posOffset>
                </wp:positionH>
                <wp:positionV relativeFrom="paragraph">
                  <wp:posOffset>78105</wp:posOffset>
                </wp:positionV>
                <wp:extent cx="1109345" cy="297180"/>
                <wp:effectExtent l="4445" t="5080" r="10160" b="21590"/>
                <wp:wrapNone/>
                <wp:docPr id="351" name="矩形 351"/>
                <wp:cNvGraphicFramePr/>
                <a:graphic xmlns:a="http://schemas.openxmlformats.org/drawingml/2006/main">
                  <a:graphicData uri="http://schemas.microsoft.com/office/word/2010/wordprocessingShape">
                    <wps:wsp>
                      <wps:cNvSpPr/>
                      <wps:spPr>
                        <a:xfrm>
                          <a:off x="0" y="0"/>
                          <a:ext cx="11093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7"/>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wps:txbx>
                      <wps:bodyPr upright="1"/>
                    </wps:wsp>
                  </a:graphicData>
                </a:graphic>
              </wp:anchor>
            </w:drawing>
          </mc:Choice>
          <mc:Fallback>
            <w:pict>
              <v:rect id="_x0000_s1026" o:spid="_x0000_s1026" o:spt="1" style="position:absolute;left:0pt;margin-left:147.8pt;margin-top:6.15pt;height:23.4pt;width:87.35pt;z-index:251662336;mso-width-relative:page;mso-height-relative:page;" fillcolor="#FFFFFF" filled="t" stroked="t" coordsize="21600,21600" o:gfxdata="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G&#10;2ukG2AAAAAkBAAAPAAAAAAAAAAEAIAAAACIAAABkcnMvZG93bnJldi54bWxQSwECFAAUAAAACACH&#10;TuJAtILl3+sBAADfAwAADgAAAAAAAAABACAAAAAnAQAAZHJzL2Uyb0RvYy54bWxQSwUGAAAAAAYA&#10;BgBZAQAAhAUAAAAA&#10;">
                <v:fill on="t" focussize="0,0"/>
                <v:stroke color="#000000" joinstyle="miter"/>
                <v:imagedata o:title=""/>
                <o:lock v:ext="edit" aspectratio="f"/>
                <v:textbox>
                  <w:txbxContent>
                    <w:p>
                      <w:pPr>
                        <w:pStyle w:val="27"/>
                        <w:widowControl w:val="0"/>
                        <w:spacing w:before="0" w:beforeAutospacing="0" w:after="0" w:afterAutospacing="0"/>
                        <w:rPr>
                          <w:rFonts w:ascii="Times New Roman" w:hAnsi="Times New Roman"/>
                          <w:kern w:val="2"/>
                          <w:sz w:val="21"/>
                        </w:rPr>
                      </w:pPr>
                      <w:r>
                        <w:rPr>
                          <w:rFonts w:ascii="Times New Roman" w:hAnsi="Times New Roman"/>
                          <w:kern w:val="2"/>
                          <w:sz w:val="21"/>
                        </w:rPr>
                        <w:t>粉磨、烘干</w:t>
                      </w:r>
                      <w:r>
                        <w:rPr>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22752" behindDoc="0" locked="0" layoutInCell="1" allowOverlap="1">
                <wp:simplePos x="0" y="0"/>
                <wp:positionH relativeFrom="column">
                  <wp:posOffset>3657600</wp:posOffset>
                </wp:positionH>
                <wp:positionV relativeFrom="paragraph">
                  <wp:posOffset>220980</wp:posOffset>
                </wp:positionV>
                <wp:extent cx="1028700" cy="297180"/>
                <wp:effectExtent l="4445" t="4445" r="14605" b="22225"/>
                <wp:wrapNone/>
                <wp:docPr id="320" name="文本框 320"/>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汽轮发电机组△</w:t>
                            </w:r>
                          </w:p>
                        </w:txbxContent>
                      </wps:txbx>
                      <wps:bodyPr upright="1"/>
                    </wps:wsp>
                  </a:graphicData>
                </a:graphic>
              </wp:anchor>
            </w:drawing>
          </mc:Choice>
          <mc:Fallback>
            <w:pict>
              <v:shape id="_x0000_s1026" o:spid="_x0000_s1026" o:spt="202" type="#_x0000_t202" style="position:absolute;left:0pt;margin-left:288pt;margin-top:17.4pt;height:23.4pt;width:81pt;z-index:251722752;mso-width-relative:page;mso-height-relative:page;" fillcolor="#FFFFFF" filled="t" stroked="t" coordsize="21600,21600" o:gfxdata="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cXi3XYAAAACQEAAA8AAAAAAAAAAQAgAAAAIgAAAGRycy9kb3ducmV2LnhtbFBLAQIU&#10;ABQAAAAIAIdO4kAhJLuL8wEAAOwDAAAOAAAAAAAAAAEAIAAAACcBAABkcnMvZTJvRG9jLnhtbFBL&#10;BQYAAAAABgAGAFkBAACMBQ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汽轮发电机组△</w:t>
                      </w:r>
                    </w:p>
                  </w:txbxContent>
                </v:textbox>
              </v:shape>
            </w:pict>
          </mc:Fallback>
        </mc:AlternateContent>
      </w:r>
      <w:r>
        <w:rPr>
          <w:rFonts w:ascii="宋体" w:hAnsi="宋体"/>
          <w:sz w:val="20"/>
        </w:rPr>
        <mc:AlternateContent>
          <mc:Choice Requires="wps">
            <w:drawing>
              <wp:anchor distT="0" distB="0" distL="114300" distR="114300" simplePos="0" relativeHeight="251716608" behindDoc="0" locked="0" layoutInCell="1" allowOverlap="1">
                <wp:simplePos x="0" y="0"/>
                <wp:positionH relativeFrom="column">
                  <wp:posOffset>566420</wp:posOffset>
                </wp:positionH>
                <wp:positionV relativeFrom="paragraph">
                  <wp:posOffset>15875</wp:posOffset>
                </wp:positionV>
                <wp:extent cx="0" cy="297180"/>
                <wp:effectExtent l="38100" t="0" r="38100" b="7620"/>
                <wp:wrapNone/>
                <wp:docPr id="332" name="直接连接符 332"/>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4.6pt;margin-top:1.25pt;height:23.4pt;width:0pt;z-index:251716608;mso-width-relative:page;mso-height-relative:page;" filled="f" stroked="t" coordsize="21600,21600" o:gfxdata="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LlH&#10;XNUAAAAGAQAADwAAAAAAAAABACAAAAAiAAAAZHJzL2Rvd25yZXYueG1sUEsBAhQAFAAAAAgAh07i&#10;QLbAZcTsAQAApwMAAA4AAAAAAAAAAQAgAAAAJAEAAGRycy9lMm9Eb2MueG1sUEsFBgAAAAAGAAYA&#10;WQEAAIIFAAAAAA==&#10;">
                <v:fill on="f" focussize="0,0"/>
                <v:stroke color="#000000" joinstyle="round"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694080" behindDoc="0" locked="0" layoutInCell="1" allowOverlap="1">
                <wp:simplePos x="0" y="0"/>
                <wp:positionH relativeFrom="column">
                  <wp:posOffset>4914900</wp:posOffset>
                </wp:positionH>
                <wp:positionV relativeFrom="paragraph">
                  <wp:posOffset>121920</wp:posOffset>
                </wp:positionV>
                <wp:extent cx="0" cy="1386840"/>
                <wp:effectExtent l="4445" t="0" r="14605" b="3810"/>
                <wp:wrapNone/>
                <wp:docPr id="348" name="直接连接符 348"/>
                <wp:cNvGraphicFramePr/>
                <a:graphic xmlns:a="http://schemas.openxmlformats.org/drawingml/2006/main">
                  <a:graphicData uri="http://schemas.microsoft.com/office/word/2010/wordprocessingShape">
                    <wps:wsp>
                      <wps:cNvCnPr/>
                      <wps:spPr>
                        <a:xfrm>
                          <a:off x="0" y="0"/>
                          <a:ext cx="0" cy="1386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9.6pt;height:109.2pt;width:0pt;z-index:251694080;mso-width-relative:page;mso-height-relative:page;" filled="f" stroked="t" coordsize="21600,21600" o:gfxdata="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raZzdcAAAAKAQAADwAA&#10;AAAAAAABACAAAAAiAAAAZHJzL2Rvd25yZXYueG1sUEsBAhQAFAAAAAgAh07iQPLYycPeAQAAmgMA&#10;AA4AAAAAAAAAAQAgAAAAJgEAAGRycy9lMm9Eb2MueG1sUEsFBgAAAAAGAAYAWQEAAHYFA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688960" behindDoc="0" locked="0" layoutInCell="1" allowOverlap="1">
                <wp:simplePos x="0" y="0"/>
                <wp:positionH relativeFrom="column">
                  <wp:posOffset>2423160</wp:posOffset>
                </wp:positionH>
                <wp:positionV relativeFrom="paragraph">
                  <wp:posOffset>72390</wp:posOffset>
                </wp:positionV>
                <wp:extent cx="0" cy="274320"/>
                <wp:effectExtent l="42545" t="0" r="52705" b="11430"/>
                <wp:wrapNone/>
                <wp:docPr id="321" name="直接连接符 321"/>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pt;margin-top:5.7pt;height:21.6pt;width:0pt;z-index:251688960;mso-width-relative:page;mso-height-relative:page;" filled="f" stroked="t" coordsize="21600,21600" o:gfxdata="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KEmAtUAAAAJAQAA&#10;DwAAAAAAAAABACAAAAAiAAAAZHJzL2Rvd25yZXYueG1sUEsBAhQAFAAAAAgAh07iQOFmfk3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5584" behindDoc="0" locked="0" layoutInCell="1" allowOverlap="1">
                <wp:simplePos x="0" y="0"/>
                <wp:positionH relativeFrom="column">
                  <wp:posOffset>-153035</wp:posOffset>
                </wp:positionH>
                <wp:positionV relativeFrom="paragraph">
                  <wp:posOffset>15240</wp:posOffset>
                </wp:positionV>
                <wp:extent cx="1191895" cy="297180"/>
                <wp:effectExtent l="5080" t="4445" r="22225" b="22225"/>
                <wp:wrapNone/>
                <wp:docPr id="342" name="矩形 342"/>
                <wp:cNvGraphicFramePr/>
                <a:graphic xmlns:a="http://schemas.openxmlformats.org/drawingml/2006/main">
                  <a:graphicData uri="http://schemas.microsoft.com/office/word/2010/wordprocessingShape">
                    <wps:wsp>
                      <wps:cNvSpPr/>
                      <wps:spPr>
                        <a:xfrm>
                          <a:off x="0" y="0"/>
                          <a:ext cx="119189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12.05pt;margin-top:1.2pt;height:23.4pt;width:93.85pt;z-index:251715584;mso-width-relative:page;mso-height-relative:page;" fillcolor="#FFFFFF" filled="t" stroked="t" coordsize="21600,21600" o:gfxdata="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Pi&#10;hSvWAAAACAEAAA8AAAAAAAAAAQAgAAAAIgAAAGRycy9kb3ducmV2LnhtbFBLAQIUABQAAAAIAIdO&#10;4kBjCmr67AEAAN8DAAAOAAAAAAAAAAEAIAAAACUBAABkcnMvZTJvRG9jLnhtbFBLBQYAAAAABgAG&#10;AFkBAACDBQ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1742208" behindDoc="0" locked="0" layoutInCell="1" allowOverlap="1">
                <wp:simplePos x="0" y="0"/>
                <wp:positionH relativeFrom="column">
                  <wp:posOffset>1028700</wp:posOffset>
                </wp:positionH>
                <wp:positionV relativeFrom="paragraph">
                  <wp:posOffset>213360</wp:posOffset>
                </wp:positionV>
                <wp:extent cx="342900" cy="0"/>
                <wp:effectExtent l="0" t="42545" r="0" b="52705"/>
                <wp:wrapNone/>
                <wp:docPr id="322" name="直接连接符 322"/>
                <wp:cNvGraphicFramePr/>
                <a:graphic xmlns:a="http://schemas.openxmlformats.org/drawingml/2006/main">
                  <a:graphicData uri="http://schemas.microsoft.com/office/word/2010/wordprocessingShape">
                    <wps:wsp>
                      <wps:cNvCnPr/>
                      <wps:spPr>
                        <a:xfrm flipH="1">
                          <a:off x="0" y="0"/>
                          <a:ext cx="3429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81pt;margin-top:16.8pt;height:0pt;width:27pt;z-index:251742208;mso-width-relative:page;mso-height-relative:page;" filled="f" stroked="t" coordsize="21600,21600" o:gfxdata="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TicxNcAAAAJAQAADwAAAAAAAAABACAAAAAiAAAAZHJzL2Rvd25yZXYueG1sUEsBAhQAFAAAAAgA&#10;h07iQA35u2TtAQAApwMAAA4AAAAAAAAAAQAgAAAAJgEAAGRycy9lMm9Eb2MueG1sUEsFBgAAAAAG&#10;AAYAWQEAAIUFAAAAAA==&#10;">
                <v:fill on="f" focussize="0,0"/>
                <v:stroke weight="2.25pt" color="#000000" joinstyle="round" dashstyle="dash" endarrow="block"/>
                <v:imagedata o:title=""/>
                <o:lock v:ext="edit" aspectratio="f"/>
              </v:line>
            </w:pict>
          </mc:Fallback>
        </mc:AlternateContent>
      </w:r>
      <w:r>
        <w:rPr>
          <w:rFonts w:hint="eastAsia" w:ascii="宋体" w:hAnsi="宋体"/>
        </w:rPr>
        <mc:AlternateContent>
          <mc:Choice Requires="wps">
            <w:drawing>
              <wp:anchor distT="0" distB="0" distL="114300" distR="114300" simplePos="0" relativeHeight="251721728" behindDoc="0" locked="0" layoutInCell="1" allowOverlap="1">
                <wp:simplePos x="0" y="0"/>
                <wp:positionH relativeFrom="column">
                  <wp:posOffset>4114800</wp:posOffset>
                </wp:positionH>
                <wp:positionV relativeFrom="paragraph">
                  <wp:posOffset>213360</wp:posOffset>
                </wp:positionV>
                <wp:extent cx="0" cy="396240"/>
                <wp:effectExtent l="42545" t="0" r="52705" b="3810"/>
                <wp:wrapNone/>
                <wp:docPr id="338" name="直接连接符 338"/>
                <wp:cNvGraphicFramePr/>
                <a:graphic xmlns:a="http://schemas.openxmlformats.org/drawingml/2006/main">
                  <a:graphicData uri="http://schemas.microsoft.com/office/word/2010/wordprocessingShape">
                    <wps:wsp>
                      <wps:cNvCnPr/>
                      <wps:spPr>
                        <a:xfrm flipV="1">
                          <a:off x="0" y="0"/>
                          <a:ext cx="0" cy="39624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24pt;margin-top:16.8pt;height:31.2pt;width:0pt;z-index:251721728;mso-width-relative:page;mso-height-relative:page;" filled="f" stroked="t" coordsize="21600,21600" o:gfxdata="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7PDPE2QAAAAkBAAAPAAAAAAAAAAEAIAAAACIAAABkcnMvZG93bnJldi54bWxQSwECFAAUAAAA&#10;CACHTuJAHfV07+0BAACnAwAADgAAAAAAAAABACAAAAAo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4384" behindDoc="0" locked="0" layoutInCell="1" allowOverlap="1">
                <wp:simplePos x="0" y="0"/>
                <wp:positionH relativeFrom="column">
                  <wp:posOffset>1867535</wp:posOffset>
                </wp:positionH>
                <wp:positionV relativeFrom="paragraph">
                  <wp:posOffset>13335</wp:posOffset>
                </wp:positionV>
                <wp:extent cx="1218565" cy="297180"/>
                <wp:effectExtent l="4445" t="5080" r="15240" b="21590"/>
                <wp:wrapNone/>
                <wp:docPr id="340" name="矩形 340"/>
                <wp:cNvGraphicFramePr/>
                <a:graphic xmlns:a="http://schemas.openxmlformats.org/drawingml/2006/main">
                  <a:graphicData uri="http://schemas.microsoft.com/office/word/2010/wordprocessingShape">
                    <wps:wsp>
                      <wps:cNvSpPr/>
                      <wps:spPr>
                        <a:xfrm>
                          <a:off x="0" y="0"/>
                          <a:ext cx="121856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生料均化库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7.05pt;margin-top:1.05pt;height:23.4pt;width:95.95pt;z-index:251664384;mso-width-relative:page;mso-height-relative:page;" fillcolor="#FFFFFF" filled="t" stroked="t" coordsize="21600,21600" o:gfxdata="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7g17U&#10;AAAACAEAAA8AAAAAAAAAAQAgAAAAIgAAAGRycy9kb3ducmV2LnhtbFBLAQIUABQAAAAIAIdO4kCO&#10;BzJb6wEAAN8DAAAOAAAAAAAAAAEAIAAAACMBAABkcnMvZTJvRG9jLnhtbFBLBQYAAAAABgAGAFkB&#10;AACABQAAAAA=&#10;">
                <v:fill on="t" focussize="0,0"/>
                <v:stroke color="#000000" joinstyle="miter"/>
                <v:imagedata o:title=""/>
                <o:lock v:ext="edit" aspectratio="f"/>
                <v:textbox>
                  <w:txbxContent>
                    <w:p>
                      <w:pPr>
                        <w:jc w:val="center"/>
                      </w:pPr>
                      <w:r>
                        <w:rPr>
                          <w:rFonts w:hint="eastAsia"/>
                        </w:rPr>
                        <w:t>生料均化库</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9376" behindDoc="0" locked="0" layoutInCell="1" allowOverlap="1">
                <wp:simplePos x="0" y="0"/>
                <wp:positionH relativeFrom="column">
                  <wp:posOffset>5143500</wp:posOffset>
                </wp:positionH>
                <wp:positionV relativeFrom="paragraph">
                  <wp:posOffset>7620</wp:posOffset>
                </wp:positionV>
                <wp:extent cx="800100" cy="297180"/>
                <wp:effectExtent l="0" t="0" r="0" b="0"/>
                <wp:wrapNone/>
                <wp:docPr id="331" name="矩形 331"/>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alpha val="0"/>
                          </a:srgbClr>
                        </a:solidFill>
                        <a:ln>
                          <a:noFill/>
                        </a:ln>
                      </wps:spPr>
                      <wps:txbx>
                        <w:txbxContent>
                          <w:p>
                            <w:pPr>
                              <w:jc w:val="center"/>
                            </w:pPr>
                            <w:r>
                              <w:rPr>
                                <w:rFonts w:hint="eastAsia" w:ascii="宋体" w:hAnsi="宋体"/>
                                <w:sz w:val="21"/>
                                <w:szCs w:val="21"/>
                              </w:rPr>
                              <w:t>※PM</w:t>
                            </w:r>
                            <w:r>
                              <w:rPr>
                                <w:rFonts w:hint="eastAsia" w:ascii="宋体" w:hAnsi="宋体"/>
                                <w:sz w:val="21"/>
                                <w:szCs w:val="21"/>
                                <w:vertAlign w:val="subscript"/>
                              </w:rPr>
                              <w:t>10</w:t>
                            </w:r>
                          </w:p>
                          <w:p/>
                        </w:txbxContent>
                      </wps:txbx>
                      <wps:bodyPr upright="1"/>
                    </wps:wsp>
                  </a:graphicData>
                </a:graphic>
              </wp:anchor>
            </w:drawing>
          </mc:Choice>
          <mc:Fallback>
            <w:pict>
              <v:rect id="_x0000_s1026" o:spid="_x0000_s1026" o:spt="1" style="position:absolute;left:0pt;margin-left:405pt;margin-top:0.6pt;height:23.4pt;width:63pt;z-index:251749376;mso-width-relative:page;mso-height-relative:page;" fillcolor="#FFFFFF" filled="t" stroked="f" coordsize="21600,21600" o:gfxdata="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JmPhx1gAAAAgBAAAPAAAA&#10;AAAAAAEAIAAAACIAAABkcnMvZG93bnJldi54bWxQSwECFAAUAAAACACHTuJAhtt7gqUBAAA8AwAA&#10;DgAAAAAAAAABACAAAAAlAQAAZHJzL2Uyb0RvYy54bWxQSwUGAAAAAAYABgBZAQAAPAUAAAAA&#10;">
                <v:fill on="t" opacity="0f" focussize="0,0"/>
                <v:stroke on="f"/>
                <v:imagedata o:title=""/>
                <o:lock v:ext="edit" aspectratio="f"/>
                <v:textbox>
                  <w:txbxContent>
                    <w:p>
                      <w:pPr>
                        <w:jc w:val="center"/>
                      </w:pPr>
                      <w:r>
                        <w:rPr>
                          <w:rFonts w:hint="eastAsia" w:ascii="宋体" w:hAnsi="宋体"/>
                          <w:sz w:val="21"/>
                          <w:szCs w:val="21"/>
                        </w:rPr>
                        <w:t>※PM</w:t>
                      </w:r>
                      <w:r>
                        <w:rPr>
                          <w:rFonts w:hint="eastAsia" w:ascii="宋体" w:hAnsi="宋体"/>
                          <w:sz w:val="21"/>
                          <w:szCs w:val="21"/>
                          <w:vertAlign w:val="subscript"/>
                        </w:rPr>
                        <w:t>10</w:t>
                      </w:r>
                    </w:p>
                    <w:p/>
                  </w:txbxContent>
                </v:textbox>
              </v:rect>
            </w:pict>
          </mc:Fallback>
        </mc:AlternateContent>
      </w:r>
      <w:r>
        <w:rPr>
          <w:rFonts w:ascii="宋体" w:hAnsi="宋体"/>
          <w:sz w:val="20"/>
        </w:rPr>
        <mc:AlternateContent>
          <mc:Choice Requires="wps">
            <w:drawing>
              <wp:anchor distT="0" distB="0" distL="114300" distR="114300" simplePos="0" relativeHeight="251676672" behindDoc="0" locked="0" layoutInCell="1" allowOverlap="1">
                <wp:simplePos x="0" y="0"/>
                <wp:positionH relativeFrom="column">
                  <wp:posOffset>1120775</wp:posOffset>
                </wp:positionH>
                <wp:positionV relativeFrom="paragraph">
                  <wp:posOffset>142875</wp:posOffset>
                </wp:positionV>
                <wp:extent cx="753745" cy="211455"/>
                <wp:effectExtent l="0" t="0" r="8255" b="17145"/>
                <wp:wrapNone/>
                <wp:docPr id="339" name="矩形 339"/>
                <wp:cNvGraphicFramePr/>
                <a:graphic xmlns:a="http://schemas.openxmlformats.org/drawingml/2006/main">
                  <a:graphicData uri="http://schemas.microsoft.com/office/word/2010/wordprocessingShape">
                    <wps:wsp>
                      <wps:cNvSpPr/>
                      <wps:spPr>
                        <a:xfrm flipV="1">
                          <a:off x="0" y="0"/>
                          <a:ext cx="753745" cy="211455"/>
                        </a:xfrm>
                        <a:prstGeom prst="rect">
                          <a:avLst/>
                        </a:prstGeom>
                        <a:solidFill>
                          <a:srgbClr val="FFFFFF"/>
                        </a:solidFill>
                        <a:ln>
                          <a:noFill/>
                        </a:ln>
                      </wps:spPr>
                      <wps:txbx>
                        <w:txbxContent>
                          <w:p>
                            <w:pPr>
                              <w:spacing w:line="240" w:lineRule="exact"/>
                              <w:jc w:val="center"/>
                              <w:rPr>
                                <w:rFonts w:hint="eastAsia"/>
                              </w:rPr>
                            </w:pPr>
                            <w:r>
                              <w:rPr>
                                <w:rFonts w:hint="eastAsia"/>
                              </w:rPr>
                              <w:t>窑尾废气</w:t>
                            </w:r>
                          </w:p>
                        </w:txbxContent>
                      </wps:txbx>
                      <wps:bodyPr lIns="0" tIns="0" rIns="0" bIns="0" upright="1"/>
                    </wps:wsp>
                  </a:graphicData>
                </a:graphic>
              </wp:anchor>
            </w:drawing>
          </mc:Choice>
          <mc:Fallback>
            <w:pict>
              <v:rect id="_x0000_s1026" o:spid="_x0000_s1026" o:spt="1" style="position:absolute;left:0pt;flip:y;margin-left:88.25pt;margin-top:11.25pt;height:16.65pt;width:59.35pt;z-index:251676672;mso-width-relative:page;mso-height-relative:page;" fillcolor="#FFFFFF" filled="t" stroked="f" coordsize="21600,21600" o:gfxdata="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jDF&#10;xtYAAAAJAQAADwAAAAAAAAABACAAAAAiAAAAZHJzL2Rvd25yZXYueG1sUEsBAhQAFAAAAAgAh07i&#10;QK1rpsuyAQAATQMAAA4AAAAAAAAAAQAgAAAAJQEAAGRycy9lMm9Eb2MueG1sUEsFBgAAAAAGAAYA&#10;WQEAAEkFAAAAAA==&#10;">
                <v:fill on="t" focussize="0,0"/>
                <v:stroke on="f"/>
                <v:imagedata o:title=""/>
                <o:lock v:ext="edit" aspectratio="f"/>
                <v:textbox inset="0mm,0mm,0mm,0mm">
                  <w:txbxContent>
                    <w:p>
                      <w:pPr>
                        <w:spacing w:line="240" w:lineRule="exact"/>
                        <w:jc w:val="center"/>
                        <w:rPr>
                          <w:rFonts w:hint="eastAsia"/>
                        </w:rPr>
                      </w:pPr>
                      <w:r>
                        <w:rPr>
                          <w:rFonts w:hint="eastAsia"/>
                        </w:rPr>
                        <w:t>窑尾废气</w:t>
                      </w:r>
                    </w:p>
                  </w:txbxContent>
                </v:textbox>
              </v:rect>
            </w:pict>
          </mc:Fallback>
        </mc:AlternateContent>
      </w:r>
      <w:r>
        <w:rPr>
          <w:rFonts w:hint="eastAsia" w:ascii="宋体" w:hAnsi="宋体"/>
        </w:rPr>
        <mc:AlternateContent>
          <mc:Choice Requires="wps">
            <w:drawing>
              <wp:anchor distT="0" distB="0" distL="114300" distR="114300" simplePos="0" relativeHeight="251727872" behindDoc="0" locked="0" layoutInCell="1" allowOverlap="1">
                <wp:simplePos x="0" y="0"/>
                <wp:positionH relativeFrom="column">
                  <wp:posOffset>4114800</wp:posOffset>
                </wp:positionH>
                <wp:positionV relativeFrom="paragraph">
                  <wp:posOffset>7620</wp:posOffset>
                </wp:positionV>
                <wp:extent cx="685800" cy="39624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685800" cy="3962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0.6pt;height:31.2pt;width:54pt;z-index:251727872;mso-width-relative:page;mso-height-relative:page;" fillcolor="#FFFFFF" filled="t" stroked="f" coordsize="21600,21600" o:gfxdata="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8O3&#10;itUAAAAIAQAADwAAAAAAAAABACAAAAAiAAAAZHJzL2Rvd25yZXYueG1sUEsBAhQAFAAAAAgAh07i&#10;QL/pLsKzAQAASQMAAA4AAAAAAAAAAQAgAAAAJAEAAGRycy9lMm9Eb2MueG1sUEsFBgAAAAAGAAYA&#10;WQEAAEk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729920" behindDoc="0" locked="0" layoutInCell="1" allowOverlap="1">
                <wp:simplePos x="0" y="0"/>
                <wp:positionH relativeFrom="column">
                  <wp:posOffset>3886200</wp:posOffset>
                </wp:positionH>
                <wp:positionV relativeFrom="paragraph">
                  <wp:posOffset>106680</wp:posOffset>
                </wp:positionV>
                <wp:extent cx="0" cy="198120"/>
                <wp:effectExtent l="13970" t="0" r="24130" b="0"/>
                <wp:wrapNone/>
                <wp:docPr id="343" name="直接连接符 343"/>
                <wp:cNvGraphicFramePr/>
                <a:graphic xmlns:a="http://schemas.openxmlformats.org/drawingml/2006/main">
                  <a:graphicData uri="http://schemas.microsoft.com/office/word/2010/wordprocessingShape">
                    <wps:wsp>
                      <wps:cNvCnPr/>
                      <wps:spPr>
                        <a:xfrm>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06pt;margin-top:8.4pt;height:15.6pt;width:0pt;z-index:251729920;mso-width-relative:page;mso-height-relative:page;" filled="f" stroked="t" coordsize="21600,21600" o:gfxdata="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mPDJ51gAAAAkBAAAPAAAA&#10;AAAAAAEAIAAAACIAAABkcnMvZG93bnJldi54bWxQSwECFAAUAAAACACHTuJABdK4Zt4BAACZAwAA&#10;DgAAAAAAAAABACAAAAAlAQAAZHJzL2Uyb0RvYy54bWxQSwUGAAAAAAYABgBZAQAAdQ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28896" behindDoc="0" locked="0" layoutInCell="1" allowOverlap="1">
                <wp:simplePos x="0" y="0"/>
                <wp:positionH relativeFrom="column">
                  <wp:posOffset>3314700</wp:posOffset>
                </wp:positionH>
                <wp:positionV relativeFrom="paragraph">
                  <wp:posOffset>106680</wp:posOffset>
                </wp:positionV>
                <wp:extent cx="571500" cy="0"/>
                <wp:effectExtent l="0" t="13970" r="0" b="24130"/>
                <wp:wrapNone/>
                <wp:docPr id="344" name="直接连接符 344"/>
                <wp:cNvGraphicFramePr/>
                <a:graphic xmlns:a="http://schemas.openxmlformats.org/drawingml/2006/main">
                  <a:graphicData uri="http://schemas.microsoft.com/office/word/2010/wordprocessingShape">
                    <wps:wsp>
                      <wps:cNvCnPr/>
                      <wps:spPr>
                        <a:xfrm>
                          <a:off x="0" y="0"/>
                          <a:ext cx="571500" cy="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261pt;margin-top:8.4pt;height:0pt;width:45pt;z-index:251728896;mso-width-relative:page;mso-height-relative:page;" filled="f" stroked="t" coordsize="21600,21600" o:gfxdata="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7XJnf1gAAAAkBAAAPAAAA&#10;AAAAAAEAIAAAACIAAABkcnMvZG93bnJldi54bWxQSwECFAAUAAAACACHTuJAVhXckd4BAACZAwAA&#10;DgAAAAAAAAABACAAAAAlAQAAZHJzL2Uyb0RvYy54bWxQSwUGAAAAAAYABgBZAQAAdQ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26848" behindDoc="0" locked="0" layoutInCell="1" allowOverlap="1">
                <wp:simplePos x="0" y="0"/>
                <wp:positionH relativeFrom="column">
                  <wp:posOffset>3086100</wp:posOffset>
                </wp:positionH>
                <wp:positionV relativeFrom="paragraph">
                  <wp:posOffset>205740</wp:posOffset>
                </wp:positionV>
                <wp:extent cx="1143000" cy="29718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窑尾废气</w:t>
                            </w:r>
                          </w:p>
                        </w:txbxContent>
                      </wps:txbx>
                      <wps:bodyPr upright="1"/>
                    </wps:wsp>
                  </a:graphicData>
                </a:graphic>
              </wp:anchor>
            </w:drawing>
          </mc:Choice>
          <mc:Fallback>
            <w:pict>
              <v:shape id="_x0000_s1026" o:spid="_x0000_s1026" o:spt="202" type="#_x0000_t202" style="position:absolute;left:0pt;margin-left:243pt;margin-top:16.2pt;height:23.4pt;width:90pt;z-index:251726848;mso-width-relative:page;mso-height-relative:page;" fillcolor="#FFFFFF" filled="t" stroked="f" coordsize="21600,21600" o:gfxdata="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t7vc7ZAAAACQEAAA8AAAAAAAAAAQAgAAAAIgAAAGRycy9kb3ducmV2LnhtbFBLAQIUABQAAAAI&#10;AIdO4kDRboVMswEAAEoDAAAOAAAAAAAAAAEAIAAAACgBAABkcnMvZTJvRG9jLnhtbFBLBQYAAAAA&#10;BgAGAFkBAABNBQAAAAA=&#10;">
                <v:fill on="t" opacity="0f" focussize="0,0"/>
                <v:stroke on="f"/>
                <v:imagedata o:title=""/>
                <o:lock v:ext="edit" aspectratio="f"/>
                <v:textbox>
                  <w:txbxContent>
                    <w:p>
                      <w:pPr>
                        <w:rPr>
                          <w:rFonts w:hint="eastAsia"/>
                        </w:rPr>
                      </w:pPr>
                      <w:r>
                        <w:rPr>
                          <w:rFonts w:hint="eastAsia"/>
                        </w:rPr>
                        <w:t>窑尾废气</w:t>
                      </w:r>
                    </w:p>
                  </w:txbxContent>
                </v:textbox>
              </v:shape>
            </w:pict>
          </mc:Fallback>
        </mc:AlternateContent>
      </w:r>
      <w:r>
        <w:rPr>
          <w:rFonts w:ascii="宋体" w:hAnsi="宋体"/>
          <w:sz w:val="20"/>
        </w:rPr>
        <mc:AlternateContent>
          <mc:Choice Requires="wps">
            <w:drawing>
              <wp:anchor distT="0" distB="0" distL="114300" distR="114300" simplePos="0" relativeHeight="251714560" behindDoc="0" locked="0" layoutInCell="1" allowOverlap="1">
                <wp:simplePos x="0" y="0"/>
                <wp:positionH relativeFrom="column">
                  <wp:posOffset>571500</wp:posOffset>
                </wp:positionH>
                <wp:positionV relativeFrom="paragraph">
                  <wp:posOffset>7620</wp:posOffset>
                </wp:positionV>
                <wp:extent cx="0" cy="297180"/>
                <wp:effectExtent l="38100" t="0" r="38100" b="7620"/>
                <wp:wrapNone/>
                <wp:docPr id="323" name="直接连接符 323"/>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5pt;margin-top:0.6pt;height:23.4pt;width:0pt;z-index:251714560;mso-width-relative:page;mso-height-relative:page;" filled="f" stroked="t" coordsize="21600,21600" o:gfxdata="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lO/u&#10;1AAAAAYBAAAPAAAAAAAAAAEAIAAAACIAAABkcnMvZG93bnJldi54bWxQSwECFAAUAAAACACHTuJA&#10;34OmEuwBAACnAwAADgAAAAAAAAABACAAAAAjAQAAZHJzL2Uyb0RvYy54bWxQSwUGAAAAAAYABgBZ&#10;AQAAgQU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65408" behindDoc="0" locked="0" layoutInCell="1" allowOverlap="1">
                <wp:simplePos x="0" y="0"/>
                <wp:positionH relativeFrom="column">
                  <wp:posOffset>1877695</wp:posOffset>
                </wp:positionH>
                <wp:positionV relativeFrom="paragraph">
                  <wp:posOffset>283845</wp:posOffset>
                </wp:positionV>
                <wp:extent cx="1208405" cy="655320"/>
                <wp:effectExtent l="5080" t="4445" r="5715" b="6985"/>
                <wp:wrapNone/>
                <wp:docPr id="324" name="矩形 324"/>
                <wp:cNvGraphicFramePr/>
                <a:graphic xmlns:a="http://schemas.openxmlformats.org/drawingml/2006/main">
                  <a:graphicData uri="http://schemas.microsoft.com/office/word/2010/wordprocessingShape">
                    <wps:wsp>
                      <wps:cNvSpPr/>
                      <wps:spPr>
                        <a:xfrm>
                          <a:off x="0" y="0"/>
                          <a:ext cx="1208405" cy="655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wps:txbx>
                      <wps:bodyPr upright="1"/>
                    </wps:wsp>
                  </a:graphicData>
                </a:graphic>
              </wp:anchor>
            </w:drawing>
          </mc:Choice>
          <mc:Fallback>
            <w:pict>
              <v:rect id="_x0000_s1026" o:spid="_x0000_s1026" o:spt="1" style="position:absolute;left:0pt;margin-left:147.85pt;margin-top:22.35pt;height:51.6pt;width:95.15pt;z-index:251665408;mso-width-relative:page;mso-height-relative:page;" fillcolor="#FFFFFF" filled="t" stroked="t" coordsize="21600,21600" o:gfxdata="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Df1M7ZAAAACgEAAA8AAAAAAAAAAQAgAAAAIgAAAGRycy9kb3ducmV2LnhtbFBLAQIUABQAAAAI&#10;AIdO4kBudfzn7AEAAN8DAAAOAAAAAAAAAAEAIAAAACgBAABkcnMvZTJvRG9jLnhtbFBLBQYAAAAA&#10;BgAGAFkBAACGBQAAAAA=&#10;">
                <v:fill on="t" focussize="0,0"/>
                <v:stroke color="#000000" joinstyle="miter"/>
                <v:imagedata o:title=""/>
                <o:lock v:ext="edit" aspectratio="f"/>
                <v:textbox>
                  <w:txbxContent>
                    <w:p>
                      <w:pPr>
                        <w:jc w:val="center"/>
                        <w:rPr>
                          <w:rFonts w:hint="eastAsia"/>
                        </w:rPr>
                      </w:pPr>
                      <w:r>
                        <w:rPr>
                          <w:rFonts w:hint="eastAsia"/>
                        </w:rPr>
                        <w:t>预热器</w:t>
                      </w:r>
                    </w:p>
                    <w:p>
                      <w:pPr>
                        <w:jc w:val="center"/>
                        <w:rPr>
                          <w:rFonts w:hint="eastAsia"/>
                        </w:rPr>
                      </w:pPr>
                      <w:r>
                        <w:rPr>
                          <w:rFonts w:hint="eastAsia"/>
                        </w:rPr>
                        <w:t>分解炉</w:t>
                      </w:r>
                    </w:p>
                    <w:p>
                      <w:pPr>
                        <w:jc w:val="center"/>
                      </w:pPr>
                      <w:r>
                        <w:rPr>
                          <w:rFonts w:hint="eastAsia"/>
                        </w:rPr>
                        <w:t>回转窑</w:t>
                      </w:r>
                    </w:p>
                  </w:txbxContent>
                </v:textbox>
              </v:rect>
            </w:pict>
          </mc:Fallback>
        </mc:AlternateContent>
      </w:r>
      <w:r>
        <w:rPr>
          <w:rFonts w:ascii="宋体" w:hAnsi="宋体"/>
          <w:sz w:val="20"/>
        </w:rPr>
        <mc:AlternateContent>
          <mc:Choice Requires="wps">
            <w:drawing>
              <wp:anchor distT="0" distB="0" distL="114300" distR="114300" simplePos="0" relativeHeight="251691008" behindDoc="0" locked="0" layoutInCell="1" allowOverlap="1">
                <wp:simplePos x="0" y="0"/>
                <wp:positionH relativeFrom="column">
                  <wp:posOffset>2423795</wp:posOffset>
                </wp:positionH>
                <wp:positionV relativeFrom="paragraph">
                  <wp:posOffset>15875</wp:posOffset>
                </wp:positionV>
                <wp:extent cx="0" cy="274320"/>
                <wp:effectExtent l="42545" t="0" r="52705" b="11430"/>
                <wp:wrapNone/>
                <wp:docPr id="325" name="直接连接符 325"/>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0.85pt;margin-top:1.25pt;height:21.6pt;width:0pt;z-index:251691008;mso-width-relative:page;mso-height-relative:page;" filled="f" stroked="t" coordsize="21600,21600" o:gfxdata="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c3QS51AAAAAgBAAAP&#10;AAAAAAAAAAEAIAAAACIAAABkcnMvZG93bnJldi54bWxQSwECFAAUAAAACACHTuJA2vwSAeMBAACe&#10;AwAADgAAAAAAAAABACAAAAAjAQAAZHJzL2Uyb0RvYy54bWxQSwUGAAAAAAYABgBZAQAAeAUAAAAA&#10;">
                <v:fill on="f" focussize="0,0"/>
                <v:stroke weight="2.25pt" color="#000000" joinstyle="round" endarrow="block"/>
                <v:imagedata o:title=""/>
                <o:lock v:ext="edit" aspectratio="f"/>
              </v:line>
            </w:pict>
          </mc:Fallback>
        </mc:AlternateContent>
      </w:r>
      <w:r>
        <w:rPr>
          <w:rFonts w:ascii="宋体" w:hAnsi="宋体"/>
        </w:rPr>
        <w:t xml:space="preserve"> </w: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7328" behindDoc="0" locked="0" layoutInCell="1" allowOverlap="1">
                <wp:simplePos x="0" y="0"/>
                <wp:positionH relativeFrom="column">
                  <wp:posOffset>5029200</wp:posOffset>
                </wp:positionH>
                <wp:positionV relativeFrom="paragraph">
                  <wp:posOffset>297180</wp:posOffset>
                </wp:positionV>
                <wp:extent cx="1238250" cy="297180"/>
                <wp:effectExtent l="4445" t="4445" r="14605" b="22225"/>
                <wp:wrapNone/>
                <wp:docPr id="345" name="矩形 345"/>
                <wp:cNvGraphicFramePr/>
                <a:graphic xmlns:a="http://schemas.openxmlformats.org/drawingml/2006/main">
                  <a:graphicData uri="http://schemas.microsoft.com/office/word/2010/wordprocessingShape">
                    <wps:wsp>
                      <wps:cNvSpPr/>
                      <wps:spPr>
                        <a:xfrm>
                          <a:off x="0" y="0"/>
                          <a:ext cx="123825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color w:val="0000FF"/>
                              </w:rPr>
                            </w:pPr>
                            <w:r>
                              <w:rPr>
                                <w:rFonts w:hint="eastAsia"/>
                                <w:color w:val="0000FF"/>
                              </w:rPr>
                              <w:t>袋收尘器</w:t>
                            </w:r>
                          </w:p>
                        </w:txbxContent>
                      </wps:txbx>
                      <wps:bodyPr upright="1"/>
                    </wps:wsp>
                  </a:graphicData>
                </a:graphic>
              </wp:anchor>
            </w:drawing>
          </mc:Choice>
          <mc:Fallback>
            <w:pict>
              <v:rect id="_x0000_s1026" o:spid="_x0000_s1026" o:spt="1" style="position:absolute;left:0pt;margin-left:396pt;margin-top:23.4pt;height:23.4pt;width:97.5pt;z-index:251747328;mso-width-relative:page;mso-height-relative:page;" fillcolor="#FFFFFF" filled="t" stroked="t" coordsize="21600,21600" o:gfxdata="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GdMqdgAAAAJAQAADwAAAAAAAAABACAAAAAiAAAAZHJzL2Rvd25yZXYueG1sUEsBAhQAFAAAAAgA&#10;h07iQEjny+fsAQAA3wMAAA4AAAAAAAAAAQAgAAAAJwEAAGRycy9lMm9Eb2MueG1sUEsFBgAAAAAG&#10;AAYAWQEAAIUFAAAAAA==&#10;">
                <v:fill on="t" focussize="0,0"/>
                <v:stroke color="#000000" joinstyle="miter"/>
                <v:imagedata o:title=""/>
                <o:lock v:ext="edit" aspectratio="f"/>
                <v:textbox>
                  <w:txbxContent>
                    <w:p>
                      <w:pPr>
                        <w:jc w:val="center"/>
                        <w:rPr>
                          <w:color w:val="0000FF"/>
                        </w:rPr>
                      </w:pPr>
                      <w:r>
                        <w:rPr>
                          <w:rFonts w:hint="eastAsia"/>
                          <w:color w:val="0000FF"/>
                        </w:rPr>
                        <w:t>袋收尘器</w:t>
                      </w:r>
                    </w:p>
                  </w:txbxContent>
                </v:textbox>
              </v:rect>
            </w:pict>
          </mc:Fallback>
        </mc:AlternateContent>
      </w:r>
      <w:r>
        <w:rPr>
          <w:rFonts w:hint="eastAsia" w:ascii="宋体" w:hAnsi="宋体"/>
        </w:rPr>
        <mc:AlternateContent>
          <mc:Choice Requires="wps">
            <w:drawing>
              <wp:anchor distT="0" distB="0" distL="114300" distR="114300" simplePos="0" relativeHeight="251748352" behindDoc="0" locked="0" layoutInCell="1" allowOverlap="1">
                <wp:simplePos x="0" y="0"/>
                <wp:positionH relativeFrom="column">
                  <wp:posOffset>5486400</wp:posOffset>
                </wp:positionH>
                <wp:positionV relativeFrom="paragraph">
                  <wp:posOffset>0</wp:posOffset>
                </wp:positionV>
                <wp:extent cx="0" cy="297180"/>
                <wp:effectExtent l="38100" t="0" r="38100" b="7620"/>
                <wp:wrapNone/>
                <wp:docPr id="334" name="直接连接符 334"/>
                <wp:cNvGraphicFramePr/>
                <a:graphic xmlns:a="http://schemas.openxmlformats.org/drawingml/2006/main">
                  <a:graphicData uri="http://schemas.microsoft.com/office/word/2010/wordprocessingShape">
                    <wps:wsp>
                      <wps:cNvCnPr/>
                      <wps:spPr>
                        <a:xfrm flipV="1">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0pt;height:23.4pt;width:0pt;z-index:251748352;mso-width-relative:page;mso-height-relative:page;" filled="f" stroked="t" coordsize="21600,21600" o:gfxdata="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g9&#10;YjLWAAAABwEAAA8AAAAAAAAAAQAgAAAAIgAAAGRycy9kb3ducmV2LnhtbFBLAQIUABQAAAAIAIdO&#10;4kBe15nx7AEAAKcDAAAOAAAAAAAAAAEAIAAAACUBAABkcnMvZTJvRG9jLnhtbFBLBQYAAAAABgAG&#10;AFkBAACD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0</wp:posOffset>
                </wp:positionV>
                <wp:extent cx="699770" cy="297180"/>
                <wp:effectExtent l="4445" t="4445" r="19685" b="22225"/>
                <wp:wrapNone/>
                <wp:docPr id="346" name="矩形 346"/>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18pt;margin-top:0pt;height:23.4pt;width:55.1pt;z-index:251674624;mso-width-relative:page;mso-height-relative:page;" fillcolor="#FFFFFF" filled="t" stroked="t" coordsize="21600,21600" o:gfxdata="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1X&#10;zpvWAAAABgEAAA8AAAAAAAAAAQAgAAAAIgAAAGRycy9kb3ducmV2LnhtbFBLAQIUABQAAAAIAIdO&#10;4kBW4HVA7AEAAN4DAAAOAAAAAAAAAAEAIAAAACUBAABkcnMvZTJvRG9jLnhtbFBLBQYAAAAABgAG&#10;AFkBAACDBQ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1720704" behindDoc="0" locked="0" layoutInCell="1" allowOverlap="1">
                <wp:simplePos x="0" y="0"/>
                <wp:positionH relativeFrom="column">
                  <wp:posOffset>3771900</wp:posOffset>
                </wp:positionH>
                <wp:positionV relativeFrom="paragraph">
                  <wp:posOffset>0</wp:posOffset>
                </wp:positionV>
                <wp:extent cx="1028700" cy="297180"/>
                <wp:effectExtent l="4445" t="4445" r="14605" b="22225"/>
                <wp:wrapNone/>
                <wp:docPr id="357" name="文本框 35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SP余热锅炉※△</w:t>
                            </w:r>
                          </w:p>
                        </w:txbxContent>
                      </wps:txbx>
                      <wps:bodyPr upright="1"/>
                    </wps:wsp>
                  </a:graphicData>
                </a:graphic>
              </wp:anchor>
            </w:drawing>
          </mc:Choice>
          <mc:Fallback>
            <w:pict>
              <v:shape id="_x0000_s1026" o:spid="_x0000_s1026" o:spt="202" type="#_x0000_t202" style="position:absolute;left:0pt;margin-left:297pt;margin-top:0pt;height:23.4pt;width:81pt;z-index:251720704;mso-width-relative:page;mso-height-relative:page;" fillcolor="#FFFFFF" filled="t" stroked="t" coordsize="21600,21600" o:gfxdata="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a+xPXAAAABwEAAA8AAAAAAAAAAQAgAAAAIgAAAGRycy9kb3ducmV2LnhtbFBLAQIU&#10;ABQAAAAIAIdO4kBobvhB9AEAAOwDAAAOAAAAAAAAAAEAIAAAACYBAABkcnMvZTJvRG9jLnhtbFBL&#10;BQYAAAAABgAGAFkBAACMBQ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SP余热锅炉※△</w:t>
                      </w:r>
                    </w:p>
                  </w:txbxContent>
                </v:textbox>
              </v:shape>
            </w:pict>
          </mc:Fallback>
        </mc:AlternateContent>
      </w:r>
      <w:r>
        <w:rPr>
          <w:rFonts w:ascii="宋体" w:hAnsi="宋体"/>
          <w:sz w:val="20"/>
        </w:rPr>
        <mc:AlternateContent>
          <mc:Choice Requires="wps">
            <w:drawing>
              <wp:anchor distT="0" distB="0" distL="114300" distR="114300" simplePos="0" relativeHeight="251737088" behindDoc="0" locked="0" layoutInCell="1" allowOverlap="1">
                <wp:simplePos x="0" y="0"/>
                <wp:positionH relativeFrom="column">
                  <wp:posOffset>4229100</wp:posOffset>
                </wp:positionH>
                <wp:positionV relativeFrom="paragraph">
                  <wp:posOffset>299085</wp:posOffset>
                </wp:positionV>
                <wp:extent cx="0" cy="198120"/>
                <wp:effectExtent l="42545" t="0" r="52705" b="11430"/>
                <wp:wrapNone/>
                <wp:docPr id="358" name="直接连接符 358"/>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y;margin-left:333pt;margin-top:23.55pt;height:15.6pt;width:0pt;z-index:251737088;mso-width-relative:page;mso-height-relative:page;" filled="f" stroked="t" coordsize="21600,21600" o:gfxdata="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6uhbb2QAAAAkBAAAPAAAAAAAAAAEAIAAAACIAAABkcnMvZG93bnJldi54bWxQSwECFAAUAAAA&#10;CACHTuJAS2f/2e0BAACnAwAADgAAAAAAAAABACAAAAAoAQAAZHJzL2Uyb0RvYy54bWxQSwUGAAAA&#10;AAYABgBZAQAAhwUA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19680" behindDoc="0" locked="0" layoutInCell="1" allowOverlap="1">
                <wp:simplePos x="0" y="0"/>
                <wp:positionH relativeFrom="column">
                  <wp:posOffset>3086100</wp:posOffset>
                </wp:positionH>
                <wp:positionV relativeFrom="paragraph">
                  <wp:posOffset>198120</wp:posOffset>
                </wp:positionV>
                <wp:extent cx="685800" cy="0"/>
                <wp:effectExtent l="0" t="42545" r="0" b="52705"/>
                <wp:wrapNone/>
                <wp:docPr id="361" name="直接连接符 361"/>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5.6pt;height:0pt;width:54pt;z-index:251719680;mso-width-relative:page;mso-height-relative:page;" filled="f" stroked="t" coordsize="21600,21600" o:gfxdata="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XmiHk1wAAAAkB&#10;AAAPAAAAAAAAAAEAIAAAACIAAABkcnMvZG93bnJldi54bWxQSwECFAAUAAAACACHTuJAzN56i+MB&#10;AACdAwAADgAAAAAAAAABACAAAAAmAQAAZHJzL2Uyb0RvYy54bWxQSwUGAAAAAAYABgBZAQAAewUA&#10;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75648" behindDoc="0" locked="0" layoutInCell="1" allowOverlap="1">
                <wp:simplePos x="0" y="0"/>
                <wp:positionH relativeFrom="column">
                  <wp:posOffset>928370</wp:posOffset>
                </wp:positionH>
                <wp:positionV relativeFrom="paragraph">
                  <wp:posOffset>166370</wp:posOffset>
                </wp:positionV>
                <wp:extent cx="914400" cy="0"/>
                <wp:effectExtent l="0" t="38100" r="0" b="38100"/>
                <wp:wrapNone/>
                <wp:docPr id="352" name="直接连接符 352"/>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13.1pt;height:0pt;width:72pt;z-index:251675648;mso-width-relative:page;mso-height-relative:page;" filled="f" stroked="t" coordsize="21600,21600" o:gfxdata="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xkz&#10;p9cAAAAJAQAADwAAAAAAAAABACAAAAAiAAAAZHJzL2Rvd25yZXYueG1sUEsBAhQAFAAAAAgAh07i&#10;QIk6qcPqAQAApwMAAA4AAAAAAAAAAQAgAAAAJgEAAGRycy9lMm9Eb2MueG1sUEsFBgAAAAAGAAYA&#10;WQEAAIIF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51424" behindDoc="0" locked="0" layoutInCell="1" allowOverlap="1">
                <wp:simplePos x="0" y="0"/>
                <wp:positionH relativeFrom="column">
                  <wp:posOffset>5486400</wp:posOffset>
                </wp:positionH>
                <wp:positionV relativeFrom="paragraph">
                  <wp:posOffset>289560</wp:posOffset>
                </wp:positionV>
                <wp:extent cx="0" cy="396240"/>
                <wp:effectExtent l="38100" t="0" r="38100" b="3810"/>
                <wp:wrapNone/>
                <wp:docPr id="359" name="直接连接符 359"/>
                <wp:cNvGraphicFramePr/>
                <a:graphic xmlns:a="http://schemas.openxmlformats.org/drawingml/2006/main">
                  <a:graphicData uri="http://schemas.microsoft.com/office/word/2010/wordprocessingShape">
                    <wps:wsp>
                      <wps:cNvCnPr/>
                      <wps:spPr>
                        <a:xfrm flipV="1">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32pt;margin-top:22.8pt;height:31.2pt;width:0pt;z-index:251751424;mso-width-relative:page;mso-height-relative:page;" filled="f" stroked="t" coordsize="21600,21600" o:gfxdata="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zc+PtgAAAAKAQAADwAAAAAAAAABACAAAAAiAAAAZHJzL2Rvd25yZXYueG1sUEsBAhQAFAAAAAgA&#10;h07iQHS4qpvsAQAApwMAAA4AAAAAAAAAAQAgAAAAJwEAAGRycy9lMm9Eb2MueG1sUEsFBgAAAAAG&#10;AAYAWQEAAIUFA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38112" behindDoc="0" locked="0" layoutInCell="1" allowOverlap="1">
                <wp:simplePos x="0" y="0"/>
                <wp:positionH relativeFrom="column">
                  <wp:posOffset>4114800</wp:posOffset>
                </wp:positionH>
                <wp:positionV relativeFrom="paragraph">
                  <wp:posOffset>289560</wp:posOffset>
                </wp:positionV>
                <wp:extent cx="685800" cy="73914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685800" cy="739140"/>
                        </a:xfrm>
                        <a:prstGeom prst="rect">
                          <a:avLst/>
                        </a:prstGeom>
                        <a:solidFill>
                          <a:srgbClr val="FFFFFF">
                            <a:alpha val="0"/>
                          </a:srgbClr>
                        </a:solidFill>
                        <a:ln>
                          <a:noFill/>
                        </a:ln>
                      </wps:spPr>
                      <wps:txbx>
                        <w:txbxContent>
                          <w:p>
                            <w:pPr>
                              <w:rPr>
                                <w:rFonts w:hint="eastAsia"/>
                              </w:rPr>
                            </w:pPr>
                            <w:r>
                              <w:rPr>
                                <w:rFonts w:hint="eastAsia"/>
                              </w:rPr>
                              <w:t>蒸汽</w:t>
                            </w:r>
                          </w:p>
                        </w:txbxContent>
                      </wps:txbx>
                      <wps:bodyPr upright="1"/>
                    </wps:wsp>
                  </a:graphicData>
                </a:graphic>
              </wp:anchor>
            </w:drawing>
          </mc:Choice>
          <mc:Fallback>
            <w:pict>
              <v:shape id="_x0000_s1026" o:spid="_x0000_s1026" o:spt="202" type="#_x0000_t202" style="position:absolute;left:0pt;margin-left:324pt;margin-top:22.8pt;height:58.2pt;width:54pt;z-index:251738112;mso-width-relative:page;mso-height-relative:page;" fillcolor="#FFFFFF" filled="t" stroked="f" coordsize="21600,21600" o:gfxdata="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VXnc9gAAAAKAQAADwAAAAAAAAABACAAAAAiAAAAZHJzL2Rvd25yZXYueG1sUEsBAhQAFAAAAAgA&#10;h07iQIy4D7qzAQAASQMAAA4AAAAAAAAAAQAgAAAAJwEAAGRycy9lMm9Eb2MueG1sUEsFBgAAAAAG&#10;AAYAWQEAAEwFAAAAAA==&#10;">
                <v:fill on="t" opacity="0f" focussize="0,0"/>
                <v:stroke on="f"/>
                <v:imagedata o:title=""/>
                <o:lock v:ext="edit" aspectratio="f"/>
                <v:textbox>
                  <w:txbxContent>
                    <w:p>
                      <w:pPr>
                        <w:rPr>
                          <w:rFonts w:hint="eastAsia"/>
                        </w:rPr>
                      </w:pPr>
                      <w:r>
                        <w:rPr>
                          <w:rFonts w:hint="eastAsia"/>
                        </w:rPr>
                        <w:t>蒸汽</w:t>
                      </w:r>
                    </w:p>
                  </w:txbxContent>
                </v:textbox>
              </v:shape>
            </w:pict>
          </mc:Fallback>
        </mc:AlternateContent>
      </w:r>
      <w:r>
        <w:rPr>
          <w:rFonts w:ascii="宋体" w:hAnsi="宋体"/>
          <w:sz w:val="20"/>
        </w:rPr>
        <mc:AlternateContent>
          <mc:Choice Requires="wps">
            <w:drawing>
              <wp:anchor distT="0" distB="0" distL="114300" distR="114300" simplePos="0" relativeHeight="251736064" behindDoc="0" locked="0" layoutInCell="1" allowOverlap="1">
                <wp:simplePos x="0" y="0"/>
                <wp:positionH relativeFrom="column">
                  <wp:posOffset>4229100</wp:posOffset>
                </wp:positionH>
                <wp:positionV relativeFrom="paragraph">
                  <wp:posOffset>289560</wp:posOffset>
                </wp:positionV>
                <wp:extent cx="0" cy="99060"/>
                <wp:effectExtent l="4445" t="0" r="14605" b="15240"/>
                <wp:wrapNone/>
                <wp:docPr id="362" name="直接连接符 362"/>
                <wp:cNvGraphicFramePr/>
                <a:graphic xmlns:a="http://schemas.openxmlformats.org/drawingml/2006/main">
                  <a:graphicData uri="http://schemas.microsoft.com/office/word/2010/wordprocessingShape">
                    <wps:wsp>
                      <wps:cNvCnPr/>
                      <wps:spPr>
                        <a:xfrm flipV="1">
                          <a:off x="0" y="0"/>
                          <a:ext cx="0" cy="990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33pt;margin-top:22.8pt;height:7.8pt;width:0pt;z-index:251736064;mso-width-relative:page;mso-height-relative:page;" filled="f" stroked="t" coordsize="21600,21600" o:gfxdata="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lp+GNYAAAAJAQAA&#10;DwAAAAAAAAABACAAAAAiAAAAZHJzL2Rvd25yZXYueG1sUEsBAhQAFAAAAAgAh07iQIIyP27iAQAA&#10;ogMAAA4AAAAAAAAAAQAgAAAAJQEAAGRycy9lMm9Eb2MueG1sUEsFBgAAAAAGAAYAWQEAAHkFAAAA&#10;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693056" behindDoc="0" locked="0" layoutInCell="1" allowOverlap="1">
                <wp:simplePos x="0" y="0"/>
                <wp:positionH relativeFrom="column">
                  <wp:posOffset>3081020</wp:posOffset>
                </wp:positionH>
                <wp:positionV relativeFrom="paragraph">
                  <wp:posOffset>271145</wp:posOffset>
                </wp:positionV>
                <wp:extent cx="1828800" cy="0"/>
                <wp:effectExtent l="0" t="38100" r="0" b="38100"/>
                <wp:wrapNone/>
                <wp:docPr id="360" name="直接连接符 360"/>
                <wp:cNvGraphicFramePr/>
                <a:graphic xmlns:a="http://schemas.openxmlformats.org/drawingml/2006/main">
                  <a:graphicData uri="http://schemas.microsoft.com/office/word/2010/wordprocessingShape">
                    <wps:wsp>
                      <wps:cNvCnPr/>
                      <wps:spPr>
                        <a:xfrm flipH="1">
                          <a:off x="0" y="0"/>
                          <a:ext cx="1828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42.6pt;margin-top:21.35pt;height:0pt;width:144pt;z-index:251693056;mso-width-relative:page;mso-height-relative:page;" filled="f" stroked="t" coordsize="21600,21600" o:gfxdata="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zuUzdkAAAAJAQAADwAAAAAAAAABACAAAAAiAAAAZHJzL2Rvd25yZXYueG1sUEsBAhQAFAAAAAgA&#10;h07iQFkweyLrAQAAqAMAAA4AAAAAAAAAAQAgAAAAKAEAAGRycy9lMm9Eb2MueG1sUEsFBgAAAAAG&#10;AAYAWQEAAIUF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44256" behindDoc="0" locked="0" layoutInCell="1" allowOverlap="1">
                <wp:simplePos x="0" y="0"/>
                <wp:positionH relativeFrom="column">
                  <wp:posOffset>960120</wp:posOffset>
                </wp:positionH>
                <wp:positionV relativeFrom="paragraph">
                  <wp:posOffset>281940</wp:posOffset>
                </wp:positionV>
                <wp:extent cx="868680" cy="211455"/>
                <wp:effectExtent l="0" t="0" r="7620" b="17145"/>
                <wp:wrapNone/>
                <wp:docPr id="353" name="矩形 353"/>
                <wp:cNvGraphicFramePr/>
                <a:graphic xmlns:a="http://schemas.openxmlformats.org/drawingml/2006/main">
                  <a:graphicData uri="http://schemas.microsoft.com/office/word/2010/wordprocessingShape">
                    <wps:wsp>
                      <wps:cNvSpPr/>
                      <wps:spPr>
                        <a:xfrm flipV="1">
                          <a:off x="0" y="0"/>
                          <a:ext cx="868680" cy="211455"/>
                        </a:xfrm>
                        <a:prstGeom prst="rect">
                          <a:avLst/>
                        </a:prstGeom>
                        <a:solidFill>
                          <a:srgbClr val="FFFFFF"/>
                        </a:solidFill>
                        <a:ln>
                          <a:noFill/>
                        </a:ln>
                      </wps:spPr>
                      <wps:txbx>
                        <w:txbxContent>
                          <w:p>
                            <w:pPr>
                              <w:spacing w:line="240" w:lineRule="exact"/>
                              <w:jc w:val="center"/>
                              <w:rPr>
                                <w:rFonts w:hint="eastAsia"/>
                              </w:rPr>
                            </w:pPr>
                            <w:r>
                              <w:rPr>
                                <w:rFonts w:hint="eastAsia"/>
                              </w:rPr>
                              <w:t>窑头废气</w:t>
                            </w:r>
                          </w:p>
                        </w:txbxContent>
                      </wps:txbx>
                      <wps:bodyPr lIns="0" tIns="0" rIns="0" bIns="0" upright="1"/>
                    </wps:wsp>
                  </a:graphicData>
                </a:graphic>
              </wp:anchor>
            </w:drawing>
          </mc:Choice>
          <mc:Fallback>
            <w:pict>
              <v:rect id="_x0000_s1026" o:spid="_x0000_s1026" o:spt="1" style="position:absolute;left:0pt;flip:y;margin-left:75.6pt;margin-top:22.2pt;height:16.65pt;width:68.4pt;z-index:251744256;mso-width-relative:page;mso-height-relative:page;" fillcolor="#FFFFFF" filled="t" stroked="f" coordsize="21600,21600" o:gfxdata="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c+q1DX&#10;AAAACQEAAA8AAAAAAAAAAQAgAAAAIgAAAGRycy9kb3ducmV2LnhtbFBLAQIUABQAAAAIAIdO4kCt&#10;C91hrwEAAE0DAAAOAAAAAAAAAAEAIAAAACYBAABkcnMvZTJvRG9jLnhtbFBLBQYAAAAABgAGAFkB&#10;AABHBQAAAAA=&#10;">
                <v:fill on="t" focussize="0,0"/>
                <v:stroke on="f"/>
                <v:imagedata o:title=""/>
                <o:lock v:ext="edit" aspectratio="f"/>
                <v:textbox inset="0mm,0mm,0mm,0mm">
                  <w:txbxContent>
                    <w:p>
                      <w:pPr>
                        <w:spacing w:line="240" w:lineRule="exact"/>
                        <w:jc w:val="center"/>
                        <w:rPr>
                          <w:rFonts w:hint="eastAsia"/>
                        </w:rPr>
                      </w:pPr>
                      <w:r>
                        <w:rPr>
                          <w:rFonts w:hint="eastAsia"/>
                        </w:rPr>
                        <w:t>窑头废气</w:t>
                      </w:r>
                    </w:p>
                  </w:txbxContent>
                </v:textbox>
              </v:rect>
            </w:pict>
          </mc:Fallback>
        </mc:AlternateContent>
      </w:r>
      <w:r>
        <w:rPr>
          <w:rFonts w:hint="eastAsia" w:ascii="宋体" w:hAnsi="宋体"/>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281940</wp:posOffset>
                </wp:positionV>
                <wp:extent cx="699770" cy="297180"/>
                <wp:effectExtent l="4445" t="4445" r="19685" b="22225"/>
                <wp:wrapNone/>
                <wp:docPr id="363" name="矩形 363"/>
                <wp:cNvGraphicFramePr/>
                <a:graphic xmlns:a="http://schemas.openxmlformats.org/drawingml/2006/main">
                  <a:graphicData uri="http://schemas.microsoft.com/office/word/2010/wordprocessingShape">
                    <wps:wsp>
                      <wps:cNvSpPr/>
                      <wps:spPr>
                        <a:xfrm>
                          <a:off x="0" y="0"/>
                          <a:ext cx="6997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增湿塔</w:t>
                            </w:r>
                          </w:p>
                        </w:txbxContent>
                      </wps:txbx>
                      <wps:bodyPr upright="1"/>
                    </wps:wsp>
                  </a:graphicData>
                </a:graphic>
              </wp:anchor>
            </w:drawing>
          </mc:Choice>
          <mc:Fallback>
            <w:pict>
              <v:rect id="_x0000_s1026" o:spid="_x0000_s1026" o:spt="1" style="position:absolute;left:0pt;margin-left:-9pt;margin-top:22.2pt;height:23.4pt;width:55.1pt;z-index:251745280;mso-width-relative:page;mso-height-relative:page;" fillcolor="#FFFFFF" filled="t" stroked="t" coordsize="21600,21600" o:gfxdata="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W93I1wAAAAgBAAAPAAAAAAAAAAEAIAAAACIAAABkcnMvZG93bnJldi54bWxQSwECFAAUAAAACACH&#10;TuJAKSS1YuwBAADeAwAADgAAAAAAAAABACAAAAAmAQAAZHJzL2Uyb0RvYy54bWxQSwUGAAAAAAYA&#10;BgBZAQAAhAUAAAAA&#10;">
                <v:fill on="t" focussize="0,0"/>
                <v:stroke color="#000000" joinstyle="miter"/>
                <v:imagedata o:title=""/>
                <o:lock v:ext="edit" aspectratio="f"/>
                <v:textbox>
                  <w:txbxContent>
                    <w:p>
                      <w:pPr>
                        <w:jc w:val="center"/>
                      </w:pPr>
                      <w:r>
                        <w:rPr>
                          <w:rFonts w:hint="eastAsia"/>
                        </w:rPr>
                        <w:t>增湿塔</w:t>
                      </w:r>
                    </w:p>
                  </w:txbxContent>
                </v:textbox>
              </v:rect>
            </w:pict>
          </mc:Fallback>
        </mc:AlternateContent>
      </w:r>
      <w:r>
        <w:rPr>
          <w:rFonts w:ascii="宋体" w:hAnsi="宋体"/>
          <w:sz w:val="20"/>
        </w:rPr>
        <mc:AlternateContent>
          <mc:Choice Requires="wps">
            <w:drawing>
              <wp:anchor distT="0" distB="0" distL="114300" distR="114300" simplePos="0" relativeHeight="251739136" behindDoc="0" locked="0" layoutInCell="1" allowOverlap="1">
                <wp:simplePos x="0" y="0"/>
                <wp:positionH relativeFrom="column">
                  <wp:posOffset>4800600</wp:posOffset>
                </wp:positionH>
                <wp:positionV relativeFrom="paragraph">
                  <wp:posOffset>182880</wp:posOffset>
                </wp:positionV>
                <wp:extent cx="1143000" cy="29718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锅炉废气</w:t>
                            </w:r>
                          </w:p>
                        </w:txbxContent>
                      </wps:txbx>
                      <wps:bodyPr upright="1"/>
                    </wps:wsp>
                  </a:graphicData>
                </a:graphic>
              </wp:anchor>
            </w:drawing>
          </mc:Choice>
          <mc:Fallback>
            <w:pict>
              <v:shape id="_x0000_s1026" o:spid="_x0000_s1026" o:spt="202" type="#_x0000_t202" style="position:absolute;left:0pt;margin-left:378pt;margin-top:14.4pt;height:23.4pt;width:90pt;z-index:251739136;mso-width-relative:page;mso-height-relative:page;" fillcolor="#FFFFFF" filled="t" stroked="f" coordsize="21600,21600" o:gfxdata="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6Com1gAAAAkBAAAPAAAAAAAAAAEAIAAAACIAAABkcnMvZG93bnJldi54bWxQSwECFAAUAAAACACH&#10;TuJAFcSHWbQBAABKAwAADgAAAAAAAAABACAAAAAlAQAAZHJzL2Uyb0RvYy54bWxQSwUGAAAAAAYA&#10;BgBZAQAASwUAAAAA&#10;">
                <v:fill on="t" opacity="0f" focussize="0,0"/>
                <v:stroke on="f"/>
                <v:imagedata o:title=""/>
                <o:lock v:ext="edit" aspectratio="f"/>
                <v:textbox>
                  <w:txbxContent>
                    <w:p>
                      <w:pPr>
                        <w:rPr>
                          <w:rFonts w:hint="eastAsia"/>
                        </w:rPr>
                      </w:pPr>
                      <w:r>
                        <w:rPr>
                          <w:rFonts w:hint="eastAsia"/>
                        </w:rPr>
                        <w:t>锅炉废气</w:t>
                      </w:r>
                    </w:p>
                  </w:txbxContent>
                </v:textbox>
              </v:shape>
            </w:pict>
          </mc:Fallback>
        </mc:AlternateContent>
      </w:r>
      <w:r>
        <w:rPr>
          <w:rFonts w:ascii="宋体" w:hAnsi="宋体"/>
          <w:sz w:val="20"/>
        </w:rPr>
        <mc:AlternateContent>
          <mc:Choice Requires="wps">
            <w:drawing>
              <wp:anchor distT="0" distB="0" distL="114300" distR="114300" simplePos="0" relativeHeight="251732992" behindDoc="0" locked="0" layoutInCell="1" allowOverlap="1">
                <wp:simplePos x="0" y="0"/>
                <wp:positionH relativeFrom="column">
                  <wp:posOffset>3771900</wp:posOffset>
                </wp:positionH>
                <wp:positionV relativeFrom="paragraph">
                  <wp:posOffset>281940</wp:posOffset>
                </wp:positionV>
                <wp:extent cx="1143000" cy="297180"/>
                <wp:effectExtent l="4445" t="4445" r="14605" b="22225"/>
                <wp:wrapNone/>
                <wp:docPr id="355" name="文本框 355"/>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sz w:val="18"/>
                                <w:szCs w:val="18"/>
                              </w:rPr>
                              <w:t>AQC余热锅炉※△</w:t>
                            </w:r>
                          </w:p>
                        </w:txbxContent>
                      </wps:txbx>
                      <wps:bodyPr upright="1"/>
                    </wps:wsp>
                  </a:graphicData>
                </a:graphic>
              </wp:anchor>
            </w:drawing>
          </mc:Choice>
          <mc:Fallback>
            <w:pict>
              <v:shape id="_x0000_s1026" o:spid="_x0000_s1026" o:spt="202" type="#_x0000_t202" style="position:absolute;left:0pt;margin-left:297pt;margin-top:22.2pt;height:23.4pt;width:90pt;z-index:251732992;mso-width-relative:page;mso-height-relative:page;" fillcolor="#FFFFFF" filled="t" stroked="t" coordsize="21600,21600" o:gfxdata="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rKrAO2QAAAAkBAAAPAAAAAAAAAAEAIAAAACIAAABkcnMvZG93bnJldi54bWxQ&#10;SwECFAAUAAAACACHTuJAWJ/s7fYBAADsAwAADgAAAAAAAAABACAAAAAoAQAAZHJzL2Uyb0RvYy54&#10;bWxQSwUGAAAAAAYABgBZAQAAkAUAAAAA&#10;">
                <v:fill on="t" focussize="0,0"/>
                <v:stroke color="#000000" joinstyle="miter"/>
                <v:imagedata o:title=""/>
                <o:lock v:ext="edit" aspectratio="f"/>
                <v:textbox>
                  <w:txbxContent>
                    <w:p>
                      <w:pPr>
                        <w:rPr>
                          <w:rFonts w:hint="eastAsia" w:ascii="宋体" w:hAnsi="宋体"/>
                          <w:sz w:val="18"/>
                          <w:szCs w:val="18"/>
                        </w:rPr>
                      </w:pPr>
                      <w:r>
                        <w:rPr>
                          <w:rFonts w:hint="eastAsia" w:ascii="宋体" w:hAnsi="宋体"/>
                          <w:sz w:val="18"/>
                          <w:szCs w:val="18"/>
                        </w:rPr>
                        <w:t>AQC余热锅炉※△</w:t>
                      </w:r>
                    </w:p>
                  </w:txbxContent>
                </v:textbox>
              </v:shape>
            </w:pict>
          </mc:Fallback>
        </mc:AlternateContent>
      </w:r>
      <w:r>
        <w:rPr>
          <w:rFonts w:ascii="宋体" w:hAnsi="宋体"/>
          <w:sz w:val="20"/>
        </w:rPr>
        <mc:AlternateContent>
          <mc:Choice Requires="wps">
            <w:drawing>
              <wp:anchor distT="0" distB="0" distL="114300" distR="114300" simplePos="0" relativeHeight="251735040" behindDoc="0" locked="0" layoutInCell="1" allowOverlap="1">
                <wp:simplePos x="0" y="0"/>
                <wp:positionH relativeFrom="column">
                  <wp:posOffset>4000500</wp:posOffset>
                </wp:positionH>
                <wp:positionV relativeFrom="paragraph">
                  <wp:posOffset>83820</wp:posOffset>
                </wp:positionV>
                <wp:extent cx="228600" cy="0"/>
                <wp:effectExtent l="0" t="13970" r="0" b="24130"/>
                <wp:wrapNone/>
                <wp:docPr id="369" name="直接连接符 369"/>
                <wp:cNvGraphicFramePr/>
                <a:graphic xmlns:a="http://schemas.openxmlformats.org/drawingml/2006/main">
                  <a:graphicData uri="http://schemas.microsoft.com/office/word/2010/wordprocessingShape">
                    <wps:wsp>
                      <wps:cNvCnPr/>
                      <wps:spPr>
                        <a:xfrm>
                          <a:off x="0" y="0"/>
                          <a:ext cx="228600" cy="0"/>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6.6pt;height:0pt;width:18pt;z-index:251735040;mso-width-relative:page;mso-height-relative:page;" filled="f" stroked="t" coordsize="21600,21600" o:gfxdata="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PqWc1QAAAAkBAAAPAAAAAAAA&#10;AAEAIAAAACIAAABkcnMvZG93bnJldi54bWxQSwECFAAUAAAACACHTuJARAUYzNwBAACaAwAADgAA&#10;AAAAAAABACAAAAAkAQAAZHJzL2Uyb0RvYy54bWxQSwUGAAAAAAYABgBZAQAAcgUAAAAA&#10;">
                <v:fill on="f" focussize="0,0"/>
                <v:stroke weight="2.25pt"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34016" behindDoc="0" locked="0" layoutInCell="1" allowOverlap="1">
                <wp:simplePos x="0" y="0"/>
                <wp:positionH relativeFrom="column">
                  <wp:posOffset>4000500</wp:posOffset>
                </wp:positionH>
                <wp:positionV relativeFrom="paragraph">
                  <wp:posOffset>83820</wp:posOffset>
                </wp:positionV>
                <wp:extent cx="0" cy="198120"/>
                <wp:effectExtent l="13970" t="0" r="24130" b="15240"/>
                <wp:wrapNone/>
                <wp:docPr id="365" name="直接连接符 365"/>
                <wp:cNvGraphicFramePr/>
                <a:graphic xmlns:a="http://schemas.openxmlformats.org/drawingml/2006/main">
                  <a:graphicData uri="http://schemas.microsoft.com/office/word/2010/wordprocessingShape">
                    <wps:wsp>
                      <wps:cNvCnPr/>
                      <wps:spPr>
                        <a:xfrm flipV="1">
                          <a:off x="0" y="0"/>
                          <a:ext cx="0" cy="198120"/>
                        </a:xfrm>
                        <a:prstGeom prst="line">
                          <a:avLst/>
                        </a:prstGeom>
                        <a:ln w="2857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315pt;margin-top:6.6pt;height:15.6pt;width:0pt;z-index:251734016;mso-width-relative:page;mso-height-relative:page;" filled="f" stroked="t" coordsize="21600,21600" o:gfxdata="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sf2a1wAA&#10;AAkBAAAPAAAAAAAAAAEAIAAAACIAAABkcnMvZG93bnJldi54bWxQSwECFAAUAAAACACHTuJANhkb&#10;EOYBAACjAwAADgAAAAAAAAABACAAAAAmAQAAZHJzL2Uyb0RvYy54bWxQSwUGAAAAAAYABgBZAQAA&#10;fgUAAAAA&#10;">
                <v:fill on="f" focussize="0,0"/>
                <v:stroke weight="2.25pt" color="#000000" joinstyle="round" dashstyle="dash"/>
                <v:imagedata o:title=""/>
                <o:lock v:ext="edit" aspectratio="f"/>
              </v:line>
            </w:pict>
          </mc:Fallback>
        </mc:AlternateContent>
      </w:r>
      <w:r>
        <w:rPr>
          <w:rFonts w:ascii="宋体" w:hAnsi="宋体"/>
          <w:sz w:val="20"/>
        </w:rPr>
        <mc:AlternateContent>
          <mc:Choice Requires="wps">
            <w:drawing>
              <wp:anchor distT="0" distB="0" distL="114300" distR="114300" simplePos="0" relativeHeight="251731968" behindDoc="0" locked="0" layoutInCell="1" allowOverlap="1">
                <wp:simplePos x="0" y="0"/>
                <wp:positionH relativeFrom="column">
                  <wp:posOffset>3086100</wp:posOffset>
                </wp:positionH>
                <wp:positionV relativeFrom="paragraph">
                  <wp:posOffset>182880</wp:posOffset>
                </wp:positionV>
                <wp:extent cx="1143000" cy="29718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143000" cy="297180"/>
                        </a:xfrm>
                        <a:prstGeom prst="rect">
                          <a:avLst/>
                        </a:prstGeom>
                        <a:solidFill>
                          <a:srgbClr val="FFFFFF">
                            <a:alpha val="0"/>
                          </a:srgbClr>
                        </a:solidFill>
                        <a:ln>
                          <a:noFill/>
                        </a:ln>
                      </wps:spPr>
                      <wps:txbx>
                        <w:txbxContent>
                          <w:p>
                            <w:pPr>
                              <w:rPr>
                                <w:rFonts w:hint="eastAsia"/>
                              </w:rPr>
                            </w:pPr>
                            <w:r>
                              <w:rPr>
                                <w:rFonts w:hint="eastAsia"/>
                              </w:rPr>
                              <w:t>窑头废气</w:t>
                            </w:r>
                          </w:p>
                        </w:txbxContent>
                      </wps:txbx>
                      <wps:bodyPr upright="1"/>
                    </wps:wsp>
                  </a:graphicData>
                </a:graphic>
              </wp:anchor>
            </w:drawing>
          </mc:Choice>
          <mc:Fallback>
            <w:pict>
              <v:shape id="_x0000_s1026" o:spid="_x0000_s1026" o:spt="202" type="#_x0000_t202" style="position:absolute;left:0pt;margin-left:243pt;margin-top:14.4pt;height:23.4pt;width:90pt;z-index:251731968;mso-width-relative:page;mso-height-relative:page;" fillcolor="#FFFFFF" filled="t" stroked="f" coordsize="21600,21600" o:gfxdata="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2qw31wAAAAkBAAAPAAAAAAAAAAEAIAAAACIAAABkcnMvZG93bnJldi54bWxQSwECFAAUAAAACACH&#10;TuJAu1U49bMBAABKAwAADgAAAAAAAAABACAAAAAmAQAAZHJzL2Uyb0RvYy54bWxQSwUGAAAAAAYA&#10;BgBZAQAASwUAAAAA&#10;">
                <v:fill on="t" opacity="0f" focussize="0,0"/>
                <v:stroke on="f"/>
                <v:imagedata o:title=""/>
                <o:lock v:ext="edit" aspectratio="f"/>
                <v:textbox>
                  <w:txbxContent>
                    <w:p>
                      <w:pPr>
                        <w:rPr>
                          <w:rFonts w:hint="eastAsia"/>
                        </w:rPr>
                      </w:pPr>
                      <w:r>
                        <w:rPr>
                          <w:rFonts w:hint="eastAsia"/>
                        </w:rPr>
                        <w:t>窑头废气</w:t>
                      </w:r>
                    </w:p>
                  </w:txbxContent>
                </v:textbox>
              </v:shape>
            </w:pict>
          </mc:Fallback>
        </mc:AlternateContent>
      </w:r>
      <w:r>
        <w:rPr>
          <w:rFonts w:ascii="宋体" w:hAnsi="宋体"/>
          <w:sz w:val="20"/>
        </w:rPr>
        <mc:AlternateContent>
          <mc:Choice Requires="wps">
            <w:drawing>
              <wp:anchor distT="0" distB="0" distL="114300" distR="114300" simplePos="0" relativeHeight="251666432" behindDoc="0" locked="0" layoutInCell="1" allowOverlap="1">
                <wp:simplePos x="0" y="0"/>
                <wp:positionH relativeFrom="column">
                  <wp:posOffset>1872615</wp:posOffset>
                </wp:positionH>
                <wp:positionV relativeFrom="paragraph">
                  <wp:posOffset>295275</wp:posOffset>
                </wp:positionV>
                <wp:extent cx="1207770" cy="297180"/>
                <wp:effectExtent l="4445" t="4445" r="6985" b="22225"/>
                <wp:wrapNone/>
                <wp:docPr id="367" name="矩形 367"/>
                <wp:cNvGraphicFramePr/>
                <a:graphic xmlns:a="http://schemas.openxmlformats.org/drawingml/2006/main">
                  <a:graphicData uri="http://schemas.microsoft.com/office/word/2010/wordprocessingShape">
                    <wps:wsp>
                      <wps:cNvSpPr/>
                      <wps:spPr>
                        <a:xfrm>
                          <a:off x="0" y="0"/>
                          <a:ext cx="1207770" cy="297180"/>
                        </a:xfrm>
                        <a:prstGeom prst="rect">
                          <a:avLst/>
                        </a:prstGeom>
                        <a:noFill/>
                        <a:ln w="9525" cap="flat" cmpd="sng">
                          <a:solidFill>
                            <a:srgbClr val="000000"/>
                          </a:solidFill>
                          <a:prstDash val="solid"/>
                          <a:miter/>
                          <a:headEnd type="none" w="med" len="med"/>
                          <a:tailEnd type="none" w="med" len="med"/>
                        </a:ln>
                      </wps:spPr>
                      <wps:txbx>
                        <w:txbxContent>
                          <w:p>
                            <w:pPr>
                              <w:jc w:val="center"/>
                              <w:rPr>
                                <w:vertAlign w:val="subscript"/>
                              </w:rPr>
                            </w:pPr>
                            <w:r>
                              <w:rPr>
                                <w:rFonts w:hint="eastAsia"/>
                              </w:rPr>
                              <w:t>篦冷机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7.45pt;margin-top:23.25pt;height:23.4pt;width:95.1pt;z-index:251666432;mso-width-relative:page;mso-height-relative:page;" filled="f" stroked="t" coordsize="21600,21600" o:gfxdata="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HUFZtkA&#10;AAAJAQAADwAAAAAAAAABACAAAAAiAAAAZHJzL2Rvd25yZXYueG1sUEsBAhQAFAAAAAgAh07iQCOD&#10;Dj3lAQAAtgMAAA4AAAAAAAAAAQAgAAAAKAEAAGRycy9lMm9Eb2MueG1sUEsFBgAAAAAGAAYAWQEA&#10;AH8FAAAAAA==&#10;">
                <v:fill on="f" focussize="0,0"/>
                <v:stroke color="#000000" joinstyle="miter"/>
                <v:imagedata o:title=""/>
                <o:lock v:ext="edit" aspectratio="f"/>
                <v:textbox>
                  <w:txbxContent>
                    <w:p>
                      <w:pPr>
                        <w:jc w:val="center"/>
                        <w:rPr>
                          <w:vertAlign w:val="subscript"/>
                        </w:rPr>
                      </w:pPr>
                      <w:r>
                        <w:rPr>
                          <w:rFonts w:hint="eastAsia"/>
                        </w:rPr>
                        <w:t>篦冷机</w:t>
                      </w:r>
                      <w:r>
                        <w:rPr>
                          <w:rFonts w:hint="eastAsia" w:ascii="宋体" w:hAnsi="宋体"/>
                          <w:sz w:val="21"/>
                          <w:szCs w:val="21"/>
                        </w:rPr>
                        <w:t>※△</w:t>
                      </w:r>
                    </w:p>
                  </w:txbxContent>
                </v:textbox>
              </v:rect>
            </w:pict>
          </mc:Fallback>
        </mc:AlternateContent>
      </w:r>
      <w:r>
        <w:rPr>
          <w:rFonts w:ascii="宋体" w:hAnsi="宋体"/>
          <w:sz w:val="20"/>
        </w:rPr>
        <mc:AlternateContent>
          <mc:Choice Requires="wps">
            <w:drawing>
              <wp:anchor distT="0" distB="0" distL="114300" distR="114300" simplePos="0" relativeHeight="251689984" behindDoc="0" locked="0" layoutInCell="1" allowOverlap="1">
                <wp:simplePos x="0" y="0"/>
                <wp:positionH relativeFrom="column">
                  <wp:posOffset>2447290</wp:posOffset>
                </wp:positionH>
                <wp:positionV relativeFrom="paragraph">
                  <wp:posOffset>31750</wp:posOffset>
                </wp:positionV>
                <wp:extent cx="0" cy="274320"/>
                <wp:effectExtent l="42545" t="0" r="52705" b="11430"/>
                <wp:wrapNone/>
                <wp:docPr id="368" name="直接连接符 368"/>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2.7pt;margin-top:2.5pt;height:21.6pt;width:0pt;z-index:251689984;mso-width-relative:page;mso-height-relative:page;" filled="f" stroked="t" coordsize="21600,21600" o:gfxdata="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SQGnzTAAAACAEAAA8A&#10;AAAAAAAAAQAgAAAAIgAAAGRycy9kb3ducmV2LnhtbFBLAQIUABQAAAAIAIdO4kAXM5/s4wEAAJ4D&#10;AAAOAAAAAAAAAAEAIAAAACIBAABkcnMvZTJvRG9jLnhtbFBLBQYAAAAABgAGAFkBAAB3BQ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175260</wp:posOffset>
                </wp:positionV>
                <wp:extent cx="114300" cy="0"/>
                <wp:effectExtent l="0" t="0" r="0" b="0"/>
                <wp:wrapNone/>
                <wp:docPr id="370" name="直接连接符 370"/>
                <wp:cNvGraphicFramePr/>
                <a:graphic xmlns:a="http://schemas.openxmlformats.org/drawingml/2006/main">
                  <a:graphicData uri="http://schemas.microsoft.com/office/word/2010/wordprocessingShape">
                    <wps:wsp>
                      <wps:cNvCnPr/>
                      <wps:spPr>
                        <a:xfrm flipH="1">
                          <a:off x="0" y="0"/>
                          <a:ext cx="114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8pt;margin-top:13.8pt;height:0pt;width:9pt;z-index:251752448;mso-width-relative:page;mso-height-relative:page;" filled="f" stroked="t" coordsize="21600,21600" o:gfxdata="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Ue2ezWAAAACQEA&#10;AA8AAAAAAAAAAQAgAAAAIgAAAGRycy9kb3ducmV2LnhtbFBLAQIUABQAAAAIAIdO4kA4YpjU4wEA&#10;AKMDAAAOAAAAAAAAAAEAIAAAACUBAABkcnMvZTJvRG9jLnhtbFBLBQYAAAAABgAGAFkBAAB6BQAA&#10;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46304" behindDoc="0" locked="0" layoutInCell="1" allowOverlap="1">
                <wp:simplePos x="0" y="0"/>
                <wp:positionH relativeFrom="column">
                  <wp:posOffset>571500</wp:posOffset>
                </wp:positionH>
                <wp:positionV relativeFrom="paragraph">
                  <wp:posOffset>175260</wp:posOffset>
                </wp:positionV>
                <wp:extent cx="1257300" cy="0"/>
                <wp:effectExtent l="0" t="38100" r="0" b="38100"/>
                <wp:wrapNone/>
                <wp:docPr id="371" name="直接连接符 371"/>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45pt;margin-top:13.8pt;height:0pt;width:99pt;z-index:251746304;mso-width-relative:page;mso-height-relative:page;" filled="f" stroked="t" coordsize="21600,21600" o:gfxdata="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L6&#10;PZXWAAAACAEAAA8AAAAAAAAAAQAgAAAAIgAAAGRycy9kb3ducmV2LnhtbFBLAQIUABQAAAAIAIdO&#10;4kDXKVce7AEAAKgDAAAOAAAAAAAAAAEAIAAAACUBAABkcnMvZTJvRG9jLnhtbFBLBQYAAAAABgAG&#10;AFkBAACDBQAAAAA=&#10;">
                <v:fill on="f" focussize="0,0"/>
                <v:stroke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50400" behindDoc="0" locked="0" layoutInCell="1" allowOverlap="1">
                <wp:simplePos x="0" y="0"/>
                <wp:positionH relativeFrom="column">
                  <wp:posOffset>4914900</wp:posOffset>
                </wp:positionH>
                <wp:positionV relativeFrom="paragraph">
                  <wp:posOffset>76200</wp:posOffset>
                </wp:positionV>
                <wp:extent cx="571500" cy="0"/>
                <wp:effectExtent l="0" t="0" r="0" b="0"/>
                <wp:wrapNone/>
                <wp:docPr id="372" name="直接连接符 372"/>
                <wp:cNvGraphicFramePr/>
                <a:graphic xmlns:a="http://schemas.openxmlformats.org/drawingml/2006/main">
                  <a:graphicData uri="http://schemas.microsoft.com/office/word/2010/wordprocessingShape">
                    <wps:wsp>
                      <wps:cNvCnPr/>
                      <wps:spPr>
                        <a:xfrm>
                          <a:off x="0" y="0"/>
                          <a:ext cx="571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7pt;margin-top:6pt;height:0pt;width:45pt;z-index:251750400;mso-width-relative:page;mso-height-relative:page;" filled="f" stroked="t" coordsize="21600,21600" o:gfxdata="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1Tpl1AAAAAkBAAAPAAAAAAAA&#10;AAEAIAAAACIAAABkcnMvZG93bnJldi54bWxQSwECFAAUAAAACACHTuJAWfs3td0BAACZAwAADgAA&#10;AAAAAAABACAAAAAjAQAAZHJzL2Uyb0RvYy54bWxQSwUGAAAAAAYABgBZAQAAcg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30944" behindDoc="0" locked="0" layoutInCell="1" allowOverlap="1">
                <wp:simplePos x="0" y="0"/>
                <wp:positionH relativeFrom="column">
                  <wp:posOffset>3086100</wp:posOffset>
                </wp:positionH>
                <wp:positionV relativeFrom="paragraph">
                  <wp:posOffset>175260</wp:posOffset>
                </wp:positionV>
                <wp:extent cx="685800" cy="0"/>
                <wp:effectExtent l="0" t="42545" r="0" b="52705"/>
                <wp:wrapNone/>
                <wp:docPr id="356" name="直接连接符 356"/>
                <wp:cNvGraphicFramePr/>
                <a:graphic xmlns:a="http://schemas.openxmlformats.org/drawingml/2006/main">
                  <a:graphicData uri="http://schemas.microsoft.com/office/word/2010/wordprocessingShape">
                    <wps:wsp>
                      <wps:cNvCnPr/>
                      <wps:spPr>
                        <a:xfrm>
                          <a:off x="0" y="0"/>
                          <a:ext cx="685800" cy="0"/>
                        </a:xfrm>
                        <a:prstGeom prst="line">
                          <a:avLst/>
                        </a:prstGeom>
                        <a:ln w="28575"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margin-left:243pt;margin-top:13.8pt;height:0pt;width:54pt;z-index:251730944;mso-width-relative:page;mso-height-relative:page;" filled="f" stroked="t" coordsize="21600,21600" o:gfxdata="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UqoX1wAAAAkB&#10;AAAPAAAAAAAAAAEAIAAAACIAAABkcnMvZG93bnJldi54bWxQSwECFAAUAAAACACHTuJAhvjCVeMB&#10;AACdAwAADgAAAAAAAAABACAAAAAmAQAAZHJzL2Uyb0RvYy54bWxQSwUGAAAAAAYABgBZAQAAewUA&#10;AAAA&#10;">
                <v:fill on="f" focussize="0,0"/>
                <v:stroke weight="2.25pt" color="#000000" joinstyle="round" dashstyle="dash"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692032" behindDoc="0" locked="0" layoutInCell="1" allowOverlap="1">
                <wp:simplePos x="0" y="0"/>
                <wp:positionH relativeFrom="column">
                  <wp:posOffset>2432685</wp:posOffset>
                </wp:positionH>
                <wp:positionV relativeFrom="paragraph">
                  <wp:posOffset>297180</wp:posOffset>
                </wp:positionV>
                <wp:extent cx="0" cy="274320"/>
                <wp:effectExtent l="42545" t="0" r="52705" b="11430"/>
                <wp:wrapNone/>
                <wp:docPr id="373" name="直接连接符 373"/>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1.55pt;margin-top:23.4pt;height:21.6pt;width:0pt;z-index:251692032;mso-width-relative:page;mso-height-relative:page;" filled="f" stroked="t" coordsize="21600,21600" o:gfxdata="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fj93X1AAAAAkBAAAP&#10;AAAAAAAAAAEAIAAAACIAAABkcnMvZG93bnJldi54bWxQSwECFAAUAAAACACHTuJALU9e9uMBAACe&#10;AwAADgAAAAAAAAABACAAAAAj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98176" behindDoc="0" locked="0" layoutInCell="1" allowOverlap="1">
                <wp:simplePos x="0" y="0"/>
                <wp:positionH relativeFrom="column">
                  <wp:posOffset>3771900</wp:posOffset>
                </wp:positionH>
                <wp:positionV relativeFrom="paragraph">
                  <wp:posOffset>266700</wp:posOffset>
                </wp:positionV>
                <wp:extent cx="800100" cy="297180"/>
                <wp:effectExtent l="4445" t="4445" r="14605" b="22225"/>
                <wp:wrapNone/>
                <wp:docPr id="374" name="文本框 37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高炉渣</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97pt;margin-top:21pt;height:23.4pt;width:63pt;z-index:251698176;mso-width-relative:page;mso-height-relative:page;" fillcolor="#FFFFFF" filled="t" stroked="t" coordsize="21600,21600" o:gfxdata="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Nu+q2AAAAAkBAAAPAAAAAAAAAAEAIAAAACIAAABkcnMvZG93bnJldi54bWxQSwEC&#10;FAAUAAAACACHTuJA7Q6Xnf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高炉渣</w:t>
                      </w:r>
                      <w:r>
                        <w:rPr>
                          <w:rFonts w:hint="eastAsia" w:ascii="宋体" w:hAnsi="宋体"/>
                          <w:sz w:val="21"/>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718656" behindDoc="0" locked="0" layoutInCell="1" allowOverlap="1">
                <wp:simplePos x="0" y="0"/>
                <wp:positionH relativeFrom="column">
                  <wp:posOffset>5143500</wp:posOffset>
                </wp:positionH>
                <wp:positionV relativeFrom="paragraph">
                  <wp:posOffset>167640</wp:posOffset>
                </wp:positionV>
                <wp:extent cx="914400" cy="461010"/>
                <wp:effectExtent l="4445" t="4445" r="14605" b="10795"/>
                <wp:wrapNone/>
                <wp:docPr id="269" name="文本框 269"/>
                <wp:cNvGraphicFramePr/>
                <a:graphic xmlns:a="http://schemas.openxmlformats.org/drawingml/2006/main">
                  <a:graphicData uri="http://schemas.microsoft.com/office/word/2010/wordprocessingShape">
                    <wps:wsp>
                      <wps:cNvSpPr txBox="1"/>
                      <wps:spPr>
                        <a:xfrm>
                          <a:off x="0" y="0"/>
                          <a:ext cx="914400" cy="461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石膏粉碎</w:t>
                            </w:r>
                          </w:p>
                          <w:p>
                            <w:pPr>
                              <w:jc w:val="center"/>
                              <w:rPr>
                                <w:rFonts w:hint="eastAsia"/>
                              </w:rPr>
                            </w:pP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405pt;margin-top:13.2pt;height:36.3pt;width:72pt;z-index:251718656;mso-width-relative:page;mso-height-relative:page;" fillcolor="#FFFFFF" filled="t" stroked="t" coordsize="21600,21600" o:gfxdata="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M4BpDYAAAACQEAAA8AAAAAAAAAAQAgAAAAIgAAAGRycy9kb3ducmV2LnhtbFBLAQIUABQA&#10;AAAIAIdO4kAMmyrg8AEAAOsDAAAOAAAAAAAAAAEAIAAAACcBAABkcnMvZTJvRG9jLnhtbFBLBQYA&#10;AAAABgAGAFkBAACJBQAAAAA=&#10;">
                <v:fill on="t" focussize="0,0"/>
                <v:stroke color="#000000" joinstyle="miter"/>
                <v:imagedata o:title=""/>
                <o:lock v:ext="edit" aspectratio="f"/>
                <v:textbox>
                  <w:txbxContent>
                    <w:p>
                      <w:pPr>
                        <w:jc w:val="center"/>
                        <w:rPr>
                          <w:rFonts w:hint="eastAsia"/>
                        </w:rPr>
                      </w:pPr>
                      <w:r>
                        <w:rPr>
                          <w:rFonts w:hint="eastAsia"/>
                        </w:rPr>
                        <w:t>石膏粉碎</w:t>
                      </w:r>
                    </w:p>
                    <w:p>
                      <w:pPr>
                        <w:jc w:val="center"/>
                        <w:rPr>
                          <w:rFonts w:hint="eastAsia"/>
                        </w:rPr>
                      </w:pPr>
                      <w:r>
                        <w:rPr>
                          <w:rFonts w:hint="eastAsia" w:ascii="宋体" w:hAnsi="宋体"/>
                          <w:sz w:val="21"/>
                          <w:szCs w:val="21"/>
                        </w:rPr>
                        <w:t>※△</w:t>
                      </w:r>
                    </w:p>
                  </w:txbxContent>
                </v:textbox>
              </v:shape>
            </w:pict>
          </mc:Fallback>
        </mc:AlternateContent>
      </w:r>
      <w:r>
        <w:rPr>
          <w:rFonts w:hint="eastAsia" w:ascii="宋体" w:hAnsi="宋体"/>
        </w:rPr>
        <mc:AlternateContent>
          <mc:Choice Requires="wps">
            <w:drawing>
              <wp:anchor distT="0" distB="0" distL="114300" distR="114300" simplePos="0" relativeHeight="251667456" behindDoc="0" locked="0" layoutInCell="1" allowOverlap="1">
                <wp:simplePos x="0" y="0"/>
                <wp:positionH relativeFrom="column">
                  <wp:posOffset>1866265</wp:posOffset>
                </wp:positionH>
                <wp:positionV relativeFrom="paragraph">
                  <wp:posOffset>263525</wp:posOffset>
                </wp:positionV>
                <wp:extent cx="1223645" cy="297180"/>
                <wp:effectExtent l="4445" t="4445" r="10160" b="22225"/>
                <wp:wrapNone/>
                <wp:docPr id="252" name="矩形 252"/>
                <wp:cNvGraphicFramePr/>
                <a:graphic xmlns:a="http://schemas.openxmlformats.org/drawingml/2006/main">
                  <a:graphicData uri="http://schemas.microsoft.com/office/word/2010/wordprocessingShape">
                    <wps:wsp>
                      <wps:cNvSpPr/>
                      <wps:spPr>
                        <a:xfrm>
                          <a:off x="0" y="0"/>
                          <a:ext cx="12236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熟料库</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146.95pt;margin-top:20.75pt;height:23.4pt;width:96.35pt;z-index:251667456;mso-width-relative:page;mso-height-relative:page;" fillcolor="#FFFFFF" filled="t" stroked="t" coordsize="21600,21600" o:gfxdata="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X&#10;gseP2AAAAAkBAAAPAAAAAAAAAAEAIAAAACIAAABkcnMvZG93bnJldi54bWxQSwECFAAUAAAACACH&#10;TuJA65H6AOsBAADfAwAADgAAAAAAAAABACAAAAAnAQAAZHJzL2Uyb0RvYy54bWxQSwUGAAAAAAYA&#10;BgBZAQAAhAUAAAAA&#10;">
                <v:fill on="t" focussize="0,0"/>
                <v:stroke color="#000000" joinstyle="miter"/>
                <v:imagedata o:title=""/>
                <o:lock v:ext="edit" aspectratio="f"/>
                <v:textbox>
                  <w:txbxContent>
                    <w:p>
                      <w:pPr>
                        <w:jc w:val="center"/>
                      </w:pPr>
                      <w:r>
                        <w:rPr>
                          <w:rFonts w:hint="eastAsia"/>
                        </w:rPr>
                        <w:t>熟料库</w:t>
                      </w:r>
                      <w:r>
                        <w:rPr>
                          <w:rFonts w:hint="eastAsia" w:ascii="宋体" w:hAnsi="宋体"/>
                          <w:sz w:val="21"/>
                          <w:szCs w:val="21"/>
                        </w:rPr>
                        <w:t>※</w:t>
                      </w:r>
                    </w:p>
                  </w:txbxContent>
                </v:textbox>
              </v:rect>
            </w:pict>
          </mc:Fallback>
        </mc:AlternateContent>
      </w:r>
    </w:p>
    <w:p>
      <w:pPr>
        <w:autoSpaceDE w:val="0"/>
        <w:autoSpaceDN w:val="0"/>
        <w:spacing w:line="480" w:lineRule="exact"/>
        <w:ind w:firstLine="573"/>
        <w:textAlignment w:val="bottom"/>
        <w:rPr>
          <w:rFonts w:hint="eastAsia" w:ascii="宋体" w:hAnsi="宋体"/>
        </w:rPr>
      </w:pPr>
      <w:r>
        <w:rPr>
          <w:rFonts w:ascii="宋体" w:hAnsi="宋体"/>
        </w:rPr>
        <mc:AlternateContent>
          <mc:Choice Requires="wps">
            <w:drawing>
              <wp:anchor distT="0" distB="0" distL="114300" distR="114300" simplePos="0" relativeHeight="251705344" behindDoc="0" locked="0" layoutInCell="1" allowOverlap="1">
                <wp:simplePos x="0" y="0"/>
                <wp:positionH relativeFrom="column">
                  <wp:posOffset>4114800</wp:posOffset>
                </wp:positionH>
                <wp:positionV relativeFrom="paragraph">
                  <wp:posOffset>233680</wp:posOffset>
                </wp:positionV>
                <wp:extent cx="0" cy="297180"/>
                <wp:effectExtent l="38100" t="0" r="38100" b="7620"/>
                <wp:wrapNone/>
                <wp:docPr id="258" name="直接连接符 25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4pt;margin-top:18.4pt;height:23.4pt;width:0pt;z-index:251705344;mso-width-relative:page;mso-height-relative:page;" filled="f" stroked="t" coordsize="21600,21600" o:gfxdata="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y4nq2AAAAAkB&#10;AAAPAAAAAAAAAAEAIAAAACIAAABkcnMvZG93bnJldi54bWxQSwECFAAUAAAACACHTuJAN790deIB&#10;AACdAwAADgAAAAAAAAABACAAAAAnAQAAZHJzL2Uyb0RvYy54bWxQSwUGAAAAAAYABgBZAQAAewUA&#10;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6368" behindDoc="0" locked="0" layoutInCell="1" allowOverlap="1">
                <wp:simplePos x="0" y="0"/>
                <wp:positionH relativeFrom="column">
                  <wp:posOffset>5600700</wp:posOffset>
                </wp:positionH>
                <wp:positionV relativeFrom="paragraph">
                  <wp:posOffset>259080</wp:posOffset>
                </wp:positionV>
                <wp:extent cx="0" cy="297180"/>
                <wp:effectExtent l="38100" t="0" r="38100" b="7620"/>
                <wp:wrapNone/>
                <wp:docPr id="253" name="直接连接符 25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441pt;margin-top:20.4pt;height:23.4pt;width:0pt;z-index:251706368;mso-width-relative:page;mso-height-relative:page;" filled="f" stroked="t" coordsize="21600,21600" o:gfxdata="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Zez/dgAAAAJ&#10;AQAADwAAAAAAAAABACAAAAAiAAAAZHJzL2Rvd25yZXYueG1sUEsBAhQAFAAAAAgAh07iQB0co+bj&#10;AQAAnQMAAA4AAAAAAAAAAQAgAAAAJwEAAGRycy9lMm9Eb2MueG1sUEsFBgAAAAAGAAYAWQEAAHwF&#10;AAAAAA==&#10;">
                <v:fill on="f" focussize="0,0"/>
                <v:stroke color="#000000" joinstyle="round" endarrow="block"/>
                <v:imagedata o:title=""/>
                <o:lock v:ext="edit" aspectratio="f"/>
              </v:line>
            </w:pict>
          </mc:Fallback>
        </mc:AlternateContent>
      </w:r>
      <w:r>
        <w:rPr>
          <w:rFonts w:ascii="宋体" w:hAnsi="宋体"/>
        </w:rPr>
        <mc:AlternateContent>
          <mc:Choice Requires="wps">
            <w:drawing>
              <wp:anchor distT="0" distB="0" distL="114300" distR="114300" simplePos="0" relativeHeight="251704320" behindDoc="0" locked="0" layoutInCell="1" allowOverlap="1">
                <wp:simplePos x="0" y="0"/>
                <wp:positionH relativeFrom="column">
                  <wp:posOffset>2452370</wp:posOffset>
                </wp:positionH>
                <wp:positionV relativeFrom="paragraph">
                  <wp:posOffset>238760</wp:posOffset>
                </wp:positionV>
                <wp:extent cx="0" cy="297180"/>
                <wp:effectExtent l="38100" t="0" r="38100" b="7620"/>
                <wp:wrapNone/>
                <wp:docPr id="266" name="直接连接符 2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3.1pt;margin-top:18.8pt;height:23.4pt;width:0pt;z-index:251704320;mso-width-relative:page;mso-height-relative:page;" filled="f" stroked="t" coordsize="21600,21600" o:gfxdata="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maG69gAAAAJ&#10;AQAADwAAAAAAAAABACAAAAAiAAAAZHJzL2Rvd25yZXYueG1sUEsBAhQAFAAAAAgAh07iQOeLZtfj&#10;AQAAnQMAAA4AAAAAAAAAAQAgAAAAJwEAAGRycy9lMm9Eb2MueG1sUEsFBgAAAAAGAAYAWQEAAHwF&#10;AAAAAA==&#10;">
                <v:fill on="f" focussize="0,0"/>
                <v:stroke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877376" behindDoc="0" locked="0" layoutInCell="1" allowOverlap="1">
                <wp:simplePos x="0" y="0"/>
                <wp:positionH relativeFrom="column">
                  <wp:posOffset>2461895</wp:posOffset>
                </wp:positionH>
                <wp:positionV relativeFrom="paragraph">
                  <wp:posOffset>232410</wp:posOffset>
                </wp:positionV>
                <wp:extent cx="3086100" cy="0"/>
                <wp:effectExtent l="0" t="0" r="0" b="0"/>
                <wp:wrapNone/>
                <wp:docPr id="268" name="直接连接符 268"/>
                <wp:cNvGraphicFramePr/>
                <a:graphic xmlns:a="http://schemas.openxmlformats.org/drawingml/2006/main">
                  <a:graphicData uri="http://schemas.microsoft.com/office/word/2010/wordprocessingShape">
                    <wps:wsp>
                      <wps:cNvCnPr/>
                      <wps:spPr>
                        <a:xfrm>
                          <a:off x="0" y="0"/>
                          <a:ext cx="3086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3.85pt;margin-top:18.3pt;height:0pt;width:243pt;z-index:251877376;mso-width-relative:page;mso-height-relative:page;" filled="f" stroked="t" coordsize="21600,21600" o:gfxdata="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3swvvWAAAACQEAAA8AAAAA&#10;AAAAAQAgAAAAIgAAAGRycy9kb3ducmV2LnhtbFBLAQIUABQAAAAIAIdO4kBeWxAi3QEAAJoDAAAO&#10;AAAAAAAAAAEAIAAAACUBAABkcnMvZTJvRG9jLnhtbFBLBQYAAAAABgAGAFkBAAB0BQ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07392" behindDoc="0" locked="0" layoutInCell="1" allowOverlap="1">
                <wp:simplePos x="0" y="0"/>
                <wp:positionH relativeFrom="column">
                  <wp:posOffset>3738245</wp:posOffset>
                </wp:positionH>
                <wp:positionV relativeFrom="paragraph">
                  <wp:posOffset>257810</wp:posOffset>
                </wp:positionV>
                <wp:extent cx="0" cy="274320"/>
                <wp:effectExtent l="42545" t="0" r="52705" b="11430"/>
                <wp:wrapNone/>
                <wp:docPr id="250" name="直接连接符 250"/>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4.35pt;margin-top:20.3pt;height:21.6pt;width:0pt;z-index:251707392;mso-width-relative:page;mso-height-relative:page;" filled="f" stroked="t" coordsize="21600,21600" o:gfxdata="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FH32q1QAAAAkBAAAP&#10;AAAAAAAAAAEAIAAAACIAAABkcnMvZG93bnJldi54bWxQSwECFAAUAAAACACHTuJAkhKuC+IBAACe&#10;AwAADgAAAAAAAAABACAAAAAk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699200" behindDoc="0" locked="0" layoutInCell="1" allowOverlap="1">
                <wp:simplePos x="0" y="0"/>
                <wp:positionH relativeFrom="column">
                  <wp:posOffset>3292475</wp:posOffset>
                </wp:positionH>
                <wp:positionV relativeFrom="paragraph">
                  <wp:posOffset>215265</wp:posOffset>
                </wp:positionV>
                <wp:extent cx="924560" cy="297180"/>
                <wp:effectExtent l="5080" t="4445" r="22860" b="22225"/>
                <wp:wrapNone/>
                <wp:docPr id="255" name="文本框 255"/>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水泥磨</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59.25pt;margin-top:16.95pt;height:23.4pt;width:72.8pt;z-index:251699200;mso-width-relative:page;mso-height-relative:page;" fillcolor="#FFFFFF" filled="t" stroked="t" coordsize="21600,21600" o:gfxdata="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ZI0x2AAAAAkBAAAPAAAAAAAAAAEAIAAAACIAAABkcnMvZG93bnJldi54bWxQSwEC&#10;FAAUAAAACACHTuJABNJ3r/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水泥磨</w:t>
                      </w:r>
                      <w:r>
                        <w:rPr>
                          <w:rFonts w:hint="eastAsia" w:ascii="宋体" w:hAnsi="宋体"/>
                          <w:sz w:val="21"/>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08416" behindDoc="0" locked="0" layoutInCell="1" allowOverlap="1">
                <wp:simplePos x="0" y="0"/>
                <wp:positionH relativeFrom="column">
                  <wp:posOffset>3723640</wp:posOffset>
                </wp:positionH>
                <wp:positionV relativeFrom="paragraph">
                  <wp:posOffset>199390</wp:posOffset>
                </wp:positionV>
                <wp:extent cx="0" cy="274320"/>
                <wp:effectExtent l="42545" t="0" r="52705" b="11430"/>
                <wp:wrapNone/>
                <wp:docPr id="262" name="直接连接符 262"/>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3.2pt;margin-top:15.7pt;height:21.6pt;width:0pt;z-index:251708416;mso-width-relative:page;mso-height-relative:page;" filled="f" stroked="t" coordsize="21600,21600" o:gfxdata="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ErmUtUAAAAJAQAA&#10;DwAAAAAAAAABACAAAAAiAAAAZHJzL2Rvd25yZXYueG1sUEsBAhQAFAAAAAgAh07iQD98aln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678720" behindDoc="0" locked="0" layoutInCell="1" allowOverlap="1">
                <wp:simplePos x="0" y="0"/>
                <wp:positionH relativeFrom="column">
                  <wp:posOffset>242570</wp:posOffset>
                </wp:positionH>
                <wp:positionV relativeFrom="paragraph">
                  <wp:posOffset>23495</wp:posOffset>
                </wp:positionV>
                <wp:extent cx="1345565" cy="794385"/>
                <wp:effectExtent l="13970" t="0" r="31115" b="29210"/>
                <wp:wrapNone/>
                <wp:docPr id="263" name="文本框 263"/>
                <wp:cNvGraphicFramePr/>
                <a:graphic xmlns:a="http://schemas.openxmlformats.org/drawingml/2006/main">
                  <a:graphicData uri="http://schemas.microsoft.com/office/word/2010/wordprocessingShape">
                    <wps:wsp>
                      <wps:cNvSpPr txBox="1"/>
                      <wps:spPr>
                        <a:xfrm>
                          <a:off x="0" y="0"/>
                          <a:ext cx="1345565" cy="794385"/>
                        </a:xfrm>
                        <a:prstGeom prst="rect">
                          <a:avLst/>
                        </a:prstGeom>
                        <a:solidFill>
                          <a:srgbClr val="FFFFFF"/>
                        </a:solidFill>
                        <a:ln w="28575" cap="flat" cmpd="sng">
                          <a:solidFill>
                            <a:srgbClr val="000000"/>
                          </a:solidFill>
                          <a:prstDash val="solid"/>
                          <a:miter/>
                          <a:headEnd type="none" w="med" len="med"/>
                          <a:tailEnd type="none" w="med" len="med"/>
                        </a:ln>
                      </wps:spPr>
                      <wps:txbx>
                        <w:txbxContent>
                          <w:p>
                            <w:pPr>
                              <w:jc w:val="center"/>
                              <w:rPr>
                                <w:rFonts w:hint="eastAsia"/>
                                <w:sz w:val="21"/>
                                <w:szCs w:val="21"/>
                              </w:rPr>
                            </w:pPr>
                            <w:r>
                              <w:rPr>
                                <w:rFonts w:hint="eastAsia"/>
                                <w:sz w:val="21"/>
                                <w:szCs w:val="21"/>
                              </w:rPr>
                              <w:t xml:space="preserve"> 图例：</w:t>
                            </w:r>
                          </w:p>
                          <w:p>
                            <w:pPr>
                              <w:numPr>
                                <w:ilvl w:val="0"/>
                                <w:numId w:val="4"/>
                              </w:numPr>
                              <w:rPr>
                                <w:rFonts w:hint="eastAsia" w:ascii="宋体" w:hAnsi="宋体"/>
                                <w:sz w:val="21"/>
                                <w:szCs w:val="21"/>
                              </w:rPr>
                            </w:pPr>
                            <w:r>
                              <w:rPr>
                                <w:rFonts w:hint="eastAsia" w:ascii="宋体" w:hAnsi="宋体"/>
                                <w:sz w:val="21"/>
                                <w:szCs w:val="21"/>
                              </w:rPr>
                              <w:t>：主要产尘点</w:t>
                            </w:r>
                          </w:p>
                          <w:p>
                            <w:pPr>
                              <w:rPr>
                                <w:rFonts w:hint="eastAsia"/>
                                <w:sz w:val="21"/>
                                <w:szCs w:val="21"/>
                              </w:rPr>
                            </w:pPr>
                            <w:r>
                              <w:rPr>
                                <w:rFonts w:hint="eastAsia" w:ascii="宋体" w:hAnsi="宋体"/>
                                <w:sz w:val="21"/>
                                <w:szCs w:val="21"/>
                              </w:rPr>
                              <w:t>△： 噪声源</w:t>
                            </w:r>
                          </w:p>
                        </w:txbxContent>
                      </wps:txbx>
                      <wps:bodyPr upright="1"/>
                    </wps:wsp>
                  </a:graphicData>
                </a:graphic>
              </wp:anchor>
            </w:drawing>
          </mc:Choice>
          <mc:Fallback>
            <w:pict>
              <v:shape id="_x0000_s1026" o:spid="_x0000_s1026" o:spt="202" type="#_x0000_t202" style="position:absolute;left:0pt;margin-left:19.1pt;margin-top:1.85pt;height:62.55pt;width:105.95pt;z-index:251678720;mso-width-relative:page;mso-height-relative:page;" fillcolor="#FFFFFF" filled="t" stroked="t" coordsize="21600,21600" o:gfxdata="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uSvT2AAAAAgBAAAPAAAAAAAAAAEAIAAAACIAAABkcnMvZG93bnJldi54bWxQSwEC&#10;FAAUAAAACACHTuJA1spLoPQBAADtAwAADgAAAAAAAAABACAAAAAnAQAAZHJzL2Uyb0RvYy54bWxQ&#10;SwUGAAAAAAYABgBZAQAAjQUAAAAA&#10;">
                <v:fill on="t" focussize="0,0"/>
                <v:stroke weight="2.25pt" color="#000000" joinstyle="miter"/>
                <v:imagedata o:title=""/>
                <o:lock v:ext="edit" aspectratio="f"/>
                <v:textbox>
                  <w:txbxContent>
                    <w:p>
                      <w:pPr>
                        <w:jc w:val="center"/>
                        <w:rPr>
                          <w:rFonts w:hint="eastAsia"/>
                          <w:sz w:val="21"/>
                          <w:szCs w:val="21"/>
                        </w:rPr>
                      </w:pPr>
                      <w:r>
                        <w:rPr>
                          <w:rFonts w:hint="eastAsia"/>
                          <w:sz w:val="21"/>
                          <w:szCs w:val="21"/>
                        </w:rPr>
                        <w:t xml:space="preserve"> 图例：</w:t>
                      </w:r>
                    </w:p>
                    <w:p>
                      <w:pPr>
                        <w:numPr>
                          <w:ilvl w:val="0"/>
                          <w:numId w:val="4"/>
                        </w:numPr>
                        <w:rPr>
                          <w:rFonts w:hint="eastAsia" w:ascii="宋体" w:hAnsi="宋体"/>
                          <w:sz w:val="21"/>
                          <w:szCs w:val="21"/>
                        </w:rPr>
                      </w:pPr>
                      <w:r>
                        <w:rPr>
                          <w:rFonts w:hint="eastAsia" w:ascii="宋体" w:hAnsi="宋体"/>
                          <w:sz w:val="21"/>
                          <w:szCs w:val="21"/>
                        </w:rPr>
                        <w:t>：主要产尘点</w:t>
                      </w:r>
                    </w:p>
                    <w:p>
                      <w:pPr>
                        <w:rPr>
                          <w:rFonts w:hint="eastAsia"/>
                          <w:sz w:val="21"/>
                          <w:szCs w:val="21"/>
                        </w:rPr>
                      </w:pPr>
                      <w:r>
                        <w:rPr>
                          <w:rFonts w:hint="eastAsia" w:ascii="宋体" w:hAnsi="宋体"/>
                          <w:sz w:val="21"/>
                          <w:szCs w:val="21"/>
                        </w:rPr>
                        <w:t>△： 噪声源</w:t>
                      </w:r>
                    </w:p>
                  </w:txbxContent>
                </v:textbox>
              </v:shape>
            </w:pict>
          </mc:Fallback>
        </mc:AlternateContent>
      </w:r>
      <w:r>
        <w:rPr>
          <w:rFonts w:hint="eastAsia" w:ascii="宋体" w:hAnsi="宋体"/>
        </w:rPr>
        <mc:AlternateContent>
          <mc:Choice Requires="wps">
            <w:drawing>
              <wp:anchor distT="0" distB="0" distL="114300" distR="114300" simplePos="0" relativeHeight="251700224" behindDoc="0" locked="0" layoutInCell="1" allowOverlap="1">
                <wp:simplePos x="0" y="0"/>
                <wp:positionH relativeFrom="column">
                  <wp:posOffset>3242310</wp:posOffset>
                </wp:positionH>
                <wp:positionV relativeFrom="paragraph">
                  <wp:posOffset>150495</wp:posOffset>
                </wp:positionV>
                <wp:extent cx="924560" cy="297180"/>
                <wp:effectExtent l="5080" t="4445" r="22860" b="22225"/>
                <wp:wrapNone/>
                <wp:docPr id="270" name="文本框 270"/>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水泥库</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255.3pt;margin-top:11.85pt;height:23.4pt;width:72.8pt;z-index:251700224;mso-width-relative:page;mso-height-relative:page;" fillcolor="#FFFFFF" filled="t" stroked="t" coordsize="21600,21600" o:gfxdata="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861K2QAAAAkBAAAPAAAAAAAAAAEAIAAAACIAAABkcnMvZG93bnJldi54bWxQSwEC&#10;FAAUAAAACACHTuJA0abh8vMBAADrAwAADgAAAAAAAAABACAAAAAoAQAAZHJzL2Uyb0RvYy54bWxQ&#10;SwUGAAAAAAYABgBZAQAAjQUAAAAA&#10;">
                <v:fill on="t" focussize="0,0"/>
                <v:stroke color="#000000" joinstyle="miter"/>
                <v:imagedata o:title=""/>
                <o:lock v:ext="edit" aspectratio="f"/>
                <v:textbox>
                  <w:txbxContent>
                    <w:p>
                      <w:pPr>
                        <w:jc w:val="center"/>
                        <w:rPr>
                          <w:rFonts w:hint="eastAsia"/>
                        </w:rPr>
                      </w:pPr>
                      <w:r>
                        <w:rPr>
                          <w:rFonts w:hint="eastAsia"/>
                        </w:rPr>
                        <w:t>水泥库</w:t>
                      </w:r>
                      <w:r>
                        <w:rPr>
                          <w:rFonts w:hint="eastAsia" w:ascii="宋体" w:hAnsi="宋体"/>
                          <w:sz w:val="21"/>
                          <w:szCs w:val="21"/>
                        </w:rPr>
                        <w:t>※</w:t>
                      </w:r>
                    </w:p>
                  </w:txbxContent>
                </v:textbox>
              </v:shap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09440" behindDoc="0" locked="0" layoutInCell="1" allowOverlap="1">
                <wp:simplePos x="0" y="0"/>
                <wp:positionH relativeFrom="column">
                  <wp:posOffset>3700145</wp:posOffset>
                </wp:positionH>
                <wp:positionV relativeFrom="paragraph">
                  <wp:posOffset>133985</wp:posOffset>
                </wp:positionV>
                <wp:extent cx="0" cy="274320"/>
                <wp:effectExtent l="42545" t="0" r="52705" b="11430"/>
                <wp:wrapNone/>
                <wp:docPr id="261" name="直接连接符 261"/>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1.35pt;margin-top:10.55pt;height:21.6pt;width:0pt;z-index:251709440;mso-width-relative:page;mso-height-relative:page;" filled="f" stroked="t" coordsize="21600,21600" o:gfxdata="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eD+771QAAAAkBAAAP&#10;AAAAAAAAAAEAIAAAACIAAABkcnMvZG93bnJldi54bWxQSwECFAAUAAAACACHTuJAPFabGuIBAACe&#10;AwAADgAAAAAAAAABACAAAAAkAQAAZHJzL2Uyb0RvYy54bWxQSwUGAAAAAAYABgBZAQAAeAUAAA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ascii="宋体" w:hAnsi="宋体"/>
          <w:sz w:val="20"/>
        </w:rPr>
        <mc:AlternateContent>
          <mc:Choice Requires="wps">
            <w:drawing>
              <wp:anchor distT="0" distB="0" distL="114300" distR="114300" simplePos="0" relativeHeight="251713536" behindDoc="0" locked="0" layoutInCell="1" allowOverlap="1">
                <wp:simplePos x="0" y="0"/>
                <wp:positionH relativeFrom="column">
                  <wp:posOffset>4556125</wp:posOffset>
                </wp:positionH>
                <wp:positionV relativeFrom="paragraph">
                  <wp:posOffset>98425</wp:posOffset>
                </wp:positionV>
                <wp:extent cx="0" cy="274320"/>
                <wp:effectExtent l="42545" t="0" r="52705" b="11430"/>
                <wp:wrapNone/>
                <wp:docPr id="256" name="直接连接符 256"/>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8.75pt;margin-top:7.75pt;height:21.6pt;width:0pt;z-index:251713536;mso-width-relative:page;mso-height-relative:page;" filled="f" stroked="t" coordsize="21600,21600" o:gfxdata="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vi9P9UAAAAJAQAA&#10;DwAAAAAAAAABACAAAAAiAAAAZHJzL2Rvd25yZXYueG1sUEsBAhQAFAAAAAgAh07iQJRGTIzjAQAA&#10;ngMAAA4AAAAAAAAAAQAgAAAAJAEAAGRycy9lMm9Eb2MueG1sUEsFBgAAAAAGAAYAWQEAAHkFAAAA&#10;AA==&#10;">
                <v:fill on="f" focussize="0,0"/>
                <v:stroke weight="2.25pt" color="#000000" joinstyle="round" endarrow="block"/>
                <v:imagedata o:title=""/>
                <o:lock v:ext="edit" aspectratio="f"/>
              </v:line>
            </w:pict>
          </mc:Fallback>
        </mc:AlternateContent>
      </w:r>
      <w:r>
        <w:rPr>
          <w:rFonts w:ascii="宋体" w:hAnsi="宋体"/>
          <w:sz w:val="20"/>
        </w:rPr>
        <mc:AlternateContent>
          <mc:Choice Requires="wps">
            <w:drawing>
              <wp:anchor distT="0" distB="0" distL="114300" distR="114300" simplePos="0" relativeHeight="251710464" behindDoc="0" locked="0" layoutInCell="1" allowOverlap="1">
                <wp:simplePos x="0" y="0"/>
                <wp:positionH relativeFrom="column">
                  <wp:posOffset>2971800</wp:posOffset>
                </wp:positionH>
                <wp:positionV relativeFrom="paragraph">
                  <wp:posOffset>114300</wp:posOffset>
                </wp:positionV>
                <wp:extent cx="1600200" cy="0"/>
                <wp:effectExtent l="0" t="0" r="0" b="0"/>
                <wp:wrapNone/>
                <wp:docPr id="267" name="直接连接符 267"/>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4pt;margin-top:9pt;height:0pt;width:126pt;z-index:251710464;mso-width-relative:page;mso-height-relative:page;" filled="f" stroked="t" coordsize="21600,21600" o:gfxdata="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rZrT1AAAAAkBAAAPAAAAAAAA&#10;AAEAIAAAACIAAABkcnMvZG93bnJldi54bWxQSwECFAAUAAAACACHTuJAtm77W90BAACaAwAADgAA&#10;AAAAAAABACAAAAAjAQAAZHJzL2Uyb0RvYy54bWxQSwUGAAAAAAYABgBZAQAAcgUAAAAA&#10;">
                <v:fill on="f" focussize="0,0"/>
                <v:stroke color="#000000" joinstyle="round"/>
                <v:imagedata o:title=""/>
                <o:lock v:ext="edit" aspectratio="f"/>
              </v:line>
            </w:pict>
          </mc:Fallback>
        </mc:AlternateContent>
      </w:r>
      <w:r>
        <w:rPr>
          <w:rFonts w:ascii="宋体" w:hAnsi="宋体"/>
          <w:sz w:val="20"/>
        </w:rPr>
        <mc:AlternateContent>
          <mc:Choice Requires="wps">
            <w:drawing>
              <wp:anchor distT="0" distB="0" distL="114300" distR="114300" simplePos="0" relativeHeight="251711488" behindDoc="0" locked="0" layoutInCell="1" allowOverlap="1">
                <wp:simplePos x="0" y="0"/>
                <wp:positionH relativeFrom="column">
                  <wp:posOffset>2961640</wp:posOffset>
                </wp:positionH>
                <wp:positionV relativeFrom="paragraph">
                  <wp:posOffset>123190</wp:posOffset>
                </wp:positionV>
                <wp:extent cx="0" cy="274320"/>
                <wp:effectExtent l="42545" t="0" r="52705" b="11430"/>
                <wp:wrapNone/>
                <wp:docPr id="254" name="直接连接符 254"/>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3.2pt;margin-top:9.7pt;height:21.6pt;width:0pt;z-index:251711488;mso-width-relative:page;mso-height-relative:page;" filled="f" stroked="t" coordsize="21600,21600" o:gfxdata="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3YXrNUAAAAJAQAA&#10;DwAAAAAAAAABACAAAAAiAAAAZHJzL2Rvd25yZXYueG1sUEsBAhQAFAAAAAgAh07iQKmIwkfjAQAA&#10;ngMAAA4AAAAAAAAAAQAgAAAAJAEAAGRycy9lMm9Eb2MueG1sUEsFBgAAAAAGAAYAWQEAAHkFAAAA&#10;AA==&#10;">
                <v:fill on="f" focussize="0,0"/>
                <v:stroke weight="2.25pt" color="#000000" joinstyle="round" endarrow="block"/>
                <v:imagedata o:title=""/>
                <o:lock v:ext="edit" aspectratio="f"/>
              </v:line>
            </w:pict>
          </mc:Fallback>
        </mc:AlternateContent>
      </w:r>
    </w:p>
    <w:p>
      <w:pPr>
        <w:autoSpaceDE w:val="0"/>
        <w:autoSpaceDN w:val="0"/>
        <w:spacing w:line="480" w:lineRule="exact"/>
        <w:ind w:firstLine="573"/>
        <w:textAlignment w:val="bottom"/>
        <w:rPr>
          <w:rFonts w:hint="eastAsia" w:ascii="宋体" w:hAnsi="宋体"/>
        </w:rPr>
      </w:pPr>
      <w:r>
        <w:rPr>
          <w:rFonts w:hint="eastAsia" w:ascii="宋体" w:hAnsi="宋体"/>
        </w:rPr>
        <mc:AlternateContent>
          <mc:Choice Requires="wps">
            <w:drawing>
              <wp:anchor distT="0" distB="0" distL="114300" distR="114300" simplePos="0" relativeHeight="251703296" behindDoc="0" locked="0" layoutInCell="1" allowOverlap="1">
                <wp:simplePos x="0" y="0"/>
                <wp:positionH relativeFrom="column">
                  <wp:posOffset>4055745</wp:posOffset>
                </wp:positionH>
                <wp:positionV relativeFrom="paragraph">
                  <wp:posOffset>67310</wp:posOffset>
                </wp:positionV>
                <wp:extent cx="924560" cy="297180"/>
                <wp:effectExtent l="5080" t="4445" r="22860" b="22225"/>
                <wp:wrapNone/>
                <wp:docPr id="264" name="文本框 264"/>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 w:val="21"/>
                                <w:szCs w:val="21"/>
                              </w:rPr>
                              <w:t>散装水泥※</w:t>
                            </w:r>
                          </w:p>
                        </w:txbxContent>
                      </wps:txbx>
                      <wps:bodyPr upright="1"/>
                    </wps:wsp>
                  </a:graphicData>
                </a:graphic>
              </wp:anchor>
            </w:drawing>
          </mc:Choice>
          <mc:Fallback>
            <w:pict>
              <v:shape id="_x0000_s1026" o:spid="_x0000_s1026" o:spt="202" type="#_x0000_t202" style="position:absolute;left:0pt;margin-left:319.35pt;margin-top:5.3pt;height:23.4pt;width:72.8pt;z-index:251703296;mso-width-relative:page;mso-height-relative:page;" fillcolor="#FFFFFF" filled="t" stroked="t" coordsize="21600,21600" o:gfxdata="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ANKj2AAAAAkBAAAPAAAAAAAAAAEAIAAAACIAAABkcnMvZG93bnJldi54bWxQSwEC&#10;FAAUAAAACACHTuJAmBkIi/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ascii="宋体" w:hAnsi="宋体"/>
                          <w:sz w:val="21"/>
                          <w:szCs w:val="21"/>
                        </w:rPr>
                        <w:t>散装水泥※</w:t>
                      </w:r>
                    </w:p>
                  </w:txbxContent>
                </v:textbox>
              </v:shape>
            </w:pict>
          </mc:Fallback>
        </mc:AlternateContent>
      </w:r>
      <w:r>
        <w:rPr>
          <w:rFonts w:hint="eastAsia" w:ascii="宋体" w:hAnsi="宋体"/>
        </w:rPr>
        <mc:AlternateContent>
          <mc:Choice Requires="wps">
            <w:drawing>
              <wp:anchor distT="0" distB="0" distL="114300" distR="114300" simplePos="0" relativeHeight="251701248" behindDoc="0" locked="0" layoutInCell="1" allowOverlap="1">
                <wp:simplePos x="0" y="0"/>
                <wp:positionH relativeFrom="column">
                  <wp:posOffset>2503170</wp:posOffset>
                </wp:positionH>
                <wp:positionV relativeFrom="paragraph">
                  <wp:posOffset>71120</wp:posOffset>
                </wp:positionV>
                <wp:extent cx="924560" cy="297180"/>
                <wp:effectExtent l="5080" t="4445" r="22860" b="22225"/>
                <wp:wrapNone/>
                <wp:docPr id="246" name="文本框 246"/>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r>
                              <w:rPr>
                                <w:rFonts w:hint="eastAsia" w:ascii="宋体" w:hAnsi="宋体"/>
                                <w:sz w:val="21"/>
                                <w:szCs w:val="21"/>
                              </w:rPr>
                              <w:t>※</w:t>
                            </w:r>
                          </w:p>
                        </w:txbxContent>
                      </wps:txbx>
                      <wps:bodyPr upright="1"/>
                    </wps:wsp>
                  </a:graphicData>
                </a:graphic>
              </wp:anchor>
            </w:drawing>
          </mc:Choice>
          <mc:Fallback>
            <w:pict>
              <v:shape id="_x0000_s1026" o:spid="_x0000_s1026" o:spt="202" type="#_x0000_t202" style="position:absolute;left:0pt;margin-left:197.1pt;margin-top:5.6pt;height:23.4pt;width:72.8pt;z-index:251701248;mso-width-relative:page;mso-height-relative:page;" fillcolor="#FFFFFF" filled="t" stroked="t" coordsize="21600,21600" o:gfxdata="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pD9b2AAAAAkBAAAPAAAAAAAAAAEAIAAAACIAAABkcnMvZG93bnJldi54bWxQSwEC&#10;FAAUAAAACACHTuJADvXVwPQBAADrAwAADgAAAAAAAAABACAAAAAnAQAAZHJzL2Uyb0RvYy54bWxQ&#10;SwUGAAAAAAYABgBZAQAAjQUAAAAA&#10;">
                <v:fill on="t" focussize="0,0"/>
                <v:stroke color="#000000" joinstyle="miter"/>
                <v:imagedata o:title=""/>
                <o:lock v:ext="edit" aspectratio="f"/>
                <v:textbox>
                  <w:txbxContent>
                    <w:p>
                      <w:pPr>
                        <w:jc w:val="center"/>
                        <w:rPr>
                          <w:rFonts w:hint="eastAsia"/>
                        </w:rPr>
                      </w:pPr>
                      <w:r>
                        <w:rPr>
                          <w:rFonts w:hint="eastAsia"/>
                        </w:rPr>
                        <w:t>包装</w:t>
                      </w:r>
                      <w:r>
                        <w:rPr>
                          <w:rFonts w:hint="eastAsia" w:ascii="宋体" w:hAnsi="宋体"/>
                          <w:sz w:val="21"/>
                          <w:szCs w:val="21"/>
                        </w:rPr>
                        <w:t>※</w:t>
                      </w:r>
                    </w:p>
                  </w:txbxContent>
                </v:textbox>
              </v:shape>
            </w:pict>
          </mc:Fallback>
        </mc:AlternateContent>
      </w:r>
    </w:p>
    <w:p>
      <w:pPr>
        <w:spacing w:line="480" w:lineRule="exact"/>
        <w:ind w:firstLine="1392" w:firstLineChars="696"/>
        <w:rPr>
          <w:rFonts w:hint="eastAsia"/>
          <w:b/>
        </w:rPr>
      </w:pPr>
      <w:r>
        <w:rPr>
          <w:rFonts w:ascii="宋体" w:hAnsi="宋体"/>
          <w:sz w:val="20"/>
        </w:rPr>
        <mc:AlternateContent>
          <mc:Choice Requires="wps">
            <w:drawing>
              <wp:anchor distT="0" distB="0" distL="114300" distR="114300" simplePos="0" relativeHeight="251712512" behindDoc="0" locked="0" layoutInCell="1" allowOverlap="1">
                <wp:simplePos x="0" y="0"/>
                <wp:positionH relativeFrom="column">
                  <wp:posOffset>2932430</wp:posOffset>
                </wp:positionH>
                <wp:positionV relativeFrom="paragraph">
                  <wp:posOffset>88265</wp:posOffset>
                </wp:positionV>
                <wp:extent cx="0" cy="274320"/>
                <wp:effectExtent l="42545" t="0" r="52705" b="11430"/>
                <wp:wrapNone/>
                <wp:docPr id="257" name="直接连接符 257"/>
                <wp:cNvGraphicFramePr/>
                <a:graphic xmlns:a="http://schemas.openxmlformats.org/drawingml/2006/main">
                  <a:graphicData uri="http://schemas.microsoft.com/office/word/2010/wordprocessingShape">
                    <wps:wsp>
                      <wps:cNvCnPr/>
                      <wps:spPr>
                        <a:xfrm>
                          <a:off x="0" y="0"/>
                          <a:ext cx="0" cy="274320"/>
                        </a:xfrm>
                        <a:prstGeom prst="line">
                          <a:avLst/>
                        </a:prstGeom>
                        <a:ln w="285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0.9pt;margin-top:6.95pt;height:21.6pt;width:0pt;z-index:251712512;mso-width-relative:page;mso-height-relative:page;" filled="f" stroked="t" coordsize="21600,21600" o:gfxdata="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hQNNUAAAAJAQAA&#10;DwAAAAAAAAABACAAAAAiAAAAZHJzL2Rvd25yZXYueG1sUEsBAhQAFAAAAAgAh07iQKqiMwTjAQAA&#10;ngMAAA4AAAAAAAAAAQAgAAAAJAEAAGRycy9lMm9Eb2MueG1sUEsFBgAAAAAGAAYAWQEAAHkFAAAA&#10;AA==&#10;">
                <v:fill on="f" focussize="0,0"/>
                <v:stroke weight="2.25pt" color="#000000" joinstyle="round" endarrow="block"/>
                <v:imagedata o:title=""/>
                <o:lock v:ext="edit" aspectratio="f"/>
              </v:line>
            </w:pict>
          </mc:Fallback>
        </mc:AlternateContent>
      </w:r>
    </w:p>
    <w:p>
      <w:pPr>
        <w:spacing w:line="480" w:lineRule="exact"/>
        <w:ind w:firstLine="1392" w:firstLineChars="696"/>
        <w:jc w:val="center"/>
        <w:rPr>
          <w:rFonts w:hint="eastAsia"/>
          <w:b/>
        </w:rPr>
      </w:pPr>
      <w:r>
        <w:rPr>
          <w:rFonts w:ascii="宋体" w:hAnsi="宋体"/>
          <w:sz w:val="20"/>
        </w:rPr>
        <mc:AlternateContent>
          <mc:Choice Requires="wps">
            <w:drawing>
              <wp:anchor distT="0" distB="0" distL="114300" distR="114300" simplePos="0" relativeHeight="251702272" behindDoc="0" locked="0" layoutInCell="1" allowOverlap="1">
                <wp:simplePos x="0" y="0"/>
                <wp:positionH relativeFrom="column">
                  <wp:posOffset>2453640</wp:posOffset>
                </wp:positionH>
                <wp:positionV relativeFrom="paragraph">
                  <wp:posOffset>23495</wp:posOffset>
                </wp:positionV>
                <wp:extent cx="924560" cy="297180"/>
                <wp:effectExtent l="5080" t="4445" r="22860" b="22225"/>
                <wp:wrapNone/>
                <wp:docPr id="244" name="文本框 244"/>
                <wp:cNvGraphicFramePr/>
                <a:graphic xmlns:a="http://schemas.openxmlformats.org/drawingml/2006/main">
                  <a:graphicData uri="http://schemas.microsoft.com/office/word/2010/wordprocessingShape">
                    <wps:wsp>
                      <wps:cNvSpPr txBox="1"/>
                      <wps:spPr>
                        <a:xfrm>
                          <a:off x="0" y="0"/>
                          <a:ext cx="924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ascii="宋体" w:hAnsi="宋体"/>
                                <w:sz w:val="21"/>
                                <w:szCs w:val="21"/>
                              </w:rPr>
                              <w:t>成品库※</w:t>
                            </w:r>
                          </w:p>
                        </w:txbxContent>
                      </wps:txbx>
                      <wps:bodyPr upright="1"/>
                    </wps:wsp>
                  </a:graphicData>
                </a:graphic>
              </wp:anchor>
            </w:drawing>
          </mc:Choice>
          <mc:Fallback>
            <w:pict>
              <v:shape id="_x0000_s1026" o:spid="_x0000_s1026" o:spt="202" type="#_x0000_t202" style="position:absolute;left:0pt;margin-left:193.2pt;margin-top:1.85pt;height:23.4pt;width:72.8pt;z-index:251702272;mso-width-relative:page;mso-height-relative:page;" fillcolor="#FFFFFF" filled="t" stroked="t" coordsize="21600,21600" o:gfxdata="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NI7h3XAAAACAEAAA8AAAAAAAAAAQAgAAAAIgAAAGRycy9kb3ducmV2LnhtbFBLAQIU&#10;ABQAAAAIAIdO4kBPJJmK9AEAAOsDAAAOAAAAAAAAAAEAIAAAACYBAABkcnMvZTJvRG9jLnhtbFBL&#10;BQYAAAAABgAGAFkBAACMBQAAAAA=&#10;">
                <v:fill on="t" focussize="0,0"/>
                <v:stroke color="#000000" joinstyle="miter"/>
                <v:imagedata o:title=""/>
                <o:lock v:ext="edit" aspectratio="f"/>
                <v:textbox>
                  <w:txbxContent>
                    <w:p>
                      <w:pPr>
                        <w:jc w:val="center"/>
                        <w:rPr>
                          <w:rFonts w:hint="eastAsia"/>
                        </w:rPr>
                      </w:pPr>
                      <w:r>
                        <w:rPr>
                          <w:rFonts w:hint="eastAsia" w:ascii="宋体" w:hAnsi="宋体"/>
                          <w:sz w:val="21"/>
                          <w:szCs w:val="21"/>
                        </w:rPr>
                        <w:t>成品库※</w:t>
                      </w:r>
                    </w:p>
                  </w:txbxContent>
                </v:textbox>
              </v:shape>
            </w:pict>
          </mc:Fallback>
        </mc:AlternateContent>
      </w:r>
    </w:p>
    <w:p>
      <w:pPr>
        <w:spacing w:line="480" w:lineRule="exact"/>
        <w:ind w:firstLine="1130" w:firstLineChars="536"/>
        <w:rPr>
          <w:rFonts w:hint="eastAsia"/>
          <w:b/>
        </w:rPr>
      </w:pPr>
    </w:p>
    <w:p>
      <w:pPr>
        <w:spacing w:line="480" w:lineRule="exact"/>
        <w:ind w:firstLine="1130" w:firstLineChars="536"/>
        <w:jc w:val="center"/>
        <w:rPr>
          <w:rFonts w:ascii="宋体" w:hAnsi="宋体"/>
          <w:b/>
        </w:rPr>
      </w:pPr>
      <w:r>
        <w:rPr>
          <w:rFonts w:hint="eastAsia" w:ascii="宋体" w:hAnsi="宋体"/>
          <w:b/>
        </w:rPr>
        <w:t>图3.3 技改项目工艺流程及排污环节</w:t>
      </w:r>
    </w:p>
    <w:p>
      <w:pPr>
        <w:spacing w:line="360" w:lineRule="auto"/>
        <w:ind w:firstLine="420" w:firstLineChars="200"/>
        <w:rPr>
          <w:rFonts w:ascii="宋体" w:hAnsi="宋体"/>
        </w:rPr>
      </w:pPr>
      <w:bookmarkStart w:id="144" w:name="_Toc473281502"/>
      <w:bookmarkStart w:id="145" w:name="_Toc189814144"/>
      <w:bookmarkStart w:id="146" w:name="_Toc175479798"/>
      <w:r>
        <w:rPr>
          <w:rFonts w:hint="eastAsia" w:ascii="宋体" w:hAnsi="宋体"/>
        </w:rPr>
        <w:t>（7）</w:t>
      </w:r>
      <w:r>
        <w:rPr>
          <w:rFonts w:ascii="宋体" w:hAnsi="宋体"/>
        </w:rPr>
        <w:t>原料调配</w:t>
      </w:r>
    </w:p>
    <w:p>
      <w:pPr>
        <w:spacing w:line="360" w:lineRule="auto"/>
        <w:ind w:firstLine="420" w:firstLineChars="200"/>
        <w:rPr>
          <w:rFonts w:ascii="宋体" w:hAnsi="宋体"/>
        </w:rPr>
      </w:pPr>
      <w:r>
        <w:rPr>
          <w:rFonts w:ascii="宋体" w:hAnsi="宋体"/>
        </w:rPr>
        <w:t>原料调配站设四座圆库分别储存石灰石，而砂岩、硫酸渣及煤矸石。由于硫酸渣、煤矸石及砂岩卸料不畅，此三种物料的配料仓下需设置板式喂料机，以使硫酸渣、煤矸石及砂岩能稳定卸料。参与配料的砂岩、硫酸渣、煤矸石和石灰石分别由库底调速电子皮带秤按设定配比卸出，经带式输送机送至生料磨。由多元素荧光分析仪和微机组成的生料质量控制系统，可自动分析出磨生料成份，并据分析结果和目标值自动调节电子皮带秤转速控制各原料的下料量，确保出磨生料成份合格。</w:t>
      </w:r>
    </w:p>
    <w:p>
      <w:pPr>
        <w:spacing w:line="360" w:lineRule="auto"/>
        <w:ind w:firstLine="420" w:firstLineChars="200"/>
        <w:rPr>
          <w:rFonts w:ascii="宋体" w:hAnsi="宋体"/>
        </w:rPr>
      </w:pPr>
      <w:r>
        <w:rPr>
          <w:rFonts w:hint="eastAsia" w:ascii="宋体" w:hAnsi="宋体"/>
        </w:rPr>
        <w:t>（8）</w:t>
      </w:r>
      <w:r>
        <w:rPr>
          <w:rFonts w:ascii="宋体" w:hAnsi="宋体"/>
        </w:rPr>
        <w:t>生料粉磨</w:t>
      </w:r>
    </w:p>
    <w:p>
      <w:pPr>
        <w:spacing w:line="360" w:lineRule="auto"/>
        <w:ind w:firstLine="420" w:firstLineChars="200"/>
        <w:rPr>
          <w:rFonts w:ascii="宋体" w:hAnsi="宋体"/>
        </w:rPr>
      </w:pPr>
      <w:r>
        <w:rPr>
          <w:rFonts w:ascii="宋体" w:hAnsi="宋体"/>
        </w:rPr>
        <w:t>配合原料经磨头锁风阀进入生料磨内，生料磨采用集烘干和粉磨、选粉于一体的MLS3626立式磨，生产能力为190t/h(磨蚀后期)。磨机烘干热源来自窑尾高温风机出来的废气，气体温度300～320℃。</w:t>
      </w:r>
    </w:p>
    <w:p>
      <w:pPr>
        <w:spacing w:line="360" w:lineRule="auto"/>
        <w:ind w:firstLine="420" w:firstLineChars="200"/>
        <w:rPr>
          <w:rFonts w:ascii="宋体" w:hAnsi="宋体"/>
          <w:snapToGrid w:val="0"/>
          <w:kern w:val="0"/>
        </w:rPr>
      </w:pPr>
      <w:r>
        <w:rPr>
          <w:rFonts w:ascii="宋体" w:hAnsi="宋体"/>
        </w:rPr>
        <w:t>随气流出磨的合格生料粉由旋风收尘器收集下来后由斗式提升机送入生料均化库。从磨内吐出的粗料经带式输送机、斗式提升机送至回料仓，由电子皮带秤计量后回磨内重新粉磨。为保证立磨的安全运转，在入磨带式输送机上设有金属探测器和除铁器。</w:t>
      </w:r>
    </w:p>
    <w:p>
      <w:pPr>
        <w:spacing w:line="360" w:lineRule="auto"/>
        <w:ind w:firstLine="420" w:firstLineChars="200"/>
        <w:rPr>
          <w:rFonts w:ascii="宋体" w:hAnsi="宋体"/>
        </w:rPr>
      </w:pPr>
      <w:r>
        <w:rPr>
          <w:rFonts w:hint="eastAsia" w:ascii="宋体" w:hAnsi="宋体"/>
        </w:rPr>
        <w:t>（9）</w:t>
      </w:r>
      <w:r>
        <w:rPr>
          <w:rFonts w:ascii="宋体" w:hAnsi="宋体"/>
        </w:rPr>
        <w:t>废气处理系统</w:t>
      </w:r>
    </w:p>
    <w:p>
      <w:pPr>
        <w:spacing w:line="360" w:lineRule="auto"/>
        <w:ind w:firstLine="420" w:firstLineChars="200"/>
        <w:rPr>
          <w:rFonts w:ascii="宋体" w:hAnsi="宋体"/>
        </w:rPr>
      </w:pPr>
      <w:r>
        <w:rPr>
          <w:rFonts w:ascii="宋体" w:hAnsi="宋体"/>
        </w:rPr>
        <w:t>窑尾出来的废气在开磨状态下全部送入生料磨作烘干热源，磨停窑开时经Φ8.5×34m增湿塔降温调质处理后进入电收尘器净化处理，最后经烟囱达标排出。从生料磨排出的废气也由窑尾电收尘器净化处理。经增湿塔、电收尘器收下的粉尘，随同出磨生料一起由斗式提升机送入生料均化库。</w:t>
      </w:r>
    </w:p>
    <w:p>
      <w:pPr>
        <w:spacing w:line="360" w:lineRule="auto"/>
        <w:ind w:firstLine="420" w:firstLineChars="200"/>
        <w:rPr>
          <w:rFonts w:ascii="宋体" w:hAnsi="宋体"/>
        </w:rPr>
      </w:pPr>
      <w:r>
        <w:rPr>
          <w:rFonts w:hint="eastAsia" w:ascii="宋体" w:hAnsi="宋体"/>
        </w:rPr>
        <w:t>（10）</w:t>
      </w:r>
      <w:r>
        <w:rPr>
          <w:rFonts w:ascii="宋体" w:hAnsi="宋体"/>
        </w:rPr>
        <w:t>生料均化和窑尾喂料系统</w:t>
      </w:r>
    </w:p>
    <w:p>
      <w:pPr>
        <w:spacing w:line="360" w:lineRule="auto"/>
        <w:ind w:firstLine="420" w:firstLineChars="200"/>
        <w:rPr>
          <w:rFonts w:ascii="宋体" w:hAnsi="宋体"/>
        </w:rPr>
      </w:pPr>
      <w:r>
        <w:rPr>
          <w:rFonts w:ascii="宋体" w:hAnsi="宋体"/>
        </w:rPr>
        <w:t>生料粉经提升机，溢流式生料分配器，由六条空气斜槽布料进入生料均化库。设置一座Φ15m均化库储存、均化生料。库内分六个卸料区，生料按照一定的顺序分别由各个卸料区卸出进入搅拌仓进行搅拌，均化作用主要由库内重力切割和搅拌仓的搅拌来实现。出库生料CaCO</w:t>
      </w:r>
      <w:r>
        <w:rPr>
          <w:rFonts w:ascii="宋体" w:hAnsi="宋体"/>
          <w:vertAlign w:val="subscript"/>
        </w:rPr>
        <w:t>3</w:t>
      </w:r>
      <w:r>
        <w:rPr>
          <w:rFonts w:ascii="宋体" w:hAnsi="宋体"/>
        </w:rPr>
        <w:t>标准偏差控制在±0.25%。出库生料经斜槽输送到库底的计量仓，仓上带有荷重传感器、充气装置。计量仓内料面的波动将直接影响冲出仓的流量阀物料的稳定，因此根据计量仓的荷重传感器计的仓重信号来调节出库的流量阀，以使仓内维持一个稳定的料面。仓下设有由流量控制阀和冲板流量计组成的喂料计量系统，通过冲板流量计测量出的流量，调节流量阀以实现喂料量的调节。经计量的生料通过空气斜槽送至窑尾提升机，将生料喂入窑尾预热器。</w:t>
      </w:r>
    </w:p>
    <w:p>
      <w:pPr>
        <w:spacing w:line="360" w:lineRule="auto"/>
        <w:ind w:firstLine="420" w:firstLineChars="200"/>
        <w:rPr>
          <w:rFonts w:ascii="宋体" w:hAnsi="宋体"/>
        </w:rPr>
      </w:pPr>
      <w:r>
        <w:rPr>
          <w:rFonts w:ascii="宋体" w:hAnsi="宋体"/>
        </w:rPr>
        <w:t>入窑尾提升机前设有取样器，通过对出库生料的取样、制样分析，来实现对烧成系统的操作指导。</w:t>
      </w:r>
    </w:p>
    <w:p>
      <w:pPr>
        <w:spacing w:line="360" w:lineRule="auto"/>
        <w:ind w:firstLine="420" w:firstLineChars="200"/>
        <w:rPr>
          <w:rFonts w:ascii="宋体" w:hAnsi="宋体"/>
        </w:rPr>
      </w:pPr>
      <w:r>
        <w:rPr>
          <w:rFonts w:ascii="宋体" w:hAnsi="宋体"/>
        </w:rPr>
        <w:t>均化库所用高压空气由罗茨风机提供。</w:t>
      </w:r>
    </w:p>
    <w:p>
      <w:pPr>
        <w:spacing w:line="360" w:lineRule="auto"/>
        <w:ind w:firstLine="420" w:firstLineChars="200"/>
        <w:rPr>
          <w:rFonts w:ascii="宋体" w:hAnsi="宋体"/>
        </w:rPr>
      </w:pPr>
      <w:r>
        <w:rPr>
          <w:rFonts w:hint="eastAsia" w:ascii="宋体" w:hAnsi="宋体"/>
        </w:rPr>
        <w:t>（11）</w:t>
      </w:r>
      <w:r>
        <w:rPr>
          <w:rFonts w:ascii="宋体" w:hAnsi="宋体"/>
        </w:rPr>
        <w:t>窑尾预分解系统</w:t>
      </w:r>
    </w:p>
    <w:p>
      <w:pPr>
        <w:spacing w:line="360" w:lineRule="auto"/>
        <w:ind w:firstLine="420" w:firstLineChars="200"/>
        <w:rPr>
          <w:rFonts w:ascii="宋体" w:hAnsi="宋体"/>
        </w:rPr>
      </w:pPr>
      <w:r>
        <w:rPr>
          <w:rFonts w:ascii="宋体" w:hAnsi="宋体"/>
        </w:rPr>
        <w:t>窑尾采用单列五级旋风预热器和CDC分解炉组成的窑外分解系统。</w:t>
      </w:r>
    </w:p>
    <w:p>
      <w:pPr>
        <w:spacing w:line="360" w:lineRule="auto"/>
        <w:ind w:firstLine="420" w:firstLineChars="200"/>
        <w:rPr>
          <w:rFonts w:ascii="宋体" w:hAnsi="宋体"/>
        </w:rPr>
      </w:pPr>
      <w:r>
        <w:rPr>
          <w:rFonts w:ascii="宋体" w:hAnsi="宋体"/>
        </w:rPr>
        <w:t>来自均化库的合格生料经五级旋风预热器和分解炉预热、预分解后入窑煅烧。出预热器气体经窑尾高温风机排出，进入生料磨作为烘干热源。</w:t>
      </w:r>
    </w:p>
    <w:p>
      <w:pPr>
        <w:spacing w:line="360" w:lineRule="auto"/>
        <w:ind w:firstLine="420" w:firstLineChars="200"/>
        <w:rPr>
          <w:rFonts w:ascii="宋体" w:hAnsi="宋体"/>
        </w:rPr>
      </w:pPr>
      <w:r>
        <w:rPr>
          <w:rFonts w:hint="eastAsia" w:ascii="宋体" w:hAnsi="宋体"/>
        </w:rPr>
        <w:t>（12）</w:t>
      </w:r>
      <w:r>
        <w:rPr>
          <w:rFonts w:ascii="宋体" w:hAnsi="宋体"/>
        </w:rPr>
        <w:t xml:space="preserve"> 烧成窑中及窑头</w:t>
      </w:r>
    </w:p>
    <w:p>
      <w:pPr>
        <w:spacing w:line="360" w:lineRule="auto"/>
        <w:ind w:firstLine="420" w:firstLineChars="200"/>
        <w:rPr>
          <w:rFonts w:ascii="宋体" w:hAnsi="宋体"/>
        </w:rPr>
      </w:pPr>
      <w:r>
        <w:rPr>
          <w:rFonts w:ascii="宋体" w:hAnsi="宋体"/>
        </w:rPr>
        <w:t>生料在预分解系统内预分解后，进入Φ4×60m回转窑内煅烧成熟料。为了达到良好的煅烧操作和保证熟料质量的稳定，窑头煤粉燃烧器采用先进的多通道喷煤管。</w:t>
      </w:r>
    </w:p>
    <w:p>
      <w:pPr>
        <w:spacing w:line="360" w:lineRule="auto"/>
        <w:ind w:firstLine="420" w:firstLineChars="200"/>
        <w:rPr>
          <w:rFonts w:ascii="宋体" w:hAnsi="宋体"/>
        </w:rPr>
      </w:pPr>
      <w:r>
        <w:rPr>
          <w:rFonts w:ascii="宋体" w:hAnsi="宋体"/>
        </w:rPr>
        <w:t>从回转窑进入篦冷机的高温熟料，由篦板下鼓入的冷空气急速冷却，出篦冷机的熟料温度为环境温度+65℃，冷却破碎后的熟料由链斗输送机送入熟料库。</w:t>
      </w:r>
    </w:p>
    <w:p>
      <w:pPr>
        <w:spacing w:line="360" w:lineRule="auto"/>
        <w:ind w:firstLine="420" w:firstLineChars="200"/>
        <w:rPr>
          <w:rFonts w:ascii="宋体" w:hAnsi="宋体"/>
        </w:rPr>
      </w:pPr>
      <w:r>
        <w:rPr>
          <w:rFonts w:ascii="宋体" w:hAnsi="宋体"/>
        </w:rPr>
        <w:t>篦冷机高温废气一部分作为窑用二次空气；另一部分由三次风管送到分解炉作为燃烧空气；再有一部分废气送往煤磨，作为煤粉制备的烘干热源；剩余废气经电尘器收尘后达标排出。电除尘器收下的粉尘经链运机送到熟料链斗机上入熟料库。</w:t>
      </w:r>
    </w:p>
    <w:p>
      <w:pPr>
        <w:spacing w:line="360" w:lineRule="auto"/>
        <w:ind w:firstLine="420" w:firstLineChars="200"/>
        <w:rPr>
          <w:rFonts w:ascii="宋体" w:hAnsi="宋体"/>
        </w:rPr>
      </w:pPr>
      <w:r>
        <w:rPr>
          <w:rFonts w:hint="eastAsia" w:ascii="宋体" w:hAnsi="宋体"/>
        </w:rPr>
        <w:t>（13）</w:t>
      </w:r>
      <w:r>
        <w:rPr>
          <w:rFonts w:ascii="宋体" w:hAnsi="宋体"/>
        </w:rPr>
        <w:t>熟料储存及输送</w:t>
      </w:r>
    </w:p>
    <w:p>
      <w:pPr>
        <w:spacing w:line="360" w:lineRule="auto"/>
        <w:ind w:firstLine="420" w:firstLineChars="200"/>
        <w:rPr>
          <w:rFonts w:ascii="宋体" w:hAnsi="宋体"/>
        </w:rPr>
      </w:pPr>
      <w:r>
        <w:rPr>
          <w:rFonts w:ascii="宋体" w:hAnsi="宋体"/>
        </w:rPr>
        <w:t>经破碎、冷却后的熟料由链斗输送机送入一座Φ26m熟料库中储存。熟料库库侧考虑熟料汽车散装系统，用于散装商品熟料。</w:t>
      </w:r>
    </w:p>
    <w:p>
      <w:pPr>
        <w:spacing w:line="360" w:lineRule="auto"/>
        <w:ind w:firstLine="420" w:firstLineChars="200"/>
        <w:rPr>
          <w:rFonts w:ascii="宋体" w:hAnsi="宋体"/>
        </w:rPr>
      </w:pPr>
      <w:r>
        <w:rPr>
          <w:rFonts w:hint="eastAsia" w:ascii="宋体" w:hAnsi="宋体"/>
        </w:rPr>
        <w:t>（14）</w:t>
      </w:r>
      <w:r>
        <w:rPr>
          <w:rFonts w:ascii="宋体" w:hAnsi="宋体"/>
        </w:rPr>
        <w:t>煤粉制备</w:t>
      </w:r>
    </w:p>
    <w:p>
      <w:pPr>
        <w:spacing w:line="360" w:lineRule="auto"/>
        <w:ind w:firstLine="420" w:firstLineChars="200"/>
        <w:rPr>
          <w:rFonts w:ascii="宋体" w:hAnsi="宋体"/>
        </w:rPr>
      </w:pPr>
      <w:r>
        <w:rPr>
          <w:rFonts w:ascii="宋体" w:hAnsi="宋体"/>
        </w:rPr>
        <w:t>原煤经过磨头原煤仓皮带秤计量，喂入ZGM80立磨进行烘干和粉磨，烘干用热风来自窑头篦冷机废气。出磨煤粉由煤磨专用高浓度防爆袋收尘器收集，收下的煤粉送入两个煤粉仓，煤粉仓下设有计量秤，对煤粉进行计量，计量后的煤粉用罗茨风机分别送入窑头多通道喷煤管及窑尾分解炉燃烧器。出磨废气经袋收尘器收尘净化后的气体达标排出。</w:t>
      </w:r>
    </w:p>
    <w:p>
      <w:pPr>
        <w:spacing w:line="360" w:lineRule="auto"/>
        <w:ind w:firstLine="420" w:firstLineChars="200"/>
        <w:rPr>
          <w:rFonts w:ascii="宋体" w:hAnsi="宋体"/>
        </w:rPr>
      </w:pPr>
      <w:r>
        <w:rPr>
          <w:rFonts w:hint="eastAsia" w:ascii="宋体" w:hAnsi="宋体"/>
        </w:rPr>
        <w:t>（15）</w:t>
      </w:r>
      <w:r>
        <w:rPr>
          <w:rFonts w:ascii="宋体" w:hAnsi="宋体"/>
        </w:rPr>
        <w:t xml:space="preserve"> 混合材输送</w:t>
      </w:r>
    </w:p>
    <w:p>
      <w:pPr>
        <w:spacing w:line="360" w:lineRule="auto"/>
        <w:ind w:firstLine="420" w:firstLineChars="200"/>
        <w:rPr>
          <w:rFonts w:ascii="宋体" w:hAnsi="宋体"/>
        </w:rPr>
      </w:pPr>
      <w:r>
        <w:rPr>
          <w:rFonts w:ascii="宋体" w:hAnsi="宋体"/>
        </w:rPr>
        <w:t>烧煤矸石及高炉渣由汽车分别运输进厂，先卸至堆棚，再由铲车分别运至卸车坑，经皮带机输送至水泥磨头仓经皮带计量秤送入水泥磨粉磨。</w:t>
      </w:r>
    </w:p>
    <w:p>
      <w:pPr>
        <w:spacing w:line="360" w:lineRule="auto"/>
        <w:ind w:firstLine="420" w:firstLineChars="200"/>
        <w:rPr>
          <w:rFonts w:ascii="宋体" w:hAnsi="宋体"/>
        </w:rPr>
      </w:pPr>
      <w:r>
        <w:rPr>
          <w:rFonts w:hint="eastAsia" w:ascii="宋体" w:hAnsi="宋体"/>
        </w:rPr>
        <w:t>（16）</w:t>
      </w:r>
      <w:r>
        <w:rPr>
          <w:rFonts w:ascii="宋体" w:hAnsi="宋体"/>
        </w:rPr>
        <w:t>水泥配料及粉磨</w:t>
      </w:r>
    </w:p>
    <w:p>
      <w:pPr>
        <w:spacing w:line="360" w:lineRule="auto"/>
        <w:ind w:firstLine="420" w:firstLineChars="200"/>
        <w:rPr>
          <w:rFonts w:ascii="宋体" w:hAnsi="宋体"/>
        </w:rPr>
      </w:pPr>
      <w:r>
        <w:rPr>
          <w:rFonts w:ascii="宋体" w:hAnsi="宋体"/>
        </w:rPr>
        <w:t>配料库中的熟料、石膏、烧煤矸石及矿渣分别由配料库底微机配料秤按设定的比例搭配后，由带式输送机送入水泥磨内粉磨。</w:t>
      </w:r>
    </w:p>
    <w:p>
      <w:pPr>
        <w:spacing w:line="360" w:lineRule="auto"/>
        <w:ind w:firstLine="420" w:firstLineChars="200"/>
        <w:rPr>
          <w:rFonts w:ascii="宋体" w:hAnsi="宋体"/>
        </w:rPr>
      </w:pPr>
      <w:r>
        <w:rPr>
          <w:rFonts w:hint="eastAsia" w:ascii="宋体" w:hAnsi="宋体"/>
        </w:rPr>
        <w:t>（17）</w:t>
      </w:r>
      <w:r>
        <w:rPr>
          <w:rFonts w:ascii="宋体" w:hAnsi="宋体"/>
        </w:rPr>
        <w:t>水泥储存及散装</w:t>
      </w:r>
    </w:p>
    <w:p>
      <w:pPr>
        <w:spacing w:line="360" w:lineRule="auto"/>
        <w:ind w:firstLine="420" w:firstLineChars="200"/>
        <w:rPr>
          <w:rFonts w:ascii="宋体" w:hAnsi="宋体"/>
        </w:rPr>
      </w:pPr>
      <w:r>
        <w:rPr>
          <w:rFonts w:ascii="宋体" w:hAnsi="宋体"/>
        </w:rPr>
        <w:t>设4座Φ15m水泥库储存出磨水泥，出库水泥经斜槽，提升机输送至包装系统。库底设汽车散装系统供散装水泥出厂。</w:t>
      </w:r>
    </w:p>
    <w:p>
      <w:pPr>
        <w:spacing w:line="360" w:lineRule="auto"/>
        <w:ind w:firstLine="420" w:firstLineChars="200"/>
        <w:rPr>
          <w:rFonts w:ascii="宋体" w:hAnsi="宋体"/>
        </w:rPr>
      </w:pPr>
      <w:r>
        <w:rPr>
          <w:rFonts w:hint="eastAsia" w:ascii="宋体" w:hAnsi="宋体"/>
        </w:rPr>
        <w:t>（18）</w:t>
      </w:r>
      <w:r>
        <w:rPr>
          <w:rFonts w:ascii="宋体" w:hAnsi="宋体"/>
        </w:rPr>
        <w:t xml:space="preserve"> 水泥包装及成品库</w:t>
      </w:r>
    </w:p>
    <w:p>
      <w:pPr>
        <w:spacing w:line="360" w:lineRule="auto"/>
        <w:ind w:firstLine="420" w:firstLineChars="200"/>
        <w:rPr>
          <w:rFonts w:ascii="宋体" w:hAnsi="宋体"/>
        </w:rPr>
      </w:pPr>
      <w:r>
        <w:rPr>
          <w:rFonts w:ascii="宋体" w:hAnsi="宋体"/>
        </w:rPr>
        <w:t>水泥包装机选用两台回转式八嘴包装机。来自水泥库的水泥由提升机经斜槽送至振动筛，筛去杂物后进入衡压仓，再进入八嘴回转式包装机包装成袋装水泥，由电子秤计量，包装后的水泥用带式输送机送至24×78m成品库内堆放。</w:t>
      </w:r>
    </w:p>
    <w:p>
      <w:pPr>
        <w:spacing w:line="360" w:lineRule="auto"/>
        <w:outlineLvl w:val="2"/>
        <w:rPr>
          <w:rFonts w:hint="eastAsia"/>
          <w:b/>
          <w:bCs/>
          <w:szCs w:val="20"/>
        </w:rPr>
      </w:pPr>
      <w:r>
        <w:rPr>
          <w:rFonts w:hint="eastAsia"/>
          <w:b/>
          <w:bCs/>
          <w:szCs w:val="20"/>
        </w:rPr>
        <w:t>3.2.3物料平衡</w:t>
      </w:r>
      <w:bookmarkEnd w:id="144"/>
      <w:bookmarkEnd w:id="145"/>
      <w:bookmarkEnd w:id="146"/>
      <w:r>
        <w:rPr>
          <w:rFonts w:hint="eastAsia"/>
          <w:b/>
          <w:bCs/>
          <w:szCs w:val="20"/>
        </w:rPr>
        <w:t>、硫平衡</w:t>
      </w:r>
    </w:p>
    <w:p>
      <w:pPr>
        <w:spacing w:line="360" w:lineRule="auto"/>
        <w:ind w:firstLine="420" w:firstLineChars="200"/>
        <w:rPr>
          <w:rFonts w:hint="eastAsia"/>
        </w:rPr>
      </w:pPr>
      <w:r>
        <w:rPr>
          <w:rFonts w:hint="eastAsia"/>
        </w:rPr>
        <w:t>水泥生产物料平衡见表3-11，硫平衡见图3.4。</w:t>
      </w:r>
    </w:p>
    <w:p>
      <w:pPr>
        <w:spacing w:line="480" w:lineRule="exact"/>
        <w:jc w:val="center"/>
        <w:rPr>
          <w:rFonts w:hint="eastAsia" w:ascii="宋体" w:hAnsi="宋体"/>
          <w:b/>
        </w:rPr>
      </w:pPr>
      <w:r>
        <w:rPr>
          <w:rFonts w:hint="eastAsia" w:ascii="宋体" w:hAnsi="宋体"/>
          <w:b/>
        </w:rPr>
        <w:t>表3-11   技改项目水泥生产物料平衡表</w:t>
      </w:r>
    </w:p>
    <w:tbl>
      <w:tblPr>
        <w:tblStyle w:val="20"/>
        <w:tblW w:w="9752" w:type="dxa"/>
        <w:tblInd w:w="-55" w:type="dxa"/>
        <w:tblLayout w:type="fixed"/>
        <w:tblCellMar>
          <w:top w:w="0" w:type="dxa"/>
          <w:left w:w="0" w:type="dxa"/>
          <w:bottom w:w="0" w:type="dxa"/>
          <w:right w:w="0" w:type="dxa"/>
        </w:tblCellMar>
      </w:tblPr>
      <w:tblGrid>
        <w:gridCol w:w="810"/>
        <w:gridCol w:w="890"/>
        <w:gridCol w:w="665"/>
        <w:gridCol w:w="670"/>
        <w:gridCol w:w="840"/>
        <w:gridCol w:w="800"/>
        <w:gridCol w:w="710"/>
        <w:gridCol w:w="810"/>
        <w:gridCol w:w="975"/>
        <w:gridCol w:w="765"/>
        <w:gridCol w:w="690"/>
        <w:gridCol w:w="1127"/>
      </w:tblGrid>
      <w:tr>
        <w:tblPrEx>
          <w:tblCellMar>
            <w:top w:w="0" w:type="dxa"/>
            <w:left w:w="0" w:type="dxa"/>
            <w:bottom w:w="0" w:type="dxa"/>
            <w:right w:w="0" w:type="dxa"/>
          </w:tblCellMar>
        </w:tblPrEx>
        <w:trPr>
          <w:cantSplit/>
          <w:trHeight w:val="379" w:hRule="atLeast"/>
        </w:trPr>
        <w:tc>
          <w:tcPr>
            <w:tcW w:w="1700" w:type="dxa"/>
            <w:gridSpan w:val="2"/>
            <w:vMerge w:val="restart"/>
            <w:tcBorders>
              <w:top w:val="single" w:color="auto" w:sz="4" w:space="0"/>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物料名称</w:t>
            </w:r>
          </w:p>
        </w:tc>
        <w:tc>
          <w:tcPr>
            <w:tcW w:w="665" w:type="dxa"/>
            <w:vMerge w:val="restart"/>
            <w:tcBorders>
              <w:top w:val="single" w:color="auto" w:sz="4" w:space="0"/>
              <w:left w:val="nil"/>
              <w:right w:val="single" w:color="auto" w:sz="4" w:space="0"/>
            </w:tcBorders>
            <w:noWrap/>
            <w:vAlign w:val="center"/>
          </w:tcPr>
          <w:p>
            <w:pPr>
              <w:jc w:val="center"/>
              <w:rPr>
                <w:rFonts w:ascii="宋体" w:hAnsi="宋体"/>
                <w:sz w:val="21"/>
                <w:szCs w:val="21"/>
              </w:rPr>
            </w:pPr>
            <w:r>
              <w:rPr>
                <w:rFonts w:ascii="宋体" w:hAnsi="宋体"/>
                <w:sz w:val="21"/>
                <w:szCs w:val="21"/>
              </w:rPr>
              <w:t>天然水分（%）</w:t>
            </w:r>
          </w:p>
        </w:tc>
        <w:tc>
          <w:tcPr>
            <w:tcW w:w="670" w:type="dxa"/>
            <w:vMerge w:val="restart"/>
            <w:tcBorders>
              <w:top w:val="single" w:color="auto" w:sz="4" w:space="0"/>
              <w:left w:val="nil"/>
              <w:right w:val="single" w:color="auto" w:sz="4" w:space="0"/>
            </w:tcBorders>
            <w:noWrap/>
            <w:vAlign w:val="center"/>
          </w:tcPr>
          <w:p>
            <w:pPr>
              <w:jc w:val="center"/>
              <w:rPr>
                <w:rFonts w:ascii="宋体" w:hAnsi="宋体"/>
                <w:sz w:val="21"/>
                <w:szCs w:val="21"/>
              </w:rPr>
            </w:pPr>
            <w:r>
              <w:rPr>
                <w:rFonts w:ascii="宋体" w:hAnsi="宋体"/>
                <w:sz w:val="21"/>
                <w:szCs w:val="21"/>
              </w:rPr>
              <w:t>配合比</w:t>
            </w:r>
          </w:p>
          <w:p>
            <w:pPr>
              <w:jc w:val="center"/>
              <w:rPr>
                <w:rFonts w:ascii="宋体" w:hAnsi="宋体"/>
                <w:sz w:val="21"/>
                <w:szCs w:val="21"/>
              </w:rPr>
            </w:pPr>
            <w:r>
              <w:rPr>
                <w:rFonts w:ascii="宋体" w:hAnsi="宋体"/>
                <w:sz w:val="21"/>
                <w:szCs w:val="21"/>
              </w:rPr>
              <w:t>（%）</w:t>
            </w:r>
          </w:p>
        </w:tc>
        <w:tc>
          <w:tcPr>
            <w:tcW w:w="1640" w:type="dxa"/>
            <w:gridSpan w:val="2"/>
            <w:vMerge w:val="restart"/>
            <w:tcBorders>
              <w:top w:val="single" w:color="auto" w:sz="4" w:space="0"/>
              <w:left w:val="nil"/>
              <w:right w:val="single" w:color="auto" w:sz="4" w:space="0"/>
            </w:tcBorders>
            <w:noWrap/>
            <w:vAlign w:val="center"/>
          </w:tcPr>
          <w:p>
            <w:pPr>
              <w:jc w:val="center"/>
              <w:rPr>
                <w:rFonts w:ascii="宋体" w:hAnsi="宋体"/>
                <w:sz w:val="21"/>
                <w:szCs w:val="21"/>
              </w:rPr>
            </w:pPr>
            <w:r>
              <w:rPr>
                <w:rFonts w:ascii="宋体" w:hAnsi="宋体"/>
                <w:sz w:val="21"/>
                <w:szCs w:val="21"/>
              </w:rPr>
              <w:t>每吨熟料消耗定额</w:t>
            </w:r>
          </w:p>
          <w:p>
            <w:pPr>
              <w:jc w:val="center"/>
              <w:rPr>
                <w:rFonts w:ascii="宋体" w:hAnsi="宋体"/>
                <w:sz w:val="21"/>
                <w:szCs w:val="21"/>
              </w:rPr>
            </w:pPr>
            <w:r>
              <w:rPr>
                <w:rFonts w:ascii="宋体" w:hAnsi="宋体"/>
                <w:sz w:val="21"/>
                <w:szCs w:val="21"/>
              </w:rPr>
              <w:t>（千克/吨熟料）</w:t>
            </w:r>
          </w:p>
        </w:tc>
        <w:tc>
          <w:tcPr>
            <w:tcW w:w="5077" w:type="dxa"/>
            <w:gridSpan w:val="6"/>
            <w:tcBorders>
              <w:top w:val="single" w:color="auto" w:sz="4" w:space="0"/>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物料平衡量（t）</w:t>
            </w:r>
          </w:p>
        </w:tc>
      </w:tr>
      <w:tr>
        <w:tblPrEx>
          <w:tblCellMar>
            <w:top w:w="0" w:type="dxa"/>
            <w:left w:w="0" w:type="dxa"/>
            <w:bottom w:w="0" w:type="dxa"/>
            <w:right w:w="0" w:type="dxa"/>
          </w:tblCellMar>
        </w:tblPrEx>
        <w:trPr>
          <w:cantSplit/>
          <w:trHeight w:val="455" w:hRule="atLeast"/>
        </w:trPr>
        <w:tc>
          <w:tcPr>
            <w:tcW w:w="170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rPr>
            </w:pPr>
          </w:p>
        </w:tc>
        <w:tc>
          <w:tcPr>
            <w:tcW w:w="665" w:type="dxa"/>
            <w:vMerge w:val="continue"/>
            <w:tcBorders>
              <w:left w:val="nil"/>
              <w:right w:val="single" w:color="auto" w:sz="4" w:space="0"/>
            </w:tcBorders>
            <w:noWrap/>
            <w:vAlign w:val="center"/>
          </w:tcPr>
          <w:p>
            <w:pPr>
              <w:jc w:val="center"/>
              <w:rPr>
                <w:rFonts w:ascii="宋体" w:hAnsi="宋体"/>
                <w:sz w:val="21"/>
                <w:szCs w:val="21"/>
              </w:rPr>
            </w:pPr>
          </w:p>
        </w:tc>
        <w:tc>
          <w:tcPr>
            <w:tcW w:w="670" w:type="dxa"/>
            <w:vMerge w:val="continue"/>
            <w:tcBorders>
              <w:left w:val="nil"/>
              <w:right w:val="single" w:color="auto" w:sz="4" w:space="0"/>
            </w:tcBorders>
            <w:noWrap/>
            <w:vAlign w:val="center"/>
          </w:tcPr>
          <w:p>
            <w:pPr>
              <w:jc w:val="center"/>
              <w:rPr>
                <w:rFonts w:ascii="宋体" w:hAnsi="宋体"/>
                <w:sz w:val="21"/>
                <w:szCs w:val="21"/>
              </w:rPr>
            </w:pPr>
          </w:p>
        </w:tc>
        <w:tc>
          <w:tcPr>
            <w:tcW w:w="1640" w:type="dxa"/>
            <w:gridSpan w:val="2"/>
            <w:vMerge w:val="continue"/>
            <w:tcBorders>
              <w:left w:val="nil"/>
              <w:bottom w:val="single" w:color="auto" w:sz="4" w:space="0"/>
              <w:right w:val="single" w:color="auto" w:sz="4" w:space="0"/>
            </w:tcBorders>
            <w:noWrap/>
            <w:vAlign w:val="center"/>
          </w:tcPr>
          <w:p>
            <w:pPr>
              <w:jc w:val="center"/>
              <w:rPr>
                <w:rFonts w:ascii="宋体" w:hAnsi="宋体"/>
                <w:sz w:val="21"/>
                <w:szCs w:val="21"/>
              </w:rPr>
            </w:pPr>
          </w:p>
        </w:tc>
        <w:tc>
          <w:tcPr>
            <w:tcW w:w="2495"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干基物料</w:t>
            </w:r>
          </w:p>
        </w:tc>
        <w:tc>
          <w:tcPr>
            <w:tcW w:w="2582" w:type="dxa"/>
            <w:gridSpan w:val="3"/>
            <w:tcBorders>
              <w:top w:val="single" w:color="auto" w:sz="4" w:space="0"/>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含天然水分物料</w:t>
            </w:r>
          </w:p>
        </w:tc>
      </w:tr>
      <w:tr>
        <w:tblPrEx>
          <w:tblCellMar>
            <w:top w:w="0" w:type="dxa"/>
            <w:left w:w="0" w:type="dxa"/>
            <w:bottom w:w="0" w:type="dxa"/>
            <w:right w:w="0" w:type="dxa"/>
          </w:tblCellMar>
        </w:tblPrEx>
        <w:trPr>
          <w:cantSplit/>
          <w:trHeight w:val="458" w:hRule="atLeast"/>
        </w:trPr>
        <w:tc>
          <w:tcPr>
            <w:tcW w:w="1700"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 w:val="21"/>
                <w:szCs w:val="21"/>
              </w:rPr>
            </w:pPr>
          </w:p>
        </w:tc>
        <w:tc>
          <w:tcPr>
            <w:tcW w:w="665" w:type="dxa"/>
            <w:vMerge w:val="continue"/>
            <w:tcBorders>
              <w:left w:val="nil"/>
              <w:bottom w:val="single" w:color="auto" w:sz="4" w:space="0"/>
              <w:right w:val="single" w:color="auto" w:sz="4" w:space="0"/>
            </w:tcBorders>
            <w:noWrap/>
            <w:vAlign w:val="center"/>
          </w:tcPr>
          <w:p>
            <w:pPr>
              <w:jc w:val="center"/>
              <w:rPr>
                <w:rFonts w:ascii="宋体" w:hAnsi="宋体"/>
                <w:sz w:val="21"/>
                <w:szCs w:val="21"/>
              </w:rPr>
            </w:pPr>
          </w:p>
        </w:tc>
        <w:tc>
          <w:tcPr>
            <w:tcW w:w="670" w:type="dxa"/>
            <w:vMerge w:val="continue"/>
            <w:tcBorders>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干基</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湿基</w:t>
            </w: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每小时</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每天</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每年</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每小时</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每天</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每年</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石灰石</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w:t>
            </w: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85.67</w:t>
            </w: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1301.30</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1314.44</w:t>
            </w: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135.56</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3253</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1008430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136.92</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3286</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1018660</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砂岩</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w:t>
            </w: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5.67</w:t>
            </w: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86.04</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86.90</w:t>
            </w: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8.97</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215</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66650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9.0</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216</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66960</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煤矸石</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5</w:t>
            </w: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7.44</w:t>
            </w: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112.89</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118.83</w:t>
            </w: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11.78</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283</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87730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12.37</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296.9</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92039</w:t>
            </w:r>
          </w:p>
        </w:tc>
      </w:tr>
      <w:tr>
        <w:tblPrEx>
          <w:tblCellMar>
            <w:top w:w="0" w:type="dxa"/>
            <w:left w:w="0" w:type="dxa"/>
            <w:bottom w:w="0" w:type="dxa"/>
            <w:right w:w="0" w:type="dxa"/>
          </w:tblCellMar>
        </w:tblPrEx>
        <w:trPr>
          <w:trHeight w:val="260"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硫酸渣</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18</w:t>
            </w: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1.13</w:t>
            </w: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17.15</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20.91</w:t>
            </w: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1.80</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43</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13330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2.13</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51.12</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15847</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生料</w:t>
            </w: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生料</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1517.37</w:t>
            </w: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158.11</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3795</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1176140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160.42</w:t>
            </w: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3850</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11935246</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熟料</w:t>
            </w: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熟料</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104.17</w:t>
            </w: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2500</w:t>
            </w: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775000</w:t>
            </w: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90" w:type="dxa"/>
            <w:tcBorders>
              <w:top w:val="nil"/>
              <w:left w:val="nil"/>
              <w:bottom w:val="single" w:color="auto" w:sz="4" w:space="0"/>
              <w:right w:val="nil"/>
            </w:tcBorders>
            <w:noWrap/>
            <w:vAlign w:val="center"/>
          </w:tcPr>
          <w:p>
            <w:pPr>
              <w:jc w:val="center"/>
              <w:rPr>
                <w:rFonts w:ascii="宋体" w:hAnsi="宋体"/>
                <w:sz w:val="21"/>
                <w:szCs w:val="21"/>
              </w:rPr>
            </w:pP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燃料</w:t>
            </w: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煤</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8</w:t>
            </w:r>
          </w:p>
        </w:tc>
        <w:tc>
          <w:tcPr>
            <w:tcW w:w="670" w:type="dxa"/>
            <w:tcBorders>
              <w:top w:val="nil"/>
              <w:left w:val="nil"/>
              <w:bottom w:val="single" w:color="auto" w:sz="4" w:space="0"/>
              <w:right w:val="single" w:color="auto" w:sz="4" w:space="0"/>
            </w:tcBorders>
            <w:noWrap/>
            <w:vAlign w:val="center"/>
          </w:tcPr>
          <w:p>
            <w:pPr>
              <w:spacing w:line="560" w:lineRule="exact"/>
              <w:jc w:val="center"/>
              <w:rPr>
                <w:b/>
                <w:szCs w:val="21"/>
              </w:rPr>
            </w:pPr>
          </w:p>
        </w:tc>
        <w:tc>
          <w:tcPr>
            <w:tcW w:w="840" w:type="dxa"/>
            <w:tcBorders>
              <w:top w:val="nil"/>
              <w:left w:val="nil"/>
              <w:bottom w:val="single" w:color="auto" w:sz="4" w:space="0"/>
              <w:right w:val="single" w:color="auto" w:sz="4" w:space="0"/>
            </w:tcBorders>
            <w:noWrap/>
            <w:vAlign w:val="center"/>
          </w:tcPr>
          <w:p>
            <w:pPr>
              <w:jc w:val="center"/>
              <w:rPr>
                <w:rFonts w:hint="eastAsia"/>
                <w:sz w:val="21"/>
                <w:szCs w:val="21"/>
              </w:rPr>
            </w:pPr>
            <w:r>
              <w:rPr>
                <w:rFonts w:hint="eastAsia" w:ascii="宋体" w:hAnsi="宋体"/>
                <w:sz w:val="21"/>
                <w:szCs w:val="21"/>
              </w:rPr>
              <w:t>140</w:t>
            </w:r>
            <w:r>
              <w:rPr>
                <w:rFonts w:hint="eastAsia"/>
                <w:sz w:val="21"/>
                <w:szCs w:val="21"/>
              </w:rPr>
              <w:t>.8</w:t>
            </w:r>
          </w:p>
        </w:tc>
        <w:tc>
          <w:tcPr>
            <w:tcW w:w="800" w:type="dxa"/>
            <w:tcBorders>
              <w:top w:val="nil"/>
              <w:left w:val="nil"/>
              <w:bottom w:val="single" w:color="auto" w:sz="4" w:space="0"/>
              <w:right w:val="single" w:color="auto" w:sz="4" w:space="0"/>
            </w:tcBorders>
            <w:noWrap/>
            <w:vAlign w:val="center"/>
          </w:tcPr>
          <w:p>
            <w:pPr>
              <w:spacing w:line="560" w:lineRule="exact"/>
              <w:jc w:val="center"/>
              <w:rPr>
                <w:rFonts w:hint="eastAsia"/>
                <w:sz w:val="21"/>
                <w:szCs w:val="21"/>
              </w:rPr>
            </w:pPr>
            <w:r>
              <w:rPr>
                <w:rFonts w:hint="eastAsia"/>
                <w:sz w:val="21"/>
                <w:szCs w:val="21"/>
              </w:rPr>
              <w:t>153.1</w:t>
            </w:r>
          </w:p>
        </w:tc>
        <w:tc>
          <w:tcPr>
            <w:tcW w:w="710" w:type="dxa"/>
            <w:tcBorders>
              <w:top w:val="nil"/>
              <w:left w:val="nil"/>
              <w:bottom w:val="single" w:color="auto" w:sz="4" w:space="0"/>
              <w:right w:val="single" w:color="auto" w:sz="4" w:space="0"/>
            </w:tcBorders>
            <w:noWrap/>
            <w:vAlign w:val="center"/>
          </w:tcPr>
          <w:p>
            <w:pPr>
              <w:spacing w:line="560" w:lineRule="exact"/>
              <w:jc w:val="center"/>
              <w:rPr>
                <w:rFonts w:hint="eastAsia"/>
                <w:sz w:val="21"/>
                <w:szCs w:val="21"/>
              </w:rPr>
            </w:pPr>
            <w:r>
              <w:rPr>
                <w:sz w:val="21"/>
                <w:szCs w:val="21"/>
              </w:rPr>
              <w:t>1</w:t>
            </w:r>
            <w:r>
              <w:rPr>
                <w:rFonts w:hint="eastAsia"/>
                <w:sz w:val="21"/>
                <w:szCs w:val="21"/>
              </w:rPr>
              <w:t>4.67</w:t>
            </w:r>
          </w:p>
        </w:tc>
        <w:tc>
          <w:tcPr>
            <w:tcW w:w="810" w:type="dxa"/>
            <w:tcBorders>
              <w:top w:val="nil"/>
              <w:left w:val="nil"/>
              <w:bottom w:val="single" w:color="auto" w:sz="4" w:space="0"/>
              <w:right w:val="single" w:color="auto" w:sz="4" w:space="0"/>
            </w:tcBorders>
            <w:noWrap/>
            <w:vAlign w:val="center"/>
          </w:tcPr>
          <w:p>
            <w:pPr>
              <w:spacing w:line="560" w:lineRule="exact"/>
              <w:jc w:val="center"/>
              <w:rPr>
                <w:rFonts w:hint="eastAsia"/>
                <w:sz w:val="21"/>
                <w:szCs w:val="21"/>
              </w:rPr>
            </w:pPr>
            <w:r>
              <w:rPr>
                <w:sz w:val="21"/>
                <w:szCs w:val="21"/>
              </w:rPr>
              <w:t>3</w:t>
            </w:r>
            <w:r>
              <w:rPr>
                <w:rFonts w:hint="eastAsia"/>
                <w:sz w:val="21"/>
                <w:szCs w:val="21"/>
              </w:rPr>
              <w:t>52.07</w:t>
            </w:r>
          </w:p>
        </w:tc>
        <w:tc>
          <w:tcPr>
            <w:tcW w:w="975" w:type="dxa"/>
            <w:tcBorders>
              <w:top w:val="nil"/>
              <w:left w:val="nil"/>
              <w:bottom w:val="single" w:color="auto" w:sz="4" w:space="0"/>
              <w:right w:val="single" w:color="auto" w:sz="4" w:space="0"/>
            </w:tcBorders>
            <w:noWrap/>
            <w:vAlign w:val="center"/>
          </w:tcPr>
          <w:p>
            <w:pPr>
              <w:spacing w:line="560" w:lineRule="exact"/>
              <w:jc w:val="center"/>
              <w:rPr>
                <w:rFonts w:hint="eastAsia"/>
                <w:sz w:val="21"/>
                <w:szCs w:val="21"/>
              </w:rPr>
            </w:pPr>
            <w:r>
              <w:rPr>
                <w:rFonts w:hint="eastAsia"/>
                <w:sz w:val="21"/>
                <w:szCs w:val="21"/>
              </w:rPr>
              <w:t>109142</w:t>
            </w:r>
          </w:p>
        </w:tc>
        <w:tc>
          <w:tcPr>
            <w:tcW w:w="765" w:type="dxa"/>
            <w:tcBorders>
              <w:top w:val="nil"/>
              <w:left w:val="nil"/>
              <w:bottom w:val="single" w:color="auto" w:sz="4" w:space="0"/>
              <w:right w:val="single" w:color="auto" w:sz="4" w:space="0"/>
            </w:tcBorders>
            <w:noWrap/>
            <w:vAlign w:val="center"/>
          </w:tcPr>
          <w:p>
            <w:pPr>
              <w:spacing w:line="560" w:lineRule="exact"/>
              <w:jc w:val="center"/>
              <w:rPr>
                <w:rFonts w:hint="eastAsia"/>
                <w:sz w:val="21"/>
                <w:szCs w:val="21"/>
              </w:rPr>
            </w:pPr>
            <w:r>
              <w:rPr>
                <w:sz w:val="21"/>
                <w:szCs w:val="21"/>
              </w:rPr>
              <w:t>1</w:t>
            </w:r>
            <w:r>
              <w:rPr>
                <w:rFonts w:hint="eastAsia"/>
                <w:sz w:val="21"/>
                <w:szCs w:val="21"/>
              </w:rPr>
              <w:t>5.94</w:t>
            </w:r>
          </w:p>
        </w:tc>
        <w:tc>
          <w:tcPr>
            <w:tcW w:w="690" w:type="dxa"/>
            <w:tcBorders>
              <w:top w:val="nil"/>
              <w:left w:val="nil"/>
              <w:bottom w:val="single" w:color="auto" w:sz="4" w:space="0"/>
              <w:right w:val="nil"/>
            </w:tcBorders>
            <w:noWrap/>
            <w:vAlign w:val="center"/>
          </w:tcPr>
          <w:p>
            <w:pPr>
              <w:spacing w:line="560" w:lineRule="exact"/>
              <w:jc w:val="center"/>
              <w:rPr>
                <w:rFonts w:hint="eastAsia"/>
                <w:sz w:val="21"/>
                <w:szCs w:val="21"/>
              </w:rPr>
            </w:pPr>
            <w:r>
              <w:rPr>
                <w:sz w:val="21"/>
                <w:szCs w:val="21"/>
              </w:rPr>
              <w:t>3</w:t>
            </w:r>
            <w:r>
              <w:rPr>
                <w:rFonts w:hint="eastAsia"/>
                <w:sz w:val="21"/>
                <w:szCs w:val="21"/>
              </w:rPr>
              <w:t>82.68</w:t>
            </w:r>
          </w:p>
        </w:tc>
        <w:tc>
          <w:tcPr>
            <w:tcW w:w="1127" w:type="dxa"/>
            <w:tcBorders>
              <w:top w:val="nil"/>
              <w:left w:val="single" w:color="auto" w:sz="4" w:space="0"/>
              <w:bottom w:val="single" w:color="auto" w:sz="4" w:space="0"/>
              <w:right w:val="single" w:color="auto" w:sz="4" w:space="0"/>
            </w:tcBorders>
            <w:noWrap/>
            <w:vAlign w:val="center"/>
          </w:tcPr>
          <w:p>
            <w:pPr>
              <w:spacing w:line="560" w:lineRule="exact"/>
              <w:jc w:val="center"/>
              <w:rPr>
                <w:rFonts w:hint="eastAsia"/>
                <w:sz w:val="21"/>
                <w:szCs w:val="21"/>
              </w:rPr>
            </w:pPr>
            <w:r>
              <w:rPr>
                <w:sz w:val="21"/>
                <w:szCs w:val="21"/>
              </w:rPr>
              <w:t>1</w:t>
            </w:r>
            <w:r>
              <w:rPr>
                <w:rFonts w:hint="eastAsia"/>
                <w:sz w:val="21"/>
                <w:szCs w:val="21"/>
              </w:rPr>
              <w:t>16255</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熟料</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2500</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775000</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石膏</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120</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37200</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混合材</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610</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189100</w:t>
            </w:r>
          </w:p>
        </w:tc>
      </w:tr>
      <w:tr>
        <w:tblPrEx>
          <w:tblCellMar>
            <w:top w:w="0" w:type="dxa"/>
            <w:left w:w="0" w:type="dxa"/>
            <w:bottom w:w="0" w:type="dxa"/>
            <w:right w:w="0" w:type="dxa"/>
          </w:tblCellMar>
        </w:tblPrEx>
        <w:trPr>
          <w:trHeight w:val="402" w:hRule="atLeast"/>
        </w:trPr>
        <w:tc>
          <w:tcPr>
            <w:tcW w:w="810"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水泥</w:t>
            </w:r>
          </w:p>
        </w:tc>
        <w:tc>
          <w:tcPr>
            <w:tcW w:w="890" w:type="dxa"/>
            <w:tcBorders>
              <w:top w:val="nil"/>
              <w:left w:val="nil"/>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水泥</w:t>
            </w:r>
          </w:p>
        </w:tc>
        <w:tc>
          <w:tcPr>
            <w:tcW w:w="6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7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4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0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810"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97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765" w:type="dxa"/>
            <w:tcBorders>
              <w:top w:val="nil"/>
              <w:left w:val="nil"/>
              <w:bottom w:val="single" w:color="auto" w:sz="4" w:space="0"/>
              <w:right w:val="single" w:color="auto" w:sz="4" w:space="0"/>
            </w:tcBorders>
            <w:noWrap/>
            <w:vAlign w:val="center"/>
          </w:tcPr>
          <w:p>
            <w:pPr>
              <w:jc w:val="center"/>
              <w:rPr>
                <w:rFonts w:ascii="宋体" w:hAnsi="宋体"/>
                <w:sz w:val="21"/>
                <w:szCs w:val="21"/>
              </w:rPr>
            </w:pPr>
          </w:p>
        </w:tc>
        <w:tc>
          <w:tcPr>
            <w:tcW w:w="690" w:type="dxa"/>
            <w:tcBorders>
              <w:top w:val="nil"/>
              <w:left w:val="nil"/>
              <w:bottom w:val="single" w:color="auto" w:sz="4" w:space="0"/>
              <w:right w:val="nil"/>
            </w:tcBorders>
            <w:noWrap/>
            <w:vAlign w:val="center"/>
          </w:tcPr>
          <w:p>
            <w:pPr>
              <w:jc w:val="center"/>
              <w:rPr>
                <w:rFonts w:ascii="宋体" w:hAnsi="宋体"/>
                <w:sz w:val="21"/>
                <w:szCs w:val="21"/>
              </w:rPr>
            </w:pPr>
            <w:r>
              <w:rPr>
                <w:rFonts w:ascii="宋体" w:hAnsi="宋体"/>
                <w:sz w:val="21"/>
                <w:szCs w:val="21"/>
              </w:rPr>
              <w:t>3230</w:t>
            </w:r>
          </w:p>
        </w:tc>
        <w:tc>
          <w:tcPr>
            <w:tcW w:w="1127" w:type="dxa"/>
            <w:tcBorders>
              <w:top w:val="nil"/>
              <w:left w:val="single" w:color="auto" w:sz="4" w:space="0"/>
              <w:bottom w:val="single" w:color="auto" w:sz="4" w:space="0"/>
              <w:right w:val="single" w:color="auto" w:sz="4" w:space="0"/>
            </w:tcBorders>
            <w:noWrap/>
            <w:vAlign w:val="center"/>
          </w:tcPr>
          <w:p>
            <w:pPr>
              <w:jc w:val="center"/>
              <w:rPr>
                <w:rFonts w:ascii="宋体" w:hAnsi="宋体"/>
                <w:sz w:val="21"/>
                <w:szCs w:val="21"/>
              </w:rPr>
            </w:pPr>
            <w:r>
              <w:rPr>
                <w:rFonts w:ascii="宋体" w:hAnsi="宋体"/>
                <w:sz w:val="21"/>
                <w:szCs w:val="21"/>
              </w:rPr>
              <w:t>1001300</w:t>
            </w:r>
          </w:p>
        </w:tc>
      </w:tr>
    </w:tbl>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0" w:firstLineChars="200"/>
        <w:rPr>
          <w:rFonts w:hint="eastAsia"/>
        </w:rPr>
      </w:pPr>
    </w:p>
    <w:p>
      <w:pPr>
        <w:pStyle w:val="27"/>
        <w:widowControl w:val="0"/>
        <w:spacing w:before="0" w:beforeAutospacing="0" w:after="0" w:afterAutospacing="0" w:line="480" w:lineRule="exact"/>
        <w:rPr>
          <w:kern w:val="2"/>
        </w:rPr>
      </w:pPr>
      <w: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99060</wp:posOffset>
                </wp:positionV>
                <wp:extent cx="2136775" cy="312420"/>
                <wp:effectExtent l="4445" t="4445" r="11430" b="6985"/>
                <wp:wrapNone/>
                <wp:docPr id="251" name="矩形 251"/>
                <wp:cNvGraphicFramePr/>
                <a:graphic xmlns:a="http://schemas.openxmlformats.org/drawingml/2006/main">
                  <a:graphicData uri="http://schemas.microsoft.com/office/word/2010/wordprocessingShape">
                    <wps:wsp>
                      <wps:cNvSpPr/>
                      <wps:spPr>
                        <a:xfrm>
                          <a:off x="0" y="0"/>
                          <a:ext cx="2136775" cy="312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sz w:val="21"/>
                                <w:szCs w:val="21"/>
                              </w:rPr>
                              <w:t>石灰石、煤矸石、砂岩、硫酸渣</w:t>
                            </w:r>
                          </w:p>
                        </w:txbxContent>
                      </wps:txbx>
                      <wps:bodyPr upright="1"/>
                    </wps:wsp>
                  </a:graphicData>
                </a:graphic>
              </wp:anchor>
            </w:drawing>
          </mc:Choice>
          <mc:Fallback>
            <w:pict>
              <v:rect id="_x0000_s1026" o:spid="_x0000_s1026" o:spt="1" style="position:absolute;left:0pt;margin-left:153pt;margin-top:7.8pt;height:24.6pt;width:168.25pt;z-index:251762688;mso-width-relative:page;mso-height-relative:page;" fillcolor="#FFFFFF" filled="t" stroked="t" coordsize="21600,21600" o:gfxdata="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IMp&#10;c9cAAAAJAQAADwAAAAAAAAABACAAAAAiAAAAZHJzL2Rvd25yZXYueG1sUEsBAhQAFAAAAAgAh07i&#10;QJWTTz3qAQAA3wMAAA4AAAAAAAAAAQAgAAAAJgEAAGRycy9lMm9Eb2MueG1sUEsFBgAAAAAGAAYA&#10;WQEAAIIFAAAAAA==&#10;">
                <v:fill on="t" focussize="0,0"/>
                <v:stroke color="#000000" joinstyle="miter"/>
                <v:imagedata o:title=""/>
                <o:lock v:ext="edit" aspectratio="f"/>
                <v:textbox>
                  <w:txbxContent>
                    <w:p>
                      <w:pPr>
                        <w:rPr>
                          <w:rFonts w:hint="eastAsia"/>
                        </w:rPr>
                      </w:pPr>
                      <w:r>
                        <w:rPr>
                          <w:rFonts w:hint="eastAsia"/>
                          <w:sz w:val="21"/>
                          <w:szCs w:val="21"/>
                        </w:rPr>
                        <w:t>石灰石、煤矸石、砂岩、硫酸渣</w:t>
                      </w:r>
                    </w:p>
                  </w:txbxContent>
                </v:textbox>
              </v:rect>
            </w:pict>
          </mc:Fallback>
        </mc:AlternateContent>
      </w:r>
      <w:r>
        <w:rPr>
          <w:kern w:val="2"/>
        </w:rPr>
        <w:t xml:space="preserve">                                      </w:t>
      </w:r>
    </w:p>
    <w:p>
      <w:pPr>
        <w:pStyle w:val="27"/>
        <w:widowControl w:val="0"/>
        <w:spacing w:before="0" w:beforeAutospacing="0" w:after="0" w:afterAutospacing="0" w:line="480" w:lineRule="exact"/>
      </w:pPr>
      <w:r>
        <w:rPr>
          <w:b/>
          <w:bCs/>
        </w:rPr>
        <mc:AlternateContent>
          <mc:Choice Requires="wps">
            <w:drawing>
              <wp:anchor distT="0" distB="0" distL="114300" distR="114300" simplePos="0" relativeHeight="251773952" behindDoc="0" locked="0" layoutInCell="1" allowOverlap="1">
                <wp:simplePos x="0" y="0"/>
                <wp:positionH relativeFrom="column">
                  <wp:posOffset>2857500</wp:posOffset>
                </wp:positionH>
                <wp:positionV relativeFrom="paragraph">
                  <wp:posOffset>114300</wp:posOffset>
                </wp:positionV>
                <wp:extent cx="6350" cy="662940"/>
                <wp:effectExtent l="37465" t="0" r="32385" b="3810"/>
                <wp:wrapNone/>
                <wp:docPr id="265" name="直接连接符 265"/>
                <wp:cNvGraphicFramePr/>
                <a:graphic xmlns:a="http://schemas.openxmlformats.org/drawingml/2006/main">
                  <a:graphicData uri="http://schemas.microsoft.com/office/word/2010/wordprocessingShape">
                    <wps:wsp>
                      <wps:cNvCnPr/>
                      <wps:spPr>
                        <a:xfrm flipH="1">
                          <a:off x="0" y="0"/>
                          <a:ext cx="6350" cy="662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pt;margin-top:9pt;height:52.2pt;width:0.5pt;z-index:251773952;mso-width-relative:page;mso-height-relative:page;" filled="f" stroked="t" coordsize="21600,21600" o:gfxdata="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P4U191wAAAAoBAAAPAAAAAAAAAAEAIAAAACIAAABkcnMvZG93bnJldi54bWxQSwECFAAUAAAA&#10;CACHTuJAMttF8u8BAACqAwAADgAAAAAAAAABACAAAAAmAQAAZHJzL2Uyb0RvYy54bWxQSwUGAAAA&#10;AAYABgBZAQAAhwUAAAAA&#10;">
                <v:fill on="f" focussize="0,0"/>
                <v:stroke color="#000000" joinstyle="round" endarrow="block"/>
                <v:imagedata o:title=""/>
                <o:lock v:ext="edit" aspectratio="f"/>
              </v:line>
            </w:pict>
          </mc:Fallback>
        </mc:AlternateContent>
      </w:r>
      <w:r>
        <w:rPr>
          <w:b/>
          <w:bCs/>
        </w:rPr>
        <mc:AlternateContent>
          <mc:Choice Requires="wps">
            <w:drawing>
              <wp:anchor distT="0" distB="0" distL="114300" distR="114300" simplePos="0" relativeHeight="251770880" behindDoc="0" locked="0" layoutInCell="1" allowOverlap="1">
                <wp:simplePos x="0" y="0"/>
                <wp:positionH relativeFrom="column">
                  <wp:posOffset>2857500</wp:posOffset>
                </wp:positionH>
                <wp:positionV relativeFrom="paragraph">
                  <wp:posOffset>294640</wp:posOffset>
                </wp:positionV>
                <wp:extent cx="719455" cy="260985"/>
                <wp:effectExtent l="0" t="0" r="0" b="0"/>
                <wp:wrapNone/>
                <wp:docPr id="239" name="矩形 239"/>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746.24</w:t>
                            </w:r>
                          </w:p>
                        </w:txbxContent>
                      </wps:txbx>
                      <wps:bodyPr upright="1"/>
                    </wps:wsp>
                  </a:graphicData>
                </a:graphic>
              </wp:anchor>
            </w:drawing>
          </mc:Choice>
          <mc:Fallback>
            <w:pict>
              <v:rect id="_x0000_s1026" o:spid="_x0000_s1026" o:spt="1" style="position:absolute;left:0pt;margin-left:225pt;margin-top:23.2pt;height:20.55pt;width:56.65pt;z-index:251770880;mso-width-relative:page;mso-height-relative:page;" fillcolor="#FFFFFF" filled="t" stroked="f" coordsize="21600,21600" o:gfxdata="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T4MSPaAAAA&#10;CQEAAA8AAAAAAAAAAQAgAAAAIgAAAGRycy9kb3ducmV2LnhtbFBLAQIUABQAAAAIAIdO4kCNCP6t&#10;qQEAADwDAAAOAAAAAAAAAAEAIAAAACkBAABkcnMvZTJvRG9jLnhtbFBLBQYAAAAABgAGAFkBAABE&#10;BQA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746.24</w:t>
                      </w:r>
                    </w:p>
                  </w:txbxContent>
                </v:textbox>
              </v:rect>
            </w:pict>
          </mc:Fallback>
        </mc:AlternateContent>
      </w:r>
    </w:p>
    <w:p>
      <w:pPr>
        <w:spacing w:line="480" w:lineRule="exact"/>
        <w:ind w:firstLine="2941" w:firstLineChars="1395"/>
        <w:rPr>
          <w:rFonts w:hint="eastAsia" w:ascii="宋体" w:hAnsi="宋体"/>
          <w:bCs/>
        </w:rPr>
      </w:pPr>
      <w:r>
        <w:rPr>
          <w:rFonts w:hint="eastAsia" w:ascii="宋体" w:hAnsi="宋体"/>
          <w:b/>
          <w:bCs/>
        </w:rPr>
        <w:t xml:space="preserve">                           </w:t>
      </w:r>
    </w:p>
    <w:p>
      <w:pPr>
        <w:spacing w:line="480" w:lineRule="exact"/>
        <w:rPr>
          <w:rFonts w:hint="eastAsia" w:ascii="宋体" w:hAnsi="宋体"/>
          <w:bCs/>
        </w:rPr>
      </w:pPr>
      <w:r>
        <w:rPr>
          <w:rFonts w:hint="eastAsia" w:ascii="宋体" w:hAnsi="宋体"/>
          <w:b/>
          <w:bCs/>
        </w:rPr>
        <mc:AlternateContent>
          <mc:Choice Requires="wps">
            <w:drawing>
              <wp:anchor distT="0" distB="0" distL="114300" distR="114300" simplePos="0" relativeHeight="251777024" behindDoc="0" locked="0" layoutInCell="1" allowOverlap="1">
                <wp:simplePos x="0" y="0"/>
                <wp:positionH relativeFrom="column">
                  <wp:posOffset>4229100</wp:posOffset>
                </wp:positionH>
                <wp:positionV relativeFrom="paragraph">
                  <wp:posOffset>175260</wp:posOffset>
                </wp:positionV>
                <wp:extent cx="1028700" cy="297180"/>
                <wp:effectExtent l="0" t="0" r="0" b="0"/>
                <wp:wrapNone/>
                <wp:docPr id="259" name="矩形 259"/>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33pt;margin-top:13.8pt;height:23.4pt;width:81pt;z-index:251777024;mso-width-relative:page;mso-height-relative:page;" filled="f" stroked="f" coordsize="21600,21600" o:gfxdata="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yo5znaAAAACQEAAA8AAAAAAAAAAQAgAAAAIgAAAGRycy9kb3ducmV2Lnht&#10;bFBLAQIUABQAAAAIAIdO4kDRwIv7hQEAAPcCAAAOAAAAAAAAAAEAIAAAACkBAABkcnMvZTJvRG9j&#10;LnhtbFBLBQYAAAAABgAGAFkBAAAgBQ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76000" behindDoc="0" locked="0" layoutInCell="1" allowOverlap="1">
                <wp:simplePos x="0" y="0"/>
                <wp:positionH relativeFrom="column">
                  <wp:posOffset>3657600</wp:posOffset>
                </wp:positionH>
                <wp:positionV relativeFrom="paragraph">
                  <wp:posOffset>81280</wp:posOffset>
                </wp:positionV>
                <wp:extent cx="719455" cy="260985"/>
                <wp:effectExtent l="0" t="0" r="0" b="0"/>
                <wp:wrapNone/>
                <wp:docPr id="240" name="矩形 240"/>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0.01</w:t>
                            </w:r>
                          </w:p>
                        </w:txbxContent>
                      </wps:txbx>
                      <wps:bodyPr upright="1"/>
                    </wps:wsp>
                  </a:graphicData>
                </a:graphic>
              </wp:anchor>
            </w:drawing>
          </mc:Choice>
          <mc:Fallback>
            <w:pict>
              <v:rect id="_x0000_s1026" o:spid="_x0000_s1026" o:spt="1" style="position:absolute;left:0pt;margin-left:288pt;margin-top:6.4pt;height:20.55pt;width:56.65pt;z-index:251776000;mso-width-relative:page;mso-height-relative:page;" fillcolor="#FFFFFF" filled="t" stroked="f" coordsize="21600,21600" o:gfxdata="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0ftJ2AAAAAkB&#10;AAAPAAAAAAAAAAEAIAAAACIAAABkcnMvZG93bnJldi54bWxQSwECFAAUAAAACACHTuJAICSR2qkB&#10;AAA8AwAADgAAAAAAAAABACAAAAAnAQAAZHJzL2Uyb0RvYy54bWxQSwUGAAAAAAYABgBZAQAAQgUA&#10;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0.01</w:t>
                      </w:r>
                    </w:p>
                  </w:txbxContent>
                </v:textbox>
              </v:rect>
            </w:pict>
          </mc:Fallback>
        </mc:AlternateContent>
      </w:r>
      <w:r>
        <w:rPr>
          <w:rFonts w:hint="eastAsia" w:ascii="宋体" w:hAnsi="宋体"/>
          <w:b/>
          <w:bCs/>
        </w:rPr>
        <mc:AlternateContent>
          <mc:Choice Requires="wps">
            <w:drawing>
              <wp:anchor distT="0" distB="0" distL="114300" distR="114300" simplePos="0" relativeHeight="251763712" behindDoc="0" locked="0" layoutInCell="1" allowOverlap="1">
                <wp:simplePos x="0" y="0"/>
                <wp:positionH relativeFrom="column">
                  <wp:posOffset>2286000</wp:posOffset>
                </wp:positionH>
                <wp:positionV relativeFrom="paragraph">
                  <wp:posOffset>167640</wp:posOffset>
                </wp:positionV>
                <wp:extent cx="1257300" cy="297180"/>
                <wp:effectExtent l="5080" t="4445" r="13970" b="22225"/>
                <wp:wrapNone/>
                <wp:docPr id="241" name="矩形 241"/>
                <wp:cNvGraphicFramePr/>
                <a:graphic xmlns:a="http://schemas.openxmlformats.org/drawingml/2006/main">
                  <a:graphicData uri="http://schemas.microsoft.com/office/word/2010/wordprocessingShape">
                    <wps:wsp>
                      <wps:cNvSpPr/>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生料生产系统</w:t>
                            </w:r>
                          </w:p>
                        </w:txbxContent>
                      </wps:txbx>
                      <wps:bodyPr upright="1"/>
                    </wps:wsp>
                  </a:graphicData>
                </a:graphic>
              </wp:anchor>
            </w:drawing>
          </mc:Choice>
          <mc:Fallback>
            <w:pict>
              <v:rect id="_x0000_s1026" o:spid="_x0000_s1026" o:spt="1" style="position:absolute;left:0pt;margin-left:180pt;margin-top:13.2pt;height:23.4pt;width:99pt;z-index:251763712;mso-width-relative:page;mso-height-relative:page;" fillcolor="#FFFFFF" filled="t" stroked="t" coordsize="21600,21600" o:gfxdata="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EUYU2AAAAAkBAAAPAAAAAAAAAAEAIAAAACIAAABkcnMvZG93bnJldi54bWxQSwECFAAUAAAACACH&#10;TuJA/KexE+sBAADfAwAADgAAAAAAAAABACAAAAAnAQAAZHJzL2Uyb0RvYy54bWxQSwUGAAAAAAYA&#10;BgBZAQAAhAUAAAAA&#10;">
                <v:fill on="t" focussize="0,0"/>
                <v:stroke color="#000000" joinstyle="miter"/>
                <v:imagedata o:title=""/>
                <o:lock v:ext="edit" aspectratio="f"/>
                <v:textbox>
                  <w:txbxContent>
                    <w:p>
                      <w:pPr>
                        <w:rPr>
                          <w:sz w:val="21"/>
                          <w:szCs w:val="21"/>
                        </w:rPr>
                      </w:pPr>
                      <w:r>
                        <w:rPr>
                          <w:rFonts w:hint="eastAsia"/>
                          <w:sz w:val="21"/>
                          <w:szCs w:val="21"/>
                        </w:rPr>
                        <w:t>生料生产系统</w:t>
                      </w:r>
                    </w:p>
                  </w:txbxContent>
                </v:textbox>
              </v:rect>
            </w:pict>
          </mc:Fallback>
        </mc:AlternateContent>
      </w:r>
      <w:r>
        <w:rPr>
          <w:rFonts w:hint="eastAsia" w:ascii="宋体" w:hAnsi="宋体"/>
          <w:b/>
          <w:bCs/>
        </w:rPr>
        <w:t xml:space="preserve">                                                             </w:t>
      </w:r>
    </w:p>
    <w:p>
      <w:pPr>
        <w:spacing w:line="480" w:lineRule="exact"/>
        <w:jc w:val="center"/>
        <w:rPr>
          <w:rFonts w:hint="eastAsia" w:ascii="宋体" w:hAnsi="宋体"/>
          <w:b/>
          <w:bCs/>
        </w:rPr>
      </w:pPr>
      <w:r>
        <w:rPr>
          <w:b/>
          <w:bCs/>
        </w:rPr>
        <mc:AlternateContent>
          <mc:Choice Requires="wps">
            <w:drawing>
              <wp:anchor distT="0" distB="0" distL="114300" distR="114300" simplePos="0" relativeHeight="251782144" behindDoc="0" locked="0" layoutInCell="1" allowOverlap="1">
                <wp:simplePos x="0" y="0"/>
                <wp:positionH relativeFrom="column">
                  <wp:posOffset>917575</wp:posOffset>
                </wp:positionH>
                <wp:positionV relativeFrom="paragraph">
                  <wp:posOffset>121920</wp:posOffset>
                </wp:positionV>
                <wp:extent cx="555625" cy="297180"/>
                <wp:effectExtent l="5080" t="4445" r="10795" b="22225"/>
                <wp:wrapNone/>
                <wp:docPr id="242" name="矩形 242"/>
                <wp:cNvGraphicFramePr/>
                <a:graphic xmlns:a="http://schemas.openxmlformats.org/drawingml/2006/main">
                  <a:graphicData uri="http://schemas.microsoft.com/office/word/2010/wordprocessingShape">
                    <wps:wsp>
                      <wps:cNvSpPr/>
                      <wps:spPr>
                        <a:xfrm>
                          <a:off x="0" y="0"/>
                          <a:ext cx="5556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原煤</w:t>
                            </w:r>
                          </w:p>
                        </w:txbxContent>
                      </wps:txbx>
                      <wps:bodyPr upright="1"/>
                    </wps:wsp>
                  </a:graphicData>
                </a:graphic>
              </wp:anchor>
            </w:drawing>
          </mc:Choice>
          <mc:Fallback>
            <w:pict>
              <v:rect id="_x0000_s1026" o:spid="_x0000_s1026" o:spt="1" style="position:absolute;left:0pt;margin-left:72.25pt;margin-top:9.6pt;height:23.4pt;width:43.75pt;z-index:251782144;mso-width-relative:page;mso-height-relative:page;" fillcolor="#FFFFFF" filled="t" stroked="t" coordsize="21600,21600" o:gfxdata="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T7ve&#10;1gAAAAkBAAAPAAAAAAAAAAEAIAAAACIAAABkcnMvZG93bnJldi54bWxQSwECFAAUAAAACACHTuJA&#10;SG1h3eoBAADeAwAADgAAAAAAAAABACAAAAAlAQAAZHJzL2Uyb0RvYy54bWxQSwUGAAAAAAYABgBZ&#10;AQAAgQUAAAAA&#10;">
                <v:fill on="t" focussize="0,0"/>
                <v:stroke color="#000000" joinstyle="miter"/>
                <v:imagedata o:title=""/>
                <o:lock v:ext="edit" aspectratio="f"/>
                <v:textbox>
                  <w:txbxContent>
                    <w:p>
                      <w:pPr>
                        <w:rPr>
                          <w:sz w:val="21"/>
                          <w:szCs w:val="21"/>
                        </w:rPr>
                      </w:pPr>
                      <w:r>
                        <w:rPr>
                          <w:rFonts w:hint="eastAsia"/>
                          <w:sz w:val="21"/>
                          <w:szCs w:val="21"/>
                        </w:rPr>
                        <w:t>原煤</w:t>
                      </w:r>
                    </w:p>
                  </w:txbxContent>
                </v:textbox>
              </v:rect>
            </w:pict>
          </mc:Fallback>
        </mc:AlternateContent>
      </w:r>
      <w:r>
        <w:rPr>
          <w:rFonts w:hint="eastAsia" w:ascii="宋体" w:hAnsi="宋体"/>
          <w:b/>
          <w:bCs/>
        </w:rPr>
        <mc:AlternateContent>
          <mc:Choice Requires="wps">
            <w:drawing>
              <wp:anchor distT="0" distB="0" distL="114300" distR="114300" simplePos="0" relativeHeight="251771904" behindDoc="0" locked="0" layoutInCell="1" allowOverlap="1">
                <wp:simplePos x="0" y="0"/>
                <wp:positionH relativeFrom="column">
                  <wp:posOffset>2861945</wp:posOffset>
                </wp:positionH>
                <wp:positionV relativeFrom="paragraph">
                  <wp:posOffset>255905</wp:posOffset>
                </wp:positionV>
                <wp:extent cx="719455" cy="260985"/>
                <wp:effectExtent l="0" t="0" r="4445" b="5715"/>
                <wp:wrapNone/>
                <wp:docPr id="243" name="矩形 243"/>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solidFill>
                        <a:ln>
                          <a:noFill/>
                        </a:ln>
                      </wps:spPr>
                      <wps:txbx>
                        <w:txbxContent>
                          <w:p>
                            <w:pPr>
                              <w:rPr>
                                <w:rFonts w:hint="eastAsia"/>
                                <w:sz w:val="21"/>
                                <w:szCs w:val="21"/>
                              </w:rPr>
                            </w:pPr>
                            <w:r>
                              <w:rPr>
                                <w:rFonts w:hint="eastAsia"/>
                                <w:sz w:val="21"/>
                                <w:szCs w:val="21"/>
                              </w:rPr>
                              <w:t>746.23</w:t>
                            </w:r>
                          </w:p>
                        </w:txbxContent>
                      </wps:txbx>
                      <wps:bodyPr upright="1"/>
                    </wps:wsp>
                  </a:graphicData>
                </a:graphic>
              </wp:anchor>
            </w:drawing>
          </mc:Choice>
          <mc:Fallback>
            <w:pict>
              <v:rect id="_x0000_s1026" o:spid="_x0000_s1026" o:spt="1" style="position:absolute;left:0pt;margin-left:225.35pt;margin-top:20.15pt;height:20.55pt;width:56.65pt;z-index:251771904;mso-width-relative:page;mso-height-relative:page;" fillcolor="#FFFFFF" filled="t" stroked="f" coordsize="21600,21600" o:gfxdata="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MzlFlTXAAAACQEAAA8AAAAAAAAAAQAg&#10;AAAAIgAAAGRycy9kb3ducmV2LnhtbFBLAQIUABQAAAAIAIdO4kDpXPG0nQEAAB8DAAAOAAAAAAAA&#10;AAEAIAAAACYBAABkcnMvZTJvRG9jLnhtbFBLBQYAAAAABgAGAFkBAAA1BQAAAAA=&#10;">
                <v:fill on="t" focussize="0,0"/>
                <v:stroke on="f"/>
                <v:imagedata o:title=""/>
                <o:lock v:ext="edit" aspectratio="f"/>
                <v:textbox>
                  <w:txbxContent>
                    <w:p>
                      <w:pPr>
                        <w:rPr>
                          <w:rFonts w:hint="eastAsia"/>
                          <w:sz w:val="21"/>
                          <w:szCs w:val="21"/>
                        </w:rPr>
                      </w:pPr>
                      <w:r>
                        <w:rPr>
                          <w:rFonts w:hint="eastAsia"/>
                          <w:sz w:val="21"/>
                          <w:szCs w:val="21"/>
                        </w:rPr>
                        <w:t>746.23</w:t>
                      </w:r>
                    </w:p>
                  </w:txbxContent>
                </v:textbox>
              </v:rect>
            </w:pict>
          </mc:Fallback>
        </mc:AlternateContent>
      </w:r>
      <w:r>
        <w:rPr>
          <w:rFonts w:hint="eastAsia" w:ascii="宋体" w:hAnsi="宋体"/>
          <w:b/>
          <w:bCs/>
        </w:rPr>
        <mc:AlternateContent>
          <mc:Choice Requires="wps">
            <w:drawing>
              <wp:anchor distT="0" distB="0" distL="114300" distR="114300" simplePos="0" relativeHeight="251774976" behindDoc="0" locked="0" layoutInCell="1" allowOverlap="1">
                <wp:simplePos x="0" y="0"/>
                <wp:positionH relativeFrom="column">
                  <wp:posOffset>3543300</wp:posOffset>
                </wp:positionH>
                <wp:positionV relativeFrom="paragraph">
                  <wp:posOffset>50800</wp:posOffset>
                </wp:positionV>
                <wp:extent cx="800100" cy="0"/>
                <wp:effectExtent l="0" t="38100" r="0" b="38100"/>
                <wp:wrapNone/>
                <wp:docPr id="260" name="直接连接符 26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9pt;margin-top:4pt;height:0pt;width:63pt;z-index:251774976;mso-width-relative:page;mso-height-relative:page;" filled="f" stroked="t" coordsize="21600,21600" o:gfxdata="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J2lirWAAAABwEAAA8A&#10;AAAAAAAAAQAgAAAAIgAAAGRycy9kb3ducmV2LnhtbFBLAQIUABQAAAAIAIdO4kDqL9i94AEAAJ0D&#10;AAAOAAAAAAAAAAEAIAAAACUBAABkcnMvZTJvRG9jLnhtbFBLBQYAAAAABgAGAFkBAAB3BQ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8832" behindDoc="0" locked="0" layoutInCell="1" allowOverlap="1">
                <wp:simplePos x="0" y="0"/>
                <wp:positionH relativeFrom="column">
                  <wp:posOffset>2857500</wp:posOffset>
                </wp:positionH>
                <wp:positionV relativeFrom="paragraph">
                  <wp:posOffset>160020</wp:posOffset>
                </wp:positionV>
                <wp:extent cx="0" cy="594360"/>
                <wp:effectExtent l="38100" t="0" r="38100" b="15240"/>
                <wp:wrapNone/>
                <wp:docPr id="245" name="直接连接符 24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12.6pt;height:46.8pt;width:0pt;z-index:251768832;mso-width-relative:page;mso-height-relative:page;" filled="f" stroked="t" coordsize="21600,21600" o:gfxdata="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DMYvfZAAAA&#10;CgEAAA8AAAAAAAAAAQAgAAAAIgAAAGRycy9kb3ducmV2LnhtbFBLAQIUABQAAAAIAIdO4kDfMSTO&#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bCs/>
        </w:rPr>
        <w:t xml:space="preserve">                                                                                                                   </w:t>
      </w:r>
    </w:p>
    <w:p>
      <w:pPr>
        <w:spacing w:line="480" w:lineRule="exact"/>
        <w:ind w:firstLine="3202" w:firstLineChars="1519"/>
        <w:rPr>
          <w:rFonts w:hint="eastAsia" w:ascii="宋体" w:hAnsi="宋体"/>
          <w:bCs/>
        </w:rPr>
      </w:pPr>
      <w:r>
        <w:rPr>
          <w:rFonts w:hint="eastAsia" w:ascii="宋体" w:hAnsi="宋体"/>
          <w:b/>
          <w:bCs/>
        </w:rPr>
        <mc:AlternateContent>
          <mc:Choice Requires="wps">
            <w:drawing>
              <wp:anchor distT="0" distB="0" distL="114300" distR="114300" simplePos="0" relativeHeight="251785216" behindDoc="0" locked="0" layoutInCell="1" allowOverlap="1">
                <wp:simplePos x="0" y="0"/>
                <wp:positionH relativeFrom="column">
                  <wp:posOffset>1165860</wp:posOffset>
                </wp:positionH>
                <wp:positionV relativeFrom="paragraph">
                  <wp:posOffset>114300</wp:posOffset>
                </wp:positionV>
                <wp:extent cx="635" cy="407670"/>
                <wp:effectExtent l="38100" t="0" r="37465" b="11430"/>
                <wp:wrapNone/>
                <wp:docPr id="247" name="直接连接符 247"/>
                <wp:cNvGraphicFramePr/>
                <a:graphic xmlns:a="http://schemas.openxmlformats.org/drawingml/2006/main">
                  <a:graphicData uri="http://schemas.microsoft.com/office/word/2010/wordprocessingShape">
                    <wps:wsp>
                      <wps:cNvCnPr/>
                      <wps:spPr>
                        <a:xfrm flipH="1">
                          <a:off x="0" y="0"/>
                          <a:ext cx="63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8pt;margin-top:9pt;height:32.1pt;width:0.05pt;z-index:251785216;mso-width-relative:page;mso-height-relative:page;" filled="f" stroked="t" coordsize="21600,21600" o:gfxdata="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NdFUtgAAAAJAQAADwAAAAAAAAABACAAAAAiAAAAZHJzL2Rvd25yZXYueG1sUEsBAhQAFAAA&#10;AAgAh07iQJeJKPnvAQAAqQMAAA4AAAAAAAAAAQAgAAAAJwEAAGRycy9lMm9Eb2MueG1sUEsFBgAA&#10;AAAGAAYAWQEAAIgFA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9856" behindDoc="0" locked="0" layoutInCell="1" allowOverlap="1">
                <wp:simplePos x="0" y="0"/>
                <wp:positionH relativeFrom="column">
                  <wp:posOffset>3543300</wp:posOffset>
                </wp:positionH>
                <wp:positionV relativeFrom="paragraph">
                  <wp:posOffset>274320</wp:posOffset>
                </wp:positionV>
                <wp:extent cx="685800" cy="260985"/>
                <wp:effectExtent l="0" t="0" r="0" b="5715"/>
                <wp:wrapNone/>
                <wp:docPr id="248" name="矩形 248"/>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108.22</w:t>
                            </w:r>
                          </w:p>
                        </w:txbxContent>
                      </wps:txbx>
                      <wps:bodyPr upright="1"/>
                    </wps:wsp>
                  </a:graphicData>
                </a:graphic>
              </wp:anchor>
            </w:drawing>
          </mc:Choice>
          <mc:Fallback>
            <w:pict>
              <v:rect id="_x0000_s1026" o:spid="_x0000_s1026" o:spt="1" style="position:absolute;left:0pt;margin-left:279pt;margin-top:21.6pt;height:20.55pt;width:54pt;z-index:251769856;mso-width-relative:page;mso-height-relative:page;" fillcolor="#FFFFFF" filled="t" stroked="f" coordsize="21600,21600" o:gfxdata="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3k+HtgAAAAJAQAADwAAAAAAAAABACAA&#10;AAAiAAAAZHJzL2Rvd25yZXYueG1sUEsBAhQAFAAAAAgAh07iQNaAPZibAQAAHwMAAA4AAAAAAAAA&#10;AQAgAAAAJwEAAGRycy9lMm9Eb2MueG1sUEsFBgAAAAAGAAYAWQEAADQFA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108.22</w:t>
                      </w:r>
                    </w:p>
                  </w:txbxContent>
                </v:textbox>
              </v:rect>
            </w:pict>
          </mc:Fallback>
        </mc:AlternateContent>
      </w:r>
      <w:r>
        <w:rPr>
          <w:rFonts w:hint="eastAsia" w:ascii="宋体" w:hAnsi="宋体"/>
          <w:b/>
          <w:bCs/>
        </w:rPr>
        <mc:AlternateContent>
          <mc:Choice Requires="wps">
            <w:drawing>
              <wp:anchor distT="0" distB="0" distL="114300" distR="114300" simplePos="0" relativeHeight="251783168" behindDoc="0" locked="0" layoutInCell="1" allowOverlap="1">
                <wp:simplePos x="0" y="0"/>
                <wp:positionH relativeFrom="column">
                  <wp:posOffset>1331595</wp:posOffset>
                </wp:positionH>
                <wp:positionV relativeFrom="paragraph">
                  <wp:posOffset>161925</wp:posOffset>
                </wp:positionV>
                <wp:extent cx="719455" cy="260985"/>
                <wp:effectExtent l="0" t="0" r="0" b="0"/>
                <wp:wrapNone/>
                <wp:docPr id="249" name="矩形 249"/>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ascii="宋体" w:hAnsi="宋体"/>
                                <w:sz w:val="21"/>
                                <w:szCs w:val="21"/>
                              </w:rPr>
                            </w:pPr>
                            <w:r>
                              <w:rPr>
                                <w:rFonts w:hint="eastAsia" w:ascii="宋体" w:hAnsi="宋体"/>
                                <w:sz w:val="21"/>
                                <w:szCs w:val="21"/>
                              </w:rPr>
                              <w:t>1418.31</w:t>
                            </w:r>
                          </w:p>
                        </w:txbxContent>
                      </wps:txbx>
                      <wps:bodyPr upright="1"/>
                    </wps:wsp>
                  </a:graphicData>
                </a:graphic>
              </wp:anchor>
            </w:drawing>
          </mc:Choice>
          <mc:Fallback>
            <w:pict>
              <v:rect id="_x0000_s1026" o:spid="_x0000_s1026" o:spt="1" style="position:absolute;left:0pt;margin-left:104.85pt;margin-top:12.75pt;height:20.55pt;width:56.65pt;z-index:251783168;mso-width-relative:page;mso-height-relative:page;" fillcolor="#FFFFFF" filled="t" stroked="f" coordsize="21600,21600" o:gfxdata="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WueeR2AAAAAkB&#10;AAAPAAAAAAAAAAEAIAAAACIAAABkcnMvZG93bnJldi54bWxQSwECFAAUAAAACACHTuJABG7euakB&#10;AAA8AwAADgAAAAAAAAABACAAAAAnAQAAZHJzL2Uyb0RvYy54bWxQSwUGAAAAAAYABgBZAQAAQgUA&#10;AAAA&#10;">
                <v:fill on="t" opacity="0f" focussize="0,0"/>
                <v:stroke on="f"/>
                <v:imagedata o:title=""/>
                <o:lock v:ext="edit" aspectratio="f"/>
                <v:textbox>
                  <w:txbxContent>
                    <w:p>
                      <w:pPr>
                        <w:rPr>
                          <w:rFonts w:ascii="宋体" w:hAnsi="宋体"/>
                          <w:sz w:val="21"/>
                          <w:szCs w:val="21"/>
                        </w:rPr>
                      </w:pPr>
                      <w:r>
                        <w:rPr>
                          <w:rFonts w:hint="eastAsia" w:ascii="宋体" w:hAnsi="宋体"/>
                          <w:sz w:val="21"/>
                          <w:szCs w:val="21"/>
                        </w:rPr>
                        <w:t>1418.31</w:t>
                      </w:r>
                    </w:p>
                  </w:txbxContent>
                </v:textbox>
              </v:rect>
            </w:pict>
          </mc:Fallback>
        </mc:AlternateContent>
      </w:r>
    </w:p>
    <w:p>
      <w:pPr>
        <w:spacing w:line="480" w:lineRule="exact"/>
        <w:ind w:firstLine="1653" w:firstLineChars="784"/>
        <w:rPr>
          <w:rFonts w:hint="eastAsia" w:ascii="宋体" w:hAnsi="宋体"/>
          <w:bCs/>
        </w:rPr>
      </w:pPr>
      <w:r>
        <w:rPr>
          <w:rFonts w:hint="eastAsia" w:ascii="宋体" w:hAnsi="宋体"/>
          <w:b/>
          <w:bCs/>
        </w:rPr>
        <mc:AlternateContent>
          <mc:Choice Requires="wps">
            <w:drawing>
              <wp:anchor distT="0" distB="0" distL="114300" distR="114300" simplePos="0" relativeHeight="251789312" behindDoc="0" locked="0" layoutInCell="1" allowOverlap="1">
                <wp:simplePos x="0" y="0"/>
                <wp:positionH relativeFrom="column">
                  <wp:posOffset>1708150</wp:posOffset>
                </wp:positionH>
                <wp:positionV relativeFrom="paragraph">
                  <wp:posOffset>104775</wp:posOffset>
                </wp:positionV>
                <wp:extent cx="747395" cy="260985"/>
                <wp:effectExtent l="0" t="0" r="0" b="0"/>
                <wp:wrapNone/>
                <wp:docPr id="273" name="矩形 273"/>
                <wp:cNvGraphicFramePr/>
                <a:graphic xmlns:a="http://schemas.openxmlformats.org/drawingml/2006/main">
                  <a:graphicData uri="http://schemas.microsoft.com/office/word/2010/wordprocessingShape">
                    <wps:wsp>
                      <wps:cNvSpPr/>
                      <wps:spPr>
                        <a:xfrm>
                          <a:off x="0" y="0"/>
                          <a:ext cx="747395" cy="260985"/>
                        </a:xfrm>
                        <a:prstGeom prst="rect">
                          <a:avLst/>
                        </a:prstGeom>
                        <a:noFill/>
                        <a:ln>
                          <a:noFill/>
                        </a:ln>
                      </wps:spPr>
                      <wps:txbx>
                        <w:txbxContent>
                          <w:p>
                            <w:pPr>
                              <w:rPr>
                                <w:rFonts w:hint="eastAsia" w:ascii="宋体" w:hAnsi="宋体"/>
                                <w:sz w:val="21"/>
                                <w:szCs w:val="21"/>
                              </w:rPr>
                            </w:pPr>
                            <w:r>
                              <w:rPr>
                                <w:rFonts w:hint="eastAsia" w:ascii="宋体" w:hAnsi="宋体"/>
                                <w:sz w:val="21"/>
                                <w:szCs w:val="21"/>
                              </w:rPr>
                              <w:t>1418.19</w:t>
                            </w:r>
                          </w:p>
                        </w:txbxContent>
                      </wps:txbx>
                      <wps:bodyPr upright="1"/>
                    </wps:wsp>
                  </a:graphicData>
                </a:graphic>
              </wp:anchor>
            </w:drawing>
          </mc:Choice>
          <mc:Fallback>
            <w:pict>
              <v:rect id="_x0000_s1026" o:spid="_x0000_s1026" o:spt="1" style="position:absolute;left:0pt;margin-left:134.5pt;margin-top:8.25pt;height:20.55pt;width:58.85pt;z-index:251789312;mso-width-relative:page;mso-height-relative:page;" filled="f" stroked="f" coordsize="21600,21600" o:gfxdata="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K81339oAAAAJAQAADwAAAAAAAAABACAAAAAiAAAAZHJzL2Rvd25yZXYu&#10;eG1sUEsBAhQAFAAAAAgAh07iQGYZQzCHAQAA9gIAAA4AAAAAAAAAAQAgAAAAKQEAAGRycy9lMm9E&#10;b2MueG1sUEsFBgAAAAAGAAYAWQEAACIFAAAAAA==&#10;">
                <v:fill on="f" focussize="0,0"/>
                <v:stroke on="f"/>
                <v:imagedata o:title=""/>
                <o:lock v:ext="edit" aspectratio="f"/>
                <v:textbox>
                  <w:txbxContent>
                    <w:p>
                      <w:pPr>
                        <w:rPr>
                          <w:rFonts w:hint="eastAsia" w:ascii="宋体" w:hAnsi="宋体"/>
                          <w:sz w:val="21"/>
                          <w:szCs w:val="21"/>
                        </w:rPr>
                      </w:pPr>
                      <w:r>
                        <w:rPr>
                          <w:rFonts w:hint="eastAsia" w:ascii="宋体" w:hAnsi="宋体"/>
                          <w:sz w:val="21"/>
                          <w:szCs w:val="21"/>
                        </w:rPr>
                        <w:t>1418.19</w:t>
                      </w:r>
                    </w:p>
                  </w:txbxContent>
                </v:textbox>
              </v:rect>
            </w:pict>
          </mc:Fallback>
        </mc:AlternateContent>
      </w:r>
      <w:r>
        <w:rPr>
          <w:rFonts w:hint="eastAsia" w:ascii="宋体" w:hAnsi="宋体"/>
          <w:b/>
          <w:bCs/>
        </w:rPr>
        <mc:AlternateContent>
          <mc:Choice Requires="wps">
            <w:drawing>
              <wp:anchor distT="0" distB="0" distL="114300" distR="114300" simplePos="0" relativeHeight="251784192" behindDoc="0" locked="0" layoutInCell="1" allowOverlap="1">
                <wp:simplePos x="0" y="0"/>
                <wp:positionH relativeFrom="column">
                  <wp:posOffset>775335</wp:posOffset>
                </wp:positionH>
                <wp:positionV relativeFrom="paragraph">
                  <wp:posOffset>186690</wp:posOffset>
                </wp:positionV>
                <wp:extent cx="918845" cy="297180"/>
                <wp:effectExtent l="4445" t="4445" r="10160" b="22225"/>
                <wp:wrapNone/>
                <wp:docPr id="282" name="矩形 282"/>
                <wp:cNvGraphicFramePr/>
                <a:graphic xmlns:a="http://schemas.openxmlformats.org/drawingml/2006/main">
                  <a:graphicData uri="http://schemas.microsoft.com/office/word/2010/wordprocessingShape">
                    <wps:wsp>
                      <wps:cNvSpPr/>
                      <wps:spPr>
                        <a:xfrm>
                          <a:off x="0" y="0"/>
                          <a:ext cx="91884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煤加工系</w:t>
                            </w:r>
                            <w:r>
                              <w:rPr>
                                <w:rFonts w:hint="eastAsia"/>
                              </w:rPr>
                              <w:t>统</w:t>
                            </w:r>
                          </w:p>
                        </w:txbxContent>
                      </wps:txbx>
                      <wps:bodyPr upright="1"/>
                    </wps:wsp>
                  </a:graphicData>
                </a:graphic>
              </wp:anchor>
            </w:drawing>
          </mc:Choice>
          <mc:Fallback>
            <w:pict>
              <v:rect id="_x0000_s1026" o:spid="_x0000_s1026" o:spt="1" style="position:absolute;left:0pt;margin-left:61.05pt;margin-top:14.7pt;height:23.4pt;width:72.35pt;z-index:251784192;mso-width-relative:page;mso-height-relative:page;" fillcolor="#FFFFFF" filled="t" stroked="t" coordsize="21600,21600" o:gfxdata="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nM03W&#10;AAAACQEAAA8AAAAAAAAAAQAgAAAAIgAAAGRycy9kb3ducmV2LnhtbFBLAQIUABQAAAAIAIdO4kBu&#10;5LGK6QEAAN4DAAAOAAAAAAAAAAEAIAAAACUBAABkcnMvZTJvRG9jLnhtbFBLBQYAAAAABgAGAFkB&#10;AACABQAAAAA=&#10;">
                <v:fill on="t" focussize="0,0"/>
                <v:stroke color="#000000" joinstyle="miter"/>
                <v:imagedata o:title=""/>
                <o:lock v:ext="edit" aspectratio="f"/>
                <v:textbox>
                  <w:txbxContent>
                    <w:p>
                      <w:r>
                        <w:rPr>
                          <w:rFonts w:hint="eastAsia"/>
                          <w:sz w:val="21"/>
                          <w:szCs w:val="21"/>
                        </w:rPr>
                        <w:t>煤加工系</w:t>
                      </w:r>
                      <w:r>
                        <w:rPr>
                          <w:rFonts w:hint="eastAsia"/>
                        </w:rPr>
                        <w:t>统</w:t>
                      </w:r>
                    </w:p>
                  </w:txbxContent>
                </v:textbox>
              </v:rect>
            </w:pict>
          </mc:Fallback>
        </mc:AlternateContent>
      </w:r>
      <w:r>
        <w:rPr>
          <w:rFonts w:hint="eastAsia" w:ascii="宋体" w:hAnsi="宋体"/>
          <w:b/>
          <w:bCs/>
        </w:rPr>
        <mc:AlternateContent>
          <mc:Choice Requires="wps">
            <w:drawing>
              <wp:anchor distT="0" distB="0" distL="114300" distR="114300" simplePos="0" relativeHeight="251764736" behindDoc="0" locked="0" layoutInCell="1" allowOverlap="1">
                <wp:simplePos x="0" y="0"/>
                <wp:positionH relativeFrom="column">
                  <wp:posOffset>2432050</wp:posOffset>
                </wp:positionH>
                <wp:positionV relativeFrom="paragraph">
                  <wp:posOffset>167640</wp:posOffset>
                </wp:positionV>
                <wp:extent cx="1071880" cy="297180"/>
                <wp:effectExtent l="4445" t="4445" r="9525" b="22225"/>
                <wp:wrapNone/>
                <wp:docPr id="275" name="矩形 275"/>
                <wp:cNvGraphicFramePr/>
                <a:graphic xmlns:a="http://schemas.openxmlformats.org/drawingml/2006/main">
                  <a:graphicData uri="http://schemas.microsoft.com/office/word/2010/wordprocessingShape">
                    <wps:wsp>
                      <wps:cNvSpPr/>
                      <wps:spPr>
                        <a:xfrm>
                          <a:off x="0" y="0"/>
                          <a:ext cx="10718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21"/>
                                <w:szCs w:val="21"/>
                              </w:rPr>
                            </w:pPr>
                            <w:r>
                              <w:rPr>
                                <w:rFonts w:hint="eastAsia"/>
                                <w:sz w:val="21"/>
                                <w:szCs w:val="21"/>
                              </w:rPr>
                              <w:t>熟料烧成系统</w:t>
                            </w:r>
                          </w:p>
                        </w:txbxContent>
                      </wps:txbx>
                      <wps:bodyPr upright="1"/>
                    </wps:wsp>
                  </a:graphicData>
                </a:graphic>
              </wp:anchor>
            </w:drawing>
          </mc:Choice>
          <mc:Fallback>
            <w:pict>
              <v:rect id="_x0000_s1026" o:spid="_x0000_s1026" o:spt="1" style="position:absolute;left:0pt;margin-left:191.5pt;margin-top:13.2pt;height:23.4pt;width:84.4pt;z-index:251764736;mso-width-relative:page;mso-height-relative:page;" fillcolor="#FFFFFF" filled="t" stroked="t" coordsize="21600,21600" o:gfxdata="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I3922QAAAAkBAAAPAAAAAAAAAAEAIAAAACIAAABkcnMvZG93bnJldi54bWxQSwECFAAUAAAACACH&#10;TuJA0XG5K+oBAADfAwAADgAAAAAAAAABACAAAAAoAQAAZHJzL2Uyb0RvYy54bWxQSwUGAAAAAAYA&#10;BgBZAQAAhAUAAAAA&#10;">
                <v:fill on="t" focussize="0,0"/>
                <v:stroke color="#000000" joinstyle="miter"/>
                <v:imagedata o:title=""/>
                <o:lock v:ext="edit" aspectratio="f"/>
                <v:textbox>
                  <w:txbxContent>
                    <w:p>
                      <w:pPr>
                        <w:rPr>
                          <w:sz w:val="21"/>
                          <w:szCs w:val="21"/>
                        </w:rPr>
                      </w:pPr>
                      <w:r>
                        <w:rPr>
                          <w:rFonts w:hint="eastAsia"/>
                          <w:sz w:val="21"/>
                          <w:szCs w:val="21"/>
                        </w:rPr>
                        <w:t>熟料烧成系统</w:t>
                      </w:r>
                    </w:p>
                  </w:txbxContent>
                </v:textbox>
              </v:rect>
            </w:pict>
          </mc:Fallback>
        </mc:AlternateContent>
      </w:r>
      <w:r>
        <w:rPr>
          <w:b/>
          <w:bCs/>
        </w:rPr>
        <mc:AlternateContent>
          <mc:Choice Requires="wps">
            <w:drawing>
              <wp:anchor distT="0" distB="0" distL="114300" distR="114300" simplePos="0" relativeHeight="251766784" behindDoc="0" locked="0" layoutInCell="1" allowOverlap="1">
                <wp:simplePos x="0" y="0"/>
                <wp:positionH relativeFrom="column">
                  <wp:posOffset>4229100</wp:posOffset>
                </wp:positionH>
                <wp:positionV relativeFrom="paragraph">
                  <wp:posOffset>157480</wp:posOffset>
                </wp:positionV>
                <wp:extent cx="1028700" cy="297180"/>
                <wp:effectExtent l="0" t="0" r="0" b="0"/>
                <wp:wrapNone/>
                <wp:docPr id="295" name="矩形 295"/>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r>
                              <w:rPr>
                                <w:rFonts w:hint="eastAsia"/>
                              </w:rPr>
                              <w:t>废气</w:t>
                            </w:r>
                          </w:p>
                        </w:txbxContent>
                      </wps:txbx>
                      <wps:bodyPr upright="1"/>
                    </wps:wsp>
                  </a:graphicData>
                </a:graphic>
              </wp:anchor>
            </w:drawing>
          </mc:Choice>
          <mc:Fallback>
            <w:pict>
              <v:rect id="_x0000_s1026" o:spid="_x0000_s1026" o:spt="1" style="position:absolute;left:0pt;margin-left:333pt;margin-top:12.4pt;height:23.4pt;width:81pt;z-index:251766784;mso-width-relative:page;mso-height-relative:page;" filled="f" stroked="f" coordsize="21600,21600" o:gfxdata="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cAfYhdkAAAAJAQAADwAAAAAAAAABACAAAAAiAAAAZHJzL2Rvd25yZXYueG1s&#10;UEsBAhQAFAAAAAgAh07iQELraEeFAQAA9wIAAA4AAAAAAAAAAQAgAAAAKAEAAGRycy9lMm9Eb2Mu&#10;eG1sUEsFBgAAAAAGAAYAWQEAAB8FAAAAAA==&#10;">
                <v:fill on="f" focussize="0,0"/>
                <v:stroke on="f"/>
                <v:imagedata o:title=""/>
                <o:lock v:ext="edit" aspectratio="f"/>
                <v:textbox>
                  <w:txbxContent>
                    <w:p>
                      <w:r>
                        <w:rPr>
                          <w:rFonts w:hint="eastAsia"/>
                        </w:rPr>
                        <w:t>废气</w:t>
                      </w:r>
                    </w:p>
                  </w:txbxContent>
                </v:textbox>
              </v:rect>
            </w:pict>
          </mc:Fallback>
        </mc:AlternateContent>
      </w:r>
      <w:r>
        <w:rPr>
          <w:rFonts w:hint="eastAsia" w:ascii="宋体" w:hAnsi="宋体"/>
        </w:rPr>
        <w:t xml:space="preserve"> </w:t>
      </w:r>
      <w:r>
        <w:rPr>
          <w:rFonts w:hint="eastAsia" w:ascii="宋体" w:hAnsi="宋体"/>
          <w:bCs/>
        </w:rPr>
        <w:t xml:space="preserve">                   </w:t>
      </w:r>
    </w:p>
    <w:p>
      <w:pPr>
        <w:spacing w:line="480" w:lineRule="exact"/>
        <w:rPr>
          <w:rFonts w:hint="eastAsia" w:ascii="宋体" w:hAnsi="宋体"/>
          <w:b/>
          <w:bCs/>
        </w:rPr>
      </w:pPr>
      <w:r>
        <w:rPr>
          <w:rFonts w:hint="eastAsia" w:ascii="宋体" w:hAnsi="宋体"/>
          <w:b/>
          <w:bCs/>
        </w:rPr>
        <mc:AlternateContent>
          <mc:Choice Requires="wps">
            <w:drawing>
              <wp:anchor distT="0" distB="0" distL="114300" distR="114300" simplePos="0" relativeHeight="251787264" behindDoc="0" locked="0" layoutInCell="1" allowOverlap="1">
                <wp:simplePos x="0" y="0"/>
                <wp:positionH relativeFrom="column">
                  <wp:posOffset>1250950</wp:posOffset>
                </wp:positionH>
                <wp:positionV relativeFrom="paragraph">
                  <wp:posOffset>270510</wp:posOffset>
                </wp:positionV>
                <wp:extent cx="719455" cy="260985"/>
                <wp:effectExtent l="0" t="0" r="0" b="0"/>
                <wp:wrapNone/>
                <wp:docPr id="293" name="矩形 293"/>
                <wp:cNvGraphicFramePr/>
                <a:graphic xmlns:a="http://schemas.openxmlformats.org/drawingml/2006/main">
                  <a:graphicData uri="http://schemas.microsoft.com/office/word/2010/wordprocessingShape">
                    <wps:wsp>
                      <wps:cNvSpPr/>
                      <wps:spPr>
                        <a:xfrm>
                          <a:off x="0" y="0"/>
                          <a:ext cx="719455" cy="260985"/>
                        </a:xfrm>
                        <a:prstGeom prst="rect">
                          <a:avLst/>
                        </a:prstGeom>
                        <a:solidFill>
                          <a:srgbClr val="FFFFFF">
                            <a:alpha val="0"/>
                          </a:srgbClr>
                        </a:solidFill>
                        <a:ln>
                          <a:noFill/>
                        </a:ln>
                      </wps:spPr>
                      <wps:txbx>
                        <w:txbxContent>
                          <w:p>
                            <w:pPr>
                              <w:rPr>
                                <w:rFonts w:hint="eastAsia"/>
                              </w:rPr>
                            </w:pPr>
                            <w:r>
                              <w:rPr>
                                <w:rFonts w:hint="eastAsia"/>
                              </w:rPr>
                              <w:t>0.12</w:t>
                            </w:r>
                          </w:p>
                        </w:txbxContent>
                      </wps:txbx>
                      <wps:bodyPr upright="1"/>
                    </wps:wsp>
                  </a:graphicData>
                </a:graphic>
              </wp:anchor>
            </w:drawing>
          </mc:Choice>
          <mc:Fallback>
            <w:pict>
              <v:rect id="_x0000_s1026" o:spid="_x0000_s1026" o:spt="1" style="position:absolute;left:0pt;margin-left:98.5pt;margin-top:21.3pt;height:20.55pt;width:56.65pt;z-index:251787264;mso-width-relative:page;mso-height-relative:page;" fillcolor="#FFFFFF" filled="t" stroked="f" coordsize="21600,21600" o:gfxdata="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VEWNkAAAAJ&#10;AQAADwAAAAAAAAABACAAAAAiAAAAZHJzL2Rvd25yZXYueG1sUEsBAhQAFAAAAAgAh07iQLt/Be2p&#10;AQAAPAMAAA4AAAAAAAAAAQAgAAAAKAEAAGRycy9lMm9Eb2MueG1sUEsFBgAAAAAGAAYAWQEAAEMF&#10;AAAAAA==&#10;">
                <v:fill on="t" opacity="0f" focussize="0,0"/>
                <v:stroke on="f"/>
                <v:imagedata o:title=""/>
                <o:lock v:ext="edit" aspectratio="f"/>
                <v:textbox>
                  <w:txbxContent>
                    <w:p>
                      <w:pPr>
                        <w:rPr>
                          <w:rFonts w:hint="eastAsia"/>
                        </w:rPr>
                      </w:pPr>
                      <w:r>
                        <w:rPr>
                          <w:rFonts w:hint="eastAsia"/>
                        </w:rPr>
                        <w:t>0.12</w:t>
                      </w:r>
                    </w:p>
                  </w:txbxContent>
                </v:textbox>
              </v:rect>
            </w:pict>
          </mc:Fallback>
        </mc:AlternateContent>
      </w:r>
      <w:r>
        <w:rPr>
          <w:rFonts w:hint="eastAsia" w:ascii="宋体" w:hAnsi="宋体"/>
          <w:b/>
          <w:bCs/>
        </w:rPr>
        <mc:AlternateContent>
          <mc:Choice Requires="wps">
            <w:drawing>
              <wp:anchor distT="0" distB="0" distL="114300" distR="114300" simplePos="0" relativeHeight="251772928" behindDoc="0" locked="0" layoutInCell="1" allowOverlap="1">
                <wp:simplePos x="0" y="0"/>
                <wp:positionH relativeFrom="column">
                  <wp:posOffset>2900045</wp:posOffset>
                </wp:positionH>
                <wp:positionV relativeFrom="paragraph">
                  <wp:posOffset>259080</wp:posOffset>
                </wp:positionV>
                <wp:extent cx="960120" cy="267335"/>
                <wp:effectExtent l="0" t="0" r="11430" b="18415"/>
                <wp:wrapNone/>
                <wp:docPr id="281" name="矩形 281"/>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2056.2</w:t>
                            </w:r>
                          </w:p>
                        </w:txbxContent>
                      </wps:txbx>
                      <wps:bodyPr upright="1"/>
                    </wps:wsp>
                  </a:graphicData>
                </a:graphic>
              </wp:anchor>
            </w:drawing>
          </mc:Choice>
          <mc:Fallback>
            <w:pict>
              <v:rect id="_x0000_s1026" o:spid="_x0000_s1026" o:spt="1" style="position:absolute;left:0pt;margin-left:228.35pt;margin-top:20.4pt;height:21.05pt;width:75.6pt;z-index:251772928;mso-width-relative:page;mso-height-relative:page;" fillcolor="#FFFFFF" filled="t" stroked="f" coordsize="21600,21600" o:gfxdata="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uMFLc1wAAAAkBAAAPAAAAAAAAAAEAIAAA&#10;ACIAAABkcnMvZG93bnJldi54bWxQSwECFAAUAAAACACHTuJAXof3uZsBAAAfAwAADgAAAAAAAAAB&#10;ACAAAAAm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2056.2</w:t>
                      </w:r>
                    </w:p>
                  </w:txbxContent>
                </v:textbox>
              </v:rect>
            </w:pict>
          </mc:Fallback>
        </mc:AlternateContent>
      </w:r>
      <w:r>
        <w:rPr>
          <w:rFonts w:hint="eastAsia" w:ascii="宋体" w:hAnsi="宋体"/>
          <w:b/>
          <w:bCs/>
        </w:rPr>
        <mc:AlternateContent>
          <mc:Choice Requires="wps">
            <w:drawing>
              <wp:anchor distT="0" distB="0" distL="114300" distR="114300" simplePos="0" relativeHeight="251767808" behindDoc="0" locked="0" layoutInCell="1" allowOverlap="1">
                <wp:simplePos x="0" y="0"/>
                <wp:positionH relativeFrom="column">
                  <wp:posOffset>1199515</wp:posOffset>
                </wp:positionH>
                <wp:positionV relativeFrom="paragraph">
                  <wp:posOffset>201930</wp:posOffset>
                </wp:positionV>
                <wp:extent cx="6350" cy="527685"/>
                <wp:effectExtent l="37465" t="0" r="32385" b="5715"/>
                <wp:wrapNone/>
                <wp:docPr id="298" name="直接连接符 298"/>
                <wp:cNvGraphicFramePr/>
                <a:graphic xmlns:a="http://schemas.openxmlformats.org/drawingml/2006/main">
                  <a:graphicData uri="http://schemas.microsoft.com/office/word/2010/wordprocessingShape">
                    <wps:wsp>
                      <wps:cNvCnPr/>
                      <wps:spPr>
                        <a:xfrm flipH="1">
                          <a:off x="0" y="0"/>
                          <a:ext cx="6350" cy="527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4.45pt;margin-top:15.9pt;height:41.55pt;width:0.5pt;z-index:251767808;mso-width-relative:page;mso-height-relative:page;" filled="f" stroked="t" coordsize="21600,21600" o:gfxdata="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K4Q3rYAAAACgEAAA8AAAAAAAAAAQAgAAAAIgAAAGRycy9kb3ducmV2LnhtbFBLAQIUABQAAAAI&#10;AIdO4kBmauVw7QEAAKoDAAAOAAAAAAAAAAEAIAAAACcBAABkcnMvZTJvRG9jLnhtbFBLBQYAAAAA&#10;BgAGAFkBAACGBQ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6240" behindDoc="0" locked="0" layoutInCell="1" allowOverlap="1">
                <wp:simplePos x="0" y="0"/>
                <wp:positionH relativeFrom="column">
                  <wp:posOffset>1747520</wp:posOffset>
                </wp:positionH>
                <wp:positionV relativeFrom="paragraph">
                  <wp:posOffset>60960</wp:posOffset>
                </wp:positionV>
                <wp:extent cx="671195" cy="0"/>
                <wp:effectExtent l="0" t="38100" r="14605" b="38100"/>
                <wp:wrapNone/>
                <wp:docPr id="276" name="直接连接符 276"/>
                <wp:cNvGraphicFramePr/>
                <a:graphic xmlns:a="http://schemas.openxmlformats.org/drawingml/2006/main">
                  <a:graphicData uri="http://schemas.microsoft.com/office/word/2010/wordprocessingShape">
                    <wps:wsp>
                      <wps:cNvCnPr/>
                      <wps:spPr>
                        <a:xfrm>
                          <a:off x="0" y="0"/>
                          <a:ext cx="67119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37.6pt;margin-top:4.8pt;height:0pt;width:52.85pt;z-index:251786240;mso-width-relative:page;mso-height-relative:page;" filled="f" stroked="t" coordsize="21600,21600" o:gfxdata="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iP5ajXAAAABwEA&#10;AA8AAAAAAAAAAQAgAAAAIgAAAGRycy9kb3ducmV2LnhtbFBLAQIUABQAAAAIAIdO4kCpbbQY4gEA&#10;AJ0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65760" behindDoc="0" locked="0" layoutInCell="1" allowOverlap="1">
                <wp:simplePos x="0" y="0"/>
                <wp:positionH relativeFrom="column">
                  <wp:posOffset>3471545</wp:posOffset>
                </wp:positionH>
                <wp:positionV relativeFrom="paragraph">
                  <wp:posOffset>38100</wp:posOffset>
                </wp:positionV>
                <wp:extent cx="871855" cy="0"/>
                <wp:effectExtent l="0" t="38100" r="4445" b="38100"/>
                <wp:wrapNone/>
                <wp:docPr id="286" name="直接连接符 286"/>
                <wp:cNvGraphicFramePr/>
                <a:graphic xmlns:a="http://schemas.openxmlformats.org/drawingml/2006/main">
                  <a:graphicData uri="http://schemas.microsoft.com/office/word/2010/wordprocessingShape">
                    <wps:wsp>
                      <wps:cNvCnPr/>
                      <wps:spPr>
                        <a:xfrm>
                          <a:off x="0" y="0"/>
                          <a:ext cx="87185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3.35pt;margin-top:3pt;height:0pt;width:68.65pt;z-index:251765760;mso-width-relative:page;mso-height-relative:page;" filled="f" stroked="t" coordsize="21600,21600" o:gfxdata="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1cfW3XAAAABwEA&#10;AA8AAAAAAAAAAQAgAAAAIgAAAGRycy9kb3ducmV2LnhtbFBLAQIUABQAAAAIAIdO4kDfEbKU4gEA&#10;AJ0DAAAOAAAAAAAAAAEAIAAAACYBAABkcnMvZTJvRG9jLnhtbFBLBQYAAAAABgAGAFkBAAB6BQAA&#10;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8288" behindDoc="0" locked="0" layoutInCell="1" allowOverlap="1">
                <wp:simplePos x="0" y="0"/>
                <wp:positionH relativeFrom="column">
                  <wp:posOffset>2861945</wp:posOffset>
                </wp:positionH>
                <wp:positionV relativeFrom="paragraph">
                  <wp:posOffset>220980</wp:posOffset>
                </wp:positionV>
                <wp:extent cx="6350" cy="527685"/>
                <wp:effectExtent l="37465" t="0" r="32385" b="5715"/>
                <wp:wrapNone/>
                <wp:docPr id="291" name="直接连接符 291"/>
                <wp:cNvGraphicFramePr/>
                <a:graphic xmlns:a="http://schemas.openxmlformats.org/drawingml/2006/main">
                  <a:graphicData uri="http://schemas.microsoft.com/office/word/2010/wordprocessingShape">
                    <wps:wsp>
                      <wps:cNvCnPr/>
                      <wps:spPr>
                        <a:xfrm flipH="1">
                          <a:off x="0" y="0"/>
                          <a:ext cx="6350" cy="5276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35pt;margin-top:17.4pt;height:41.55pt;width:0.5pt;z-index:251788288;mso-width-relative:page;mso-height-relative:page;" filled="f" stroked="t" coordsize="21600,21600" o:gfxdata="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i4nm/ZAAAACgEAAA8AAAAAAAAAAQAgAAAAIgAAAGRycy9kb3ducmV2LnhtbFBLAQIUABQAAAAI&#10;AIdO4kA0e1NB7AEAAKoDAAAOAAAAAAAAAAEAIAAAACgBAABkcnMvZTJvRG9jLnhtbFBLBQYAAAAA&#10;BgAGAFkBAACGBQAAAAA=&#10;">
                <v:fill on="f" focussize="0,0"/>
                <v:stroke color="#000000" joinstyle="round" endarrow="block"/>
                <v:imagedata o:title=""/>
                <o:lock v:ext="edit" aspectratio="f"/>
              </v:line>
            </w:pict>
          </mc:Fallback>
        </mc:AlternateContent>
      </w:r>
      <w:r>
        <w:rPr>
          <w:rFonts w:hint="eastAsia" w:ascii="宋体" w:hAnsi="宋体"/>
          <w:bCs/>
        </w:rPr>
        <w:t xml:space="preserve">                    </w:t>
      </w:r>
      <w:r>
        <w:rPr>
          <w:rFonts w:hint="eastAsia" w:ascii="宋体" w:hAnsi="宋体"/>
          <w:b/>
          <w:bCs/>
        </w:rPr>
        <w:t xml:space="preserve">                         </w:t>
      </w:r>
    </w:p>
    <w:p>
      <w:pPr>
        <w:spacing w:line="480" w:lineRule="exact"/>
        <w:rPr>
          <w:rFonts w:hint="eastAsia" w:ascii="宋体" w:hAnsi="宋体"/>
          <w:bCs/>
        </w:rPr>
      </w:pPr>
      <w:r>
        <w:rPr>
          <w:rFonts w:hint="eastAsia" w:ascii="宋体" w:hAnsi="宋体"/>
          <w:b/>
          <w:bCs/>
        </w:rPr>
        <w:t xml:space="preserve">                   </w:t>
      </w:r>
      <w:r>
        <w:rPr>
          <w:rFonts w:hint="eastAsia" w:ascii="宋体" w:hAnsi="宋体"/>
          <w:bCs/>
        </w:rPr>
        <w:t xml:space="preserve">                     </w:t>
      </w:r>
    </w:p>
    <w:p>
      <w:pPr>
        <w:spacing w:line="480" w:lineRule="exact"/>
        <w:jc w:val="center"/>
        <w:rPr>
          <w:rFonts w:hint="eastAsia" w:ascii="宋体" w:hAnsi="宋体"/>
          <w:b/>
          <w:bCs/>
        </w:rPr>
      </w:pPr>
      <w:r>
        <w:rPr>
          <w:rFonts w:hint="eastAsia" w:ascii="宋体" w:hAnsi="宋体"/>
          <w:b/>
          <w:bCs/>
        </w:rPr>
        <mc:AlternateContent>
          <mc:Choice Requires="wps">
            <w:drawing>
              <wp:anchor distT="0" distB="0" distL="114300" distR="114300" simplePos="0" relativeHeight="251870208" behindDoc="0" locked="0" layoutInCell="1" allowOverlap="1">
                <wp:simplePos x="0" y="0"/>
                <wp:positionH relativeFrom="column">
                  <wp:posOffset>4457700</wp:posOffset>
                </wp:positionH>
                <wp:positionV relativeFrom="paragraph">
                  <wp:posOffset>129540</wp:posOffset>
                </wp:positionV>
                <wp:extent cx="1028700" cy="297180"/>
                <wp:effectExtent l="0" t="0" r="0" b="0"/>
                <wp:wrapNone/>
                <wp:docPr id="287" name="矩形 287"/>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51pt;margin-top:10.2pt;height:23.4pt;width:81pt;z-index:251870208;mso-width-relative:page;mso-height-relative:page;" filled="f" stroked="f" coordsize="21600,21600" o:gfxdata="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LyqKXNoAAAAJAQAADwAAAAAAAAABACAAAAAiAAAAZHJzL2Rvd25yZXYueG1s&#10;UEsBAhQAFAAAAAgAh07iQGuqBE+EAQAA9wIAAA4AAAAAAAAAAQAgAAAAKQEAAGRycy9lMm9Eb2Mu&#10;eG1sUEsFBgAAAAAGAAYAWQEAAB8FA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93408" behindDoc="0" locked="0" layoutInCell="1" allowOverlap="1">
                <wp:simplePos x="0" y="0"/>
                <wp:positionH relativeFrom="column">
                  <wp:posOffset>766445</wp:posOffset>
                </wp:positionH>
                <wp:positionV relativeFrom="paragraph">
                  <wp:posOffset>118110</wp:posOffset>
                </wp:positionV>
                <wp:extent cx="1028700" cy="297180"/>
                <wp:effectExtent l="0" t="0" r="0" b="0"/>
                <wp:wrapNone/>
                <wp:docPr id="300" name="矩形 300"/>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60.35pt;margin-top:9.3pt;height:23.4pt;width:81pt;z-index:251793408;mso-width-relative:page;mso-height-relative:page;" filled="f" stroked="f" coordsize="21600,21600" o:gfxdata="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uJVTa2QAAAAkBAAAPAAAAAAAAAAEAIAAAACIAAABkcnMvZG93bnJldi54bWxQ&#10;SwECFAAUAAAACACHTuJASkNMa4QBAAD3AgAADgAAAAAAAAABACAAAAAoAQAAZHJzL2Uyb0RvYy54&#10;bWxQSwUGAAAAAAYABgBZAQAAHgU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791360" behindDoc="0" locked="0" layoutInCell="1" allowOverlap="1">
                <wp:simplePos x="0" y="0"/>
                <wp:positionH relativeFrom="column">
                  <wp:posOffset>3719195</wp:posOffset>
                </wp:positionH>
                <wp:positionV relativeFrom="paragraph">
                  <wp:posOffset>41910</wp:posOffset>
                </wp:positionV>
                <wp:extent cx="685800" cy="260985"/>
                <wp:effectExtent l="0" t="0" r="0" b="5715"/>
                <wp:wrapNone/>
                <wp:docPr id="283" name="矩形 283"/>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0.04</w:t>
                            </w:r>
                          </w:p>
                        </w:txbxContent>
                      </wps:txbx>
                      <wps:bodyPr upright="1"/>
                    </wps:wsp>
                  </a:graphicData>
                </a:graphic>
              </wp:anchor>
            </w:drawing>
          </mc:Choice>
          <mc:Fallback>
            <w:pict>
              <v:rect id="_x0000_s1026" o:spid="_x0000_s1026" o:spt="1" style="position:absolute;left:0pt;margin-left:292.85pt;margin-top:3.3pt;height:20.55pt;width:54pt;z-index:251791360;mso-width-relative:page;mso-height-relative:page;" fillcolor="#FFFFFF" filled="t" stroked="f" coordsize="21600,21600" o:gfxdata="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jca+3WAAAACAEAAA8AAAAAAAAAAQAgAAAA&#10;IgAAAGRycy9kb3ducmV2LnhtbFBLAQIUABQAAAAIAIdO4kBYfitWmwEAAB8DAAAOAAAAAAAAAAEA&#10;IAAAACUBAABkcnMvZTJvRG9jLnhtbFBLBQYAAAAABgAGAFkBAAAyBQAAAAA=&#10;">
                <v:fill on="t" focussize="0,0"/>
                <v:stroke on="f"/>
                <v:imagedata o:title=""/>
                <o:lock v:ext="edit" aspectratio="f"/>
                <v:textbox>
                  <w:txbxContent>
                    <w:p>
                      <w:pPr>
                        <w:rPr>
                          <w:rFonts w:hint="eastAsia"/>
                          <w:sz w:val="21"/>
                          <w:szCs w:val="21"/>
                        </w:rPr>
                      </w:pPr>
                      <w:r>
                        <w:rPr>
                          <w:rFonts w:hint="eastAsia"/>
                          <w:sz w:val="21"/>
                          <w:szCs w:val="21"/>
                        </w:rPr>
                        <w:t>0.04</w:t>
                      </w:r>
                    </w:p>
                  </w:txbxContent>
                </v:textbox>
              </v:rect>
            </w:pict>
          </mc:Fallback>
        </mc:AlternateContent>
      </w:r>
      <w:r>
        <w:rPr>
          <w:rFonts w:hint="eastAsia" w:ascii="宋体" w:hAnsi="宋体"/>
          <w:b/>
          <w:bCs/>
        </w:rPr>
        <mc:AlternateContent>
          <mc:Choice Requires="wps">
            <w:drawing>
              <wp:anchor distT="0" distB="0" distL="114300" distR="114300" simplePos="0" relativeHeight="251780096" behindDoc="0" locked="0" layoutInCell="1" allowOverlap="1">
                <wp:simplePos x="0" y="0"/>
                <wp:positionH relativeFrom="column">
                  <wp:posOffset>2152015</wp:posOffset>
                </wp:positionH>
                <wp:positionV relativeFrom="paragraph">
                  <wp:posOffset>167640</wp:posOffset>
                </wp:positionV>
                <wp:extent cx="1485900" cy="297180"/>
                <wp:effectExtent l="4445" t="4445" r="14605" b="22225"/>
                <wp:wrapNone/>
                <wp:docPr id="294" name="矩形 294"/>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熟料冷却、储存系统</w:t>
                            </w:r>
                          </w:p>
                        </w:txbxContent>
                      </wps:txbx>
                      <wps:bodyPr upright="1"/>
                    </wps:wsp>
                  </a:graphicData>
                </a:graphic>
              </wp:anchor>
            </w:drawing>
          </mc:Choice>
          <mc:Fallback>
            <w:pict>
              <v:rect id="_x0000_s1026" o:spid="_x0000_s1026" o:spt="1" style="position:absolute;left:0pt;margin-left:169.45pt;margin-top:13.2pt;height:23.4pt;width:117pt;z-index:251780096;mso-width-relative:page;mso-height-relative:page;" fillcolor="#FFFFFF" filled="t" stroked="t" coordsize="21600,21600" o:gfxdata="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SPjl9gAAAAJAQAADwAAAAAAAAABACAAAAAiAAAAZHJzL2Rvd25yZXYueG1sUEsBAhQAFAAAAAgA&#10;h07iQC1vX/LsAQAA3wMAAA4AAAAAAAAAAQAgAAAAJwEAAGRycy9lMm9Eb2MueG1sUEsFBgAAAAAG&#10;AAYAWQEAAIUFAAAAAA==&#10;">
                <v:fill on="t" focussize="0,0"/>
                <v:stroke color="#000000" joinstyle="miter"/>
                <v:imagedata o:title=""/>
                <o:lock v:ext="edit" aspectratio="f"/>
                <v:textbox>
                  <w:txbxContent>
                    <w:p>
                      <w:r>
                        <w:rPr>
                          <w:rFonts w:hint="eastAsia"/>
                          <w:sz w:val="21"/>
                          <w:szCs w:val="21"/>
                        </w:rPr>
                        <w:t>熟料冷却、储存系统</w:t>
                      </w:r>
                    </w:p>
                  </w:txbxContent>
                </v:textbox>
              </v:rect>
            </w:pict>
          </mc:Fallback>
        </mc:AlternateContent>
      </w:r>
      <w:r>
        <w:rPr>
          <w:rFonts w:hint="eastAsia" w:ascii="宋体" w:hAnsi="宋体"/>
          <w:b/>
          <w:bCs/>
        </w:rPr>
        <w:t xml:space="preserve">                                    </w:t>
      </w:r>
    </w:p>
    <w:p>
      <w:pPr>
        <w:spacing w:line="480" w:lineRule="exact"/>
        <w:rPr>
          <w:rFonts w:hint="eastAsia" w:ascii="宋体" w:hAnsi="宋体"/>
          <w:b/>
          <w:bCs/>
        </w:rPr>
      </w:pPr>
      <w:r>
        <w:rPr>
          <w:rFonts w:hint="eastAsia" w:ascii="宋体" w:hAnsi="宋体"/>
          <w:b/>
          <w:bCs/>
        </w:rPr>
        <mc:AlternateContent>
          <mc:Choice Requires="wps">
            <w:drawing>
              <wp:anchor distT="0" distB="0" distL="114300" distR="114300" simplePos="0" relativeHeight="251790336" behindDoc="0" locked="0" layoutInCell="1" allowOverlap="1">
                <wp:simplePos x="0" y="0"/>
                <wp:positionH relativeFrom="column">
                  <wp:posOffset>3652520</wp:posOffset>
                </wp:positionH>
                <wp:positionV relativeFrom="paragraph">
                  <wp:posOffset>13335</wp:posOffset>
                </wp:positionV>
                <wp:extent cx="800100" cy="0"/>
                <wp:effectExtent l="0" t="38100" r="0" b="38100"/>
                <wp:wrapNone/>
                <wp:docPr id="277" name="直接连接符 277"/>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7.6pt;margin-top:1.05pt;height:0pt;width:63pt;z-index:251790336;mso-width-relative:page;mso-height-relative:page;" filled="f" stroked="t" coordsize="21600,21600" o:gfxdata="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ryTiNYAAAAHAQAA&#10;DwAAAAAAAAABACAAAAAiAAAAZHJzL2Rvd25yZXYueG1sUEsBAhQAFAAAAAgAh07iQJ3H7qjiAQAA&#10;nQMAAA4AAAAAAAAAAQAgAAAAJQEAAGRycy9lMm9Eb2MueG1sUEsFBgAAAAAGAAYAWQEAAHkFAAAA&#10;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781120" behindDoc="0" locked="0" layoutInCell="1" allowOverlap="1">
                <wp:simplePos x="0" y="0"/>
                <wp:positionH relativeFrom="column">
                  <wp:posOffset>2866390</wp:posOffset>
                </wp:positionH>
                <wp:positionV relativeFrom="paragraph">
                  <wp:posOffset>180975</wp:posOffset>
                </wp:positionV>
                <wp:extent cx="0" cy="594360"/>
                <wp:effectExtent l="38100" t="0" r="38100" b="15240"/>
                <wp:wrapNone/>
                <wp:docPr id="297" name="直接连接符 29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7pt;margin-top:14.25pt;height:46.8pt;width:0pt;z-index:251781120;mso-width-relative:page;mso-height-relative:page;" filled="f" stroked="t" coordsize="21600,21600" o:gfxdata="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D9k6nZAAAA&#10;CgEAAA8AAAAAAAAAAQAgAAAAIgAAAGRycy9kb3ducmV2LnhtbFBLAQIUABQAAAAIAIdO4kAcypN9&#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bCs/>
        </w:rPr>
        <w:t xml:space="preserve">        </w: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792384" behindDoc="0" locked="0" layoutInCell="1" allowOverlap="1">
                <wp:simplePos x="0" y="0"/>
                <wp:positionH relativeFrom="column">
                  <wp:posOffset>2890520</wp:posOffset>
                </wp:positionH>
                <wp:positionV relativeFrom="paragraph">
                  <wp:posOffset>13335</wp:posOffset>
                </wp:positionV>
                <wp:extent cx="960120" cy="267335"/>
                <wp:effectExtent l="0" t="0" r="11430" b="18415"/>
                <wp:wrapNone/>
                <wp:docPr id="299" name="矩形 299"/>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2056.16</w:t>
                            </w:r>
                          </w:p>
                        </w:txbxContent>
                      </wps:txbx>
                      <wps:bodyPr upright="1"/>
                    </wps:wsp>
                  </a:graphicData>
                </a:graphic>
              </wp:anchor>
            </w:drawing>
          </mc:Choice>
          <mc:Fallback>
            <w:pict>
              <v:rect id="_x0000_s1026" o:spid="_x0000_s1026" o:spt="1" style="position:absolute;left:0pt;margin-left:227.6pt;margin-top:1.05pt;height:21.05pt;width:75.6pt;z-index:251792384;mso-width-relative:page;mso-height-relative:page;" fillcolor="#FFFFFF" filled="t" stroked="f" coordsize="21600,21600" o:gfxdata="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PM9mU1gAAAAgBAAAPAAAAAAAAAAEAIAAA&#10;ACIAAABkcnMvZG93bnJldi54bWxQSwECFAAUAAAACACHTuJAdaaJhJwBAAAfAwAADgAAAAAAAAAB&#10;ACAAAAAl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2056.16</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6112" behindDoc="0" locked="0" layoutInCell="1" allowOverlap="1">
                <wp:simplePos x="0" y="0"/>
                <wp:positionH relativeFrom="column">
                  <wp:posOffset>3366770</wp:posOffset>
                </wp:positionH>
                <wp:positionV relativeFrom="paragraph">
                  <wp:posOffset>55245</wp:posOffset>
                </wp:positionV>
                <wp:extent cx="685800" cy="260985"/>
                <wp:effectExtent l="0" t="0" r="0" b="5715"/>
                <wp:wrapNone/>
                <wp:docPr id="272" name="矩形 272"/>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0.04</w:t>
                            </w:r>
                          </w:p>
                        </w:txbxContent>
                      </wps:txbx>
                      <wps:bodyPr upright="1"/>
                    </wps:wsp>
                  </a:graphicData>
                </a:graphic>
              </wp:anchor>
            </w:drawing>
          </mc:Choice>
          <mc:Fallback>
            <w:pict>
              <v:rect id="_x0000_s1026" o:spid="_x0000_s1026" o:spt="1" style="position:absolute;left:0pt;margin-left:265.1pt;margin-top:4.35pt;height:20.55pt;width:54pt;z-index:251866112;mso-width-relative:page;mso-height-relative:page;" fillcolor="#FFFFFF" filled="t" stroked="f" coordsize="21600,21600" o:gfxdata="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DUz/wPWAAAACAEAAA8AAAAAAAAAAQAgAAAA&#10;IgAAAGRycy9kb3ducmV2LnhtbFBLAQIUABQAAAAIAIdO4kD79wk8mwEAAB8DAAAOAAAAAAAAAAEA&#10;IAAAACUBAABkcnMvZTJvRG9jLnhtbFBLBQYAAAAABgAGAFkBAAAyBQAAAAA=&#10;">
                <v:fill on="t" focussize="0,0"/>
                <v:stroke on="f"/>
                <v:imagedata o:title=""/>
                <o:lock v:ext="edit" aspectratio="f"/>
                <v:textbox>
                  <w:txbxContent>
                    <w:p>
                      <w:pPr>
                        <w:rPr>
                          <w:rFonts w:hint="eastAsia"/>
                          <w:sz w:val="21"/>
                          <w:szCs w:val="21"/>
                        </w:rPr>
                      </w:pPr>
                      <w:r>
                        <w:rPr>
                          <w:rFonts w:hint="eastAsia"/>
                          <w:sz w:val="21"/>
                          <w:szCs w:val="21"/>
                        </w:rPr>
                        <w:t>0.04</w:t>
                      </w:r>
                    </w:p>
                  </w:txbxContent>
                </v:textbox>
              </v:rect>
            </w:pict>
          </mc:Fallback>
        </mc:AlternateContent>
      </w:r>
      <w:r>
        <w:rPr>
          <w:rFonts w:hint="eastAsia" w:ascii="宋体" w:hAnsi="宋体"/>
          <w:b/>
          <w:bCs/>
        </w:rPr>
        <mc:AlternateContent>
          <mc:Choice Requires="wps">
            <w:drawing>
              <wp:anchor distT="0" distB="0" distL="114300" distR="114300" simplePos="0" relativeHeight="251779072" behindDoc="0" locked="0" layoutInCell="1" allowOverlap="1">
                <wp:simplePos x="0" y="0"/>
                <wp:positionH relativeFrom="column">
                  <wp:posOffset>4114800</wp:posOffset>
                </wp:positionH>
                <wp:positionV relativeFrom="paragraph">
                  <wp:posOffset>205740</wp:posOffset>
                </wp:positionV>
                <wp:extent cx="1028700" cy="297180"/>
                <wp:effectExtent l="0" t="0" r="0" b="0"/>
                <wp:wrapNone/>
                <wp:docPr id="278" name="矩形 278"/>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24pt;margin-top:16.2pt;height:23.4pt;width:81pt;z-index:251779072;mso-width-relative:page;mso-height-relative:page;" filled="f" stroked="f" coordsize="21600,21600" o:gfxdata="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CUrpW02wAAAAkBAAAPAAAAAAAAAAEAIAAAACIAAABkcnMvZG93bnJldi54&#10;bWxQSwECFAAUAAAACACHTuJArIm7R4UBAAD3AgAADgAAAAAAAAABACAAAAAqAQAAZHJzL2Uyb0Rv&#10;Yy54bWxQSwUGAAAAAAYABgBZAQAAIQU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862016" behindDoc="0" locked="0" layoutInCell="1" allowOverlap="1">
                <wp:simplePos x="0" y="0"/>
                <wp:positionH relativeFrom="column">
                  <wp:posOffset>2451735</wp:posOffset>
                </wp:positionH>
                <wp:positionV relativeFrom="paragraph">
                  <wp:posOffset>184785</wp:posOffset>
                </wp:positionV>
                <wp:extent cx="852805" cy="297180"/>
                <wp:effectExtent l="4445" t="4445" r="19050" b="22225"/>
                <wp:wrapNone/>
                <wp:docPr id="279" name="矩形 279"/>
                <wp:cNvGraphicFramePr/>
                <a:graphic xmlns:a="http://schemas.openxmlformats.org/drawingml/2006/main">
                  <a:graphicData uri="http://schemas.microsoft.com/office/word/2010/wordprocessingShape">
                    <wps:wsp>
                      <wps:cNvSpPr/>
                      <wps:spPr>
                        <a:xfrm>
                          <a:off x="0" y="0"/>
                          <a:ext cx="8528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水泥粉磨</w:t>
                            </w:r>
                          </w:p>
                        </w:txbxContent>
                      </wps:txbx>
                      <wps:bodyPr upright="1"/>
                    </wps:wsp>
                  </a:graphicData>
                </a:graphic>
              </wp:anchor>
            </w:drawing>
          </mc:Choice>
          <mc:Fallback>
            <w:pict>
              <v:rect id="_x0000_s1026" o:spid="_x0000_s1026" o:spt="1" style="position:absolute;left:0pt;margin-left:193.05pt;margin-top:14.55pt;height:23.4pt;width:67.15pt;z-index:251862016;mso-width-relative:page;mso-height-relative:page;" fillcolor="#FFFFFF" filled="t" stroked="t" coordsize="21600,21600" o:gfxdata="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n3on2QAAAAkBAAAPAAAAAAAAAAEAIAAAACIAAABkcnMvZG93bnJldi54bWxQSwECFAAUAAAACACH&#10;TuJA59xRW+oBAADeAwAADgAAAAAAAAABACAAAAAoAQAAZHJzL2Uyb0RvYy54bWxQSwUGAAAAAAYA&#10;BgBZAQAAhAUAAAAA&#10;">
                <v:fill on="t" focussize="0,0"/>
                <v:stroke color="#000000" joinstyle="miter"/>
                <v:imagedata o:title=""/>
                <o:lock v:ext="edit" aspectratio="f"/>
                <v:textbox>
                  <w:txbxContent>
                    <w:p>
                      <w:r>
                        <w:rPr>
                          <w:rFonts w:hint="eastAsia"/>
                          <w:sz w:val="21"/>
                          <w:szCs w:val="21"/>
                        </w:rPr>
                        <w:t>水泥粉磨</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7136" behindDoc="0" locked="0" layoutInCell="1" allowOverlap="1">
                <wp:simplePos x="0" y="0"/>
                <wp:positionH relativeFrom="column">
                  <wp:posOffset>2857500</wp:posOffset>
                </wp:positionH>
                <wp:positionV relativeFrom="paragraph">
                  <wp:posOffset>297180</wp:posOffset>
                </wp:positionV>
                <wp:extent cx="960120" cy="267335"/>
                <wp:effectExtent l="0" t="0" r="11430" b="18415"/>
                <wp:wrapNone/>
                <wp:docPr id="280" name="矩形 280"/>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2056.12</w:t>
                            </w:r>
                          </w:p>
                        </w:txbxContent>
                      </wps:txbx>
                      <wps:bodyPr upright="1"/>
                    </wps:wsp>
                  </a:graphicData>
                </a:graphic>
              </wp:anchor>
            </w:drawing>
          </mc:Choice>
          <mc:Fallback>
            <w:pict>
              <v:rect id="_x0000_s1026" o:spid="_x0000_s1026" o:spt="1" style="position:absolute;left:0pt;margin-left:225pt;margin-top:23.4pt;height:21.05pt;width:75.6pt;z-index:251867136;mso-width-relative:page;mso-height-relative:page;" fillcolor="#FFFFFF" filled="t" stroked="f" coordsize="21600,21600" o:gfxdata="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TT2Hi1wAAAAkBAAAPAAAAAAAAAAEAIAAA&#10;ACIAAABkcnMvZG93bnJldi54bWxQSwECFAAUAAAACACHTuJANoY0tpsBAAAfAwAADgAAAAAAAAAB&#10;ACAAAAAmAQAAZHJzL2Uyb0RvYy54bWxQSwUGAAAAAAYABgBZAQAAMwU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2056.12</w:t>
                      </w:r>
                    </w:p>
                  </w:txbxContent>
                </v:textbox>
              </v:rect>
            </w:pict>
          </mc:Fallback>
        </mc:AlternateContent>
      </w:r>
      <w:r>
        <w:rPr>
          <w:rFonts w:hint="eastAsia" w:ascii="宋体" w:hAnsi="宋体"/>
          <w:b/>
          <w:bCs/>
        </w:rPr>
        <mc:AlternateContent>
          <mc:Choice Requires="wps">
            <w:drawing>
              <wp:anchor distT="0" distB="0" distL="114300" distR="114300" simplePos="0" relativeHeight="251865088" behindDoc="0" locked="0" layoutInCell="1" allowOverlap="1">
                <wp:simplePos x="0" y="0"/>
                <wp:positionH relativeFrom="column">
                  <wp:posOffset>3300095</wp:posOffset>
                </wp:positionH>
                <wp:positionV relativeFrom="paragraph">
                  <wp:posOffset>41910</wp:posOffset>
                </wp:positionV>
                <wp:extent cx="800100" cy="0"/>
                <wp:effectExtent l="0" t="38100" r="0" b="38100"/>
                <wp:wrapNone/>
                <wp:docPr id="301" name="直接连接符 301"/>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59.85pt;margin-top:3.3pt;height:0pt;width:63pt;z-index:251865088;mso-width-relative:page;mso-height-relative:page;" filled="f" stroked="t" coordsize="21600,21600" o:gfxdata="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3889Y1gAAAAcBAAAP&#10;AAAAAAAAAAEAIAAAACIAAABkcnMvZG93bnJldi54bWxQSwECFAAUAAAACACHTuJAe8FtjOEBAACd&#10;AwAADgAAAAAAAAABACAAAAAlAQAAZHJzL2Uyb0RvYy54bWxQSwUGAAAAAAYABgBZAQAAeAU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863040" behindDoc="0" locked="0" layoutInCell="1" allowOverlap="1">
                <wp:simplePos x="0" y="0"/>
                <wp:positionH relativeFrom="column">
                  <wp:posOffset>2857500</wp:posOffset>
                </wp:positionH>
                <wp:positionV relativeFrom="paragraph">
                  <wp:posOffset>198120</wp:posOffset>
                </wp:positionV>
                <wp:extent cx="4445" cy="462915"/>
                <wp:effectExtent l="34290" t="0" r="37465" b="13335"/>
                <wp:wrapNone/>
                <wp:docPr id="285" name="直接连接符 285"/>
                <wp:cNvGraphicFramePr/>
                <a:graphic xmlns:a="http://schemas.openxmlformats.org/drawingml/2006/main">
                  <a:graphicData uri="http://schemas.microsoft.com/office/word/2010/wordprocessingShape">
                    <wps:wsp>
                      <wps:cNvCnPr/>
                      <wps:spPr>
                        <a:xfrm>
                          <a:off x="0" y="0"/>
                          <a:ext cx="4445" cy="462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15.6pt;height:36.45pt;width:0.35pt;z-index:251863040;mso-width-relative:page;mso-height-relative:page;" filled="f" stroked="t" coordsize="21600,21600" o:gfxdata="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q/XTZ&#10;AAAACgEAAA8AAAAAAAAAAQAgAAAAIgAAAGRycy9kb3ducmV2LnhtbFBLAQIUABQAAAAIAIdO4kCT&#10;wero5gEAAKADAAAOAAAAAAAAAAEAIAAAACgBAABkcnMvZTJvRG9jLnhtbFBLBQYAAAAABgAGAFkB&#10;AACABQAAAAA=&#10;">
                <v:fill on="f" focussize="0,0"/>
                <v:stroke color="#000000" joinstyle="round" endarrow="block"/>
                <v:imagedata o:title=""/>
                <o:lock v:ext="edit" aspectratio="f"/>
              </v:line>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1232" behindDoc="0" locked="0" layoutInCell="1" allowOverlap="1">
                <wp:simplePos x="0" y="0"/>
                <wp:positionH relativeFrom="column">
                  <wp:posOffset>3543300</wp:posOffset>
                </wp:positionH>
                <wp:positionV relativeFrom="paragraph">
                  <wp:posOffset>190500</wp:posOffset>
                </wp:positionV>
                <wp:extent cx="685800" cy="260985"/>
                <wp:effectExtent l="0" t="0" r="0" b="5715"/>
                <wp:wrapNone/>
                <wp:docPr id="271" name="矩形 271"/>
                <wp:cNvGraphicFramePr/>
                <a:graphic xmlns:a="http://schemas.openxmlformats.org/drawingml/2006/main">
                  <a:graphicData uri="http://schemas.microsoft.com/office/word/2010/wordprocessingShape">
                    <wps:wsp>
                      <wps:cNvSpPr/>
                      <wps:spPr>
                        <a:xfrm>
                          <a:off x="0" y="0"/>
                          <a:ext cx="685800" cy="260985"/>
                        </a:xfrm>
                        <a:prstGeom prst="rect">
                          <a:avLst/>
                        </a:prstGeom>
                        <a:solidFill>
                          <a:srgbClr val="FFFFFF"/>
                        </a:solidFill>
                        <a:ln>
                          <a:noFill/>
                        </a:ln>
                      </wps:spPr>
                      <wps:txbx>
                        <w:txbxContent>
                          <w:p>
                            <w:pPr>
                              <w:rPr>
                                <w:rFonts w:hint="eastAsia"/>
                                <w:sz w:val="21"/>
                                <w:szCs w:val="21"/>
                              </w:rPr>
                            </w:pPr>
                            <w:r>
                              <w:rPr>
                                <w:rFonts w:hint="eastAsia"/>
                                <w:sz w:val="21"/>
                                <w:szCs w:val="21"/>
                              </w:rPr>
                              <w:t>0.01</w:t>
                            </w:r>
                          </w:p>
                        </w:txbxContent>
                      </wps:txbx>
                      <wps:bodyPr upright="1"/>
                    </wps:wsp>
                  </a:graphicData>
                </a:graphic>
              </wp:anchor>
            </w:drawing>
          </mc:Choice>
          <mc:Fallback>
            <w:pict>
              <v:rect id="_x0000_s1026" o:spid="_x0000_s1026" o:spt="1" style="position:absolute;left:0pt;margin-left:279pt;margin-top:15pt;height:20.55pt;width:54pt;z-index:251871232;mso-width-relative:page;mso-height-relative:page;" fillcolor="#FFFFFF" filled="t" stroked="f" coordsize="21600,21600" o:gfxdata="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ETbyw1wAAAAkBAAAPAAAAAAAAAAEAIAAA&#10;ACIAAABkcnMvZG93bnJldi54bWxQSwECFAAUAAAACACHTuJAQ/RMLJsBAAAfAwAADgAAAAAAAAAB&#10;ACAAAAAmAQAAZHJzL2Uyb0RvYy54bWxQSwUGAAAAAAYABgBZAQAAMwUAAAAA&#10;">
                <v:fill on="t" focussize="0,0"/>
                <v:stroke on="f"/>
                <v:imagedata o:title=""/>
                <o:lock v:ext="edit" aspectratio="f"/>
                <v:textbox>
                  <w:txbxContent>
                    <w:p>
                      <w:pPr>
                        <w:rPr>
                          <w:rFonts w:hint="eastAsia"/>
                          <w:sz w:val="21"/>
                          <w:szCs w:val="21"/>
                        </w:rPr>
                      </w:pPr>
                      <w:r>
                        <w:rPr>
                          <w:rFonts w:hint="eastAsia"/>
                          <w:sz w:val="21"/>
                          <w:szCs w:val="21"/>
                        </w:rPr>
                        <w:t>0.01</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69184" behindDoc="0" locked="0" layoutInCell="1" allowOverlap="1">
                <wp:simplePos x="0" y="0"/>
                <wp:positionH relativeFrom="column">
                  <wp:posOffset>4343400</wp:posOffset>
                </wp:positionH>
                <wp:positionV relativeFrom="paragraph">
                  <wp:posOffset>83820</wp:posOffset>
                </wp:positionV>
                <wp:extent cx="1028700" cy="297180"/>
                <wp:effectExtent l="0" t="0" r="0" b="0"/>
                <wp:wrapNone/>
                <wp:docPr id="296" name="矩形 296"/>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pPr>
                              <w:rPr>
                                <w:sz w:val="21"/>
                                <w:szCs w:val="21"/>
                              </w:rPr>
                            </w:pPr>
                            <w:r>
                              <w:rPr>
                                <w:rFonts w:hint="eastAsia"/>
                                <w:sz w:val="21"/>
                                <w:szCs w:val="21"/>
                              </w:rPr>
                              <w:t>外排粉尘</w:t>
                            </w:r>
                          </w:p>
                        </w:txbxContent>
                      </wps:txbx>
                      <wps:bodyPr upright="1"/>
                    </wps:wsp>
                  </a:graphicData>
                </a:graphic>
              </wp:anchor>
            </w:drawing>
          </mc:Choice>
          <mc:Fallback>
            <w:pict>
              <v:rect id="_x0000_s1026" o:spid="_x0000_s1026" o:spt="1" style="position:absolute;left:0pt;margin-left:342pt;margin-top:6.6pt;height:23.4pt;width:81pt;z-index:251869184;mso-width-relative:page;mso-height-relative:page;" filled="f" stroked="f" coordsize="21600,21600" o:gfxdata="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SwWjNkAAAAJAQAADwAAAAAAAAABACAAAAAiAAAAZHJzL2Rvd25yZXYueG1s&#10;UEsBAhQAFAAAAAgAh07iQKetMCOFAQAA9wIAAA4AAAAAAAAAAQAgAAAAKAEAAGRycy9lMm9Eb2Mu&#10;eG1sUEsFBgAAAAAGAAYAWQEAAB8FAAAAAA==&#10;">
                <v:fill on="f" focussize="0,0"/>
                <v:stroke on="f"/>
                <v:imagedata o:title=""/>
                <o:lock v:ext="edit" aspectratio="f"/>
                <v:textbox>
                  <w:txbxContent>
                    <w:p>
                      <w:pPr>
                        <w:rPr>
                          <w:sz w:val="21"/>
                          <w:szCs w:val="21"/>
                        </w:rPr>
                      </w:pPr>
                      <w:r>
                        <w:rPr>
                          <w:rFonts w:hint="eastAsia"/>
                          <w:sz w:val="21"/>
                          <w:szCs w:val="21"/>
                        </w:rPr>
                        <w:t>外排粉尘</w:t>
                      </w:r>
                    </w:p>
                  </w:txbxContent>
                </v:textbox>
              </v:rect>
            </w:pict>
          </mc:Fallback>
        </mc:AlternateContent>
      </w:r>
      <w:r>
        <w:rPr>
          <w:rFonts w:hint="eastAsia" w:ascii="宋体" w:hAnsi="宋体"/>
          <w:b/>
          <w:bCs/>
        </w:rPr>
        <mc:AlternateContent>
          <mc:Choice Requires="wps">
            <w:drawing>
              <wp:anchor distT="0" distB="0" distL="114300" distR="114300" simplePos="0" relativeHeight="251868160" behindDoc="0" locked="0" layoutInCell="1" allowOverlap="1">
                <wp:simplePos x="0" y="0"/>
                <wp:positionH relativeFrom="column">
                  <wp:posOffset>3490595</wp:posOffset>
                </wp:positionH>
                <wp:positionV relativeFrom="paragraph">
                  <wp:posOffset>213360</wp:posOffset>
                </wp:positionV>
                <wp:extent cx="800100" cy="0"/>
                <wp:effectExtent l="0" t="38100" r="0" b="38100"/>
                <wp:wrapNone/>
                <wp:docPr id="274" name="直接连接符 274"/>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85pt;margin-top:16.8pt;height:0pt;width:63pt;z-index:251868160;mso-width-relative:page;mso-height-relative:page;" filled="f" stroked="t" coordsize="21600,21600" o:gfxdata="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RdzUNkAAAAJ&#10;AQAADwAAAAAAAAABACAAAAAiAAAAZHJzL2Rvd25yZXYueG1sUEsBAhQAFAAAAAgAh07iQPWuLTD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ascii="宋体" w:hAnsi="宋体"/>
          <w:b/>
          <w:bCs/>
        </w:rPr>
        <mc:AlternateContent>
          <mc:Choice Requires="wps">
            <w:drawing>
              <wp:anchor distT="0" distB="0" distL="114300" distR="114300" simplePos="0" relativeHeight="251864064" behindDoc="0" locked="0" layoutInCell="1" allowOverlap="1">
                <wp:simplePos x="0" y="0"/>
                <wp:positionH relativeFrom="column">
                  <wp:posOffset>2332990</wp:posOffset>
                </wp:positionH>
                <wp:positionV relativeFrom="paragraph">
                  <wp:posOffset>53340</wp:posOffset>
                </wp:positionV>
                <wp:extent cx="1143000" cy="297180"/>
                <wp:effectExtent l="4445" t="4445" r="14605" b="22225"/>
                <wp:wrapNone/>
                <wp:docPr id="284" name="矩形 284"/>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21"/>
                                <w:szCs w:val="21"/>
                              </w:rPr>
                              <w:t>水泥储存、包装</w:t>
                            </w:r>
                          </w:p>
                        </w:txbxContent>
                      </wps:txbx>
                      <wps:bodyPr upright="1"/>
                    </wps:wsp>
                  </a:graphicData>
                </a:graphic>
              </wp:anchor>
            </w:drawing>
          </mc:Choice>
          <mc:Fallback>
            <w:pict>
              <v:rect id="_x0000_s1026" o:spid="_x0000_s1026" o:spt="1" style="position:absolute;left:0pt;margin-left:183.7pt;margin-top:4.2pt;height:23.4pt;width:90pt;z-index:251864064;mso-width-relative:page;mso-height-relative:page;" fillcolor="#FFFFFF" filled="t" stroked="t" coordsize="21600,21600" o:gfxdata="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wrSS1wAAAAgBAAAPAAAAAAAAAAEAIAAAACIAAABkcnMvZG93bnJldi54bWxQSwECFAAUAAAACACH&#10;TuJAR7NlNuwBAADfAwAADgAAAAAAAAABACAAAAAmAQAAZHJzL2Uyb0RvYy54bWxQSwUGAAAAAAYA&#10;BgBZAQAAhAUAAAAA&#10;">
                <v:fill on="t" focussize="0,0"/>
                <v:stroke color="#000000" joinstyle="miter"/>
                <v:imagedata o:title=""/>
                <o:lock v:ext="edit" aspectratio="f"/>
                <v:textbox>
                  <w:txbxContent>
                    <w:p>
                      <w:r>
                        <w:rPr>
                          <w:rFonts w:hint="eastAsia"/>
                          <w:sz w:val="21"/>
                          <w:szCs w:val="21"/>
                        </w:rPr>
                        <w:t>水泥储存、包装</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2256" behindDoc="0" locked="0" layoutInCell="1" allowOverlap="1">
                <wp:simplePos x="0" y="0"/>
                <wp:positionH relativeFrom="column">
                  <wp:posOffset>2857500</wp:posOffset>
                </wp:positionH>
                <wp:positionV relativeFrom="paragraph">
                  <wp:posOffset>76200</wp:posOffset>
                </wp:positionV>
                <wp:extent cx="0" cy="594360"/>
                <wp:effectExtent l="38100" t="0" r="38100" b="15240"/>
                <wp:wrapNone/>
                <wp:docPr id="288" name="直接连接符 288"/>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pt;margin-top:6pt;height:46.8pt;width:0pt;z-index:251872256;mso-width-relative:page;mso-height-relative:page;" filled="f" stroked="t" coordsize="21600,21600" o:gfxdata="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lsZV1wAAAAoB&#10;AAAPAAAAAAAAAAEAIAAAACIAAABkcnMvZG93bnJldi54bWxQSwECFAAUAAAACACHTuJAKeixY+MB&#10;AACdAwAADgAAAAAAAAABACAAAAAm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2628900</wp:posOffset>
                </wp:positionH>
                <wp:positionV relativeFrom="paragraph">
                  <wp:posOffset>175260</wp:posOffset>
                </wp:positionV>
                <wp:extent cx="624205" cy="297180"/>
                <wp:effectExtent l="0" t="0" r="0" b="0"/>
                <wp:wrapNone/>
                <wp:docPr id="289" name="矩形 289"/>
                <wp:cNvGraphicFramePr/>
                <a:graphic xmlns:a="http://schemas.openxmlformats.org/drawingml/2006/main">
                  <a:graphicData uri="http://schemas.microsoft.com/office/word/2010/wordprocessingShape">
                    <wps:wsp>
                      <wps:cNvSpPr/>
                      <wps:spPr>
                        <a:xfrm>
                          <a:off x="0" y="0"/>
                          <a:ext cx="624205" cy="297180"/>
                        </a:xfrm>
                        <a:prstGeom prst="rect">
                          <a:avLst/>
                        </a:prstGeom>
                        <a:noFill/>
                        <a:ln>
                          <a:noFill/>
                        </a:ln>
                      </wps:spPr>
                      <wps:txbx>
                        <w:txbxContent>
                          <w:p/>
                        </w:txbxContent>
                      </wps:txbx>
                      <wps:bodyPr upright="1"/>
                    </wps:wsp>
                  </a:graphicData>
                </a:graphic>
              </wp:anchor>
            </w:drawing>
          </mc:Choice>
          <mc:Fallback>
            <w:pict>
              <v:rect id="_x0000_s1026" o:spid="_x0000_s1026" o:spt="1" style="position:absolute;left:0pt;margin-left:207pt;margin-top:13.8pt;height:23.4pt;width:49.15pt;z-index:251778048;mso-width-relative:page;mso-height-relative:page;" filled="f" stroked="f" coordsize="21600,21600" o:gfxdata="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TCYg+2wAAAAkBAAAPAAAAAAAAAAEAIAAAACIAAABkcnMvZG93bnJldi54&#10;bWxQSwECFAAUAAAACACHTuJAKS+k74UBAAD2AgAADgAAAAAAAAABACAAAAAqAQAAZHJzL2Uyb0Rv&#10;Yy54bWxQSwUGAAAAAAYABgBZAQAAIQUAAAAA&#10;">
                <v:fill on="f" focussize="0,0"/>
                <v:stroke on="f"/>
                <v:imagedata o:title=""/>
                <o:lock v:ext="edit" aspectratio="f"/>
                <v:textbox>
                  <w:txbxContent>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4304" behindDoc="0" locked="0" layoutInCell="1" allowOverlap="1">
                <wp:simplePos x="0" y="0"/>
                <wp:positionH relativeFrom="column">
                  <wp:posOffset>2890520</wp:posOffset>
                </wp:positionH>
                <wp:positionV relativeFrom="paragraph">
                  <wp:posOffset>22860</wp:posOffset>
                </wp:positionV>
                <wp:extent cx="960120" cy="267335"/>
                <wp:effectExtent l="0" t="0" r="11430" b="18415"/>
                <wp:wrapNone/>
                <wp:docPr id="290" name="矩形 290"/>
                <wp:cNvGraphicFramePr/>
                <a:graphic xmlns:a="http://schemas.openxmlformats.org/drawingml/2006/main">
                  <a:graphicData uri="http://schemas.microsoft.com/office/word/2010/wordprocessingShape">
                    <wps:wsp>
                      <wps:cNvSpPr/>
                      <wps:spPr>
                        <a:xfrm>
                          <a:off x="0" y="0"/>
                          <a:ext cx="960120" cy="267335"/>
                        </a:xfrm>
                        <a:prstGeom prst="rect">
                          <a:avLst/>
                        </a:prstGeom>
                        <a:solidFill>
                          <a:srgbClr val="FFFFFF"/>
                        </a:solidFill>
                        <a:ln>
                          <a:noFill/>
                        </a:ln>
                      </wps:spPr>
                      <wps:txbx>
                        <w:txbxContent>
                          <w:p>
                            <w:pPr>
                              <w:rPr>
                                <w:rFonts w:hint="eastAsia" w:ascii="宋体" w:hAnsi="宋体"/>
                                <w:sz w:val="21"/>
                                <w:szCs w:val="21"/>
                              </w:rPr>
                            </w:pPr>
                            <w:r>
                              <w:rPr>
                                <w:rFonts w:hint="eastAsia" w:ascii="宋体" w:hAnsi="宋体"/>
                                <w:sz w:val="21"/>
                                <w:szCs w:val="21"/>
                              </w:rPr>
                              <w:t>2056.11</w:t>
                            </w:r>
                          </w:p>
                        </w:txbxContent>
                      </wps:txbx>
                      <wps:bodyPr upright="1"/>
                    </wps:wsp>
                  </a:graphicData>
                </a:graphic>
              </wp:anchor>
            </w:drawing>
          </mc:Choice>
          <mc:Fallback>
            <w:pict>
              <v:rect id="_x0000_s1026" o:spid="_x0000_s1026" o:spt="1" style="position:absolute;left:0pt;margin-left:227.6pt;margin-top:1.8pt;height:21.05pt;width:75.6pt;z-index:251874304;mso-width-relative:page;mso-height-relative:page;" fillcolor="#FFFFFF" filled="t" stroked="f" coordsize="21600,21600" o:gfxdata="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bF0E9UAAAAIAQAADwAAAAAAAAABACAAAAAi&#10;AAAAZHJzL2Rvd25yZXYueG1sUEsBAhQAFAAAAAgAh07iQF2sUvWbAQAAHwMAAA4AAAAAAAAAAQAg&#10;AAAAJAEAAGRycy9lMm9Eb2MueG1sUEsFBgAAAAAGAAYAWQEAADEFAAAAAA==&#10;">
                <v:fill on="t" focussize="0,0"/>
                <v:stroke on="f"/>
                <v:imagedata o:title=""/>
                <o:lock v:ext="edit" aspectratio="f"/>
                <v:textbox>
                  <w:txbxContent>
                    <w:p>
                      <w:pPr>
                        <w:rPr>
                          <w:rFonts w:hint="eastAsia" w:ascii="宋体" w:hAnsi="宋体"/>
                          <w:sz w:val="21"/>
                          <w:szCs w:val="21"/>
                        </w:rPr>
                      </w:pPr>
                      <w:r>
                        <w:rPr>
                          <w:rFonts w:hint="eastAsia" w:ascii="宋体" w:hAnsi="宋体"/>
                          <w:sz w:val="21"/>
                          <w:szCs w:val="21"/>
                        </w:rPr>
                        <w:t>2056.11</w:t>
                      </w:r>
                    </w:p>
                  </w:txbxContent>
                </v:textbox>
              </v:rect>
            </w:pict>
          </mc:Fallback>
        </mc:AlternateContent>
      </w:r>
    </w:p>
    <w:p>
      <w:pPr>
        <w:spacing w:line="480" w:lineRule="exact"/>
        <w:jc w:val="center"/>
        <w:rPr>
          <w:rFonts w:hint="eastAsia"/>
          <w:b/>
          <w:sz w:val="28"/>
          <w:szCs w:val="28"/>
        </w:rPr>
      </w:pPr>
      <w:r>
        <w:rPr>
          <w:rFonts w:hint="eastAsia" w:ascii="宋体" w:hAnsi="宋体"/>
          <w:b/>
          <w:bCs/>
        </w:rPr>
        <mc:AlternateContent>
          <mc:Choice Requires="wps">
            <w:drawing>
              <wp:anchor distT="0" distB="0" distL="114300" distR="114300" simplePos="0" relativeHeight="251873280" behindDoc="0" locked="0" layoutInCell="1" allowOverlap="1">
                <wp:simplePos x="0" y="0"/>
                <wp:positionH relativeFrom="column">
                  <wp:posOffset>2433320</wp:posOffset>
                </wp:positionH>
                <wp:positionV relativeFrom="paragraph">
                  <wp:posOffset>80010</wp:posOffset>
                </wp:positionV>
                <wp:extent cx="1028700" cy="297180"/>
                <wp:effectExtent l="0" t="0" r="0" b="0"/>
                <wp:wrapNone/>
                <wp:docPr id="292" name="矩形 292"/>
                <wp:cNvGraphicFramePr/>
                <a:graphic xmlns:a="http://schemas.openxmlformats.org/drawingml/2006/main">
                  <a:graphicData uri="http://schemas.microsoft.com/office/word/2010/wordprocessingShape">
                    <wps:wsp>
                      <wps:cNvSpPr/>
                      <wps:spPr>
                        <a:xfrm>
                          <a:off x="0" y="0"/>
                          <a:ext cx="1028700" cy="297180"/>
                        </a:xfrm>
                        <a:prstGeom prst="rect">
                          <a:avLst/>
                        </a:prstGeom>
                        <a:noFill/>
                        <a:ln>
                          <a:noFill/>
                        </a:ln>
                      </wps:spPr>
                      <wps:txbx>
                        <w:txbxContent>
                          <w:p>
                            <w:r>
                              <w:rPr>
                                <w:rFonts w:hint="eastAsia"/>
                              </w:rPr>
                              <w:t>水泥外运</w:t>
                            </w:r>
                          </w:p>
                        </w:txbxContent>
                      </wps:txbx>
                      <wps:bodyPr upright="1"/>
                    </wps:wsp>
                  </a:graphicData>
                </a:graphic>
              </wp:anchor>
            </w:drawing>
          </mc:Choice>
          <mc:Fallback>
            <w:pict>
              <v:rect id="_x0000_s1026" o:spid="_x0000_s1026" o:spt="1" style="position:absolute;left:0pt;margin-left:191.6pt;margin-top:6.3pt;height:23.4pt;width:81pt;z-index:251873280;mso-width-relative:page;mso-height-relative:page;" filled="f" stroked="f" coordsize="21600,21600" o:gfxdata="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yxJPr2wAAAAkBAAAPAAAAAAAAAAEAIAAAACIAAABkcnMvZG93bnJldi54&#10;bWxQSwECFAAUAAAACACHTuJAK1sQrIUBAAD3AgAADgAAAAAAAAABACAAAAAqAQAAZHJzL2Uyb0Rv&#10;Yy54bWxQSwUGAAAAAAYABgBZAQAAIQUAAAAA&#10;">
                <v:fill on="f" focussize="0,0"/>
                <v:stroke on="f"/>
                <v:imagedata o:title=""/>
                <o:lock v:ext="edit" aspectratio="f"/>
                <v:textbox>
                  <w:txbxContent>
                    <w:p>
                      <w:r>
                        <w:rPr>
                          <w:rFonts w:hint="eastAsia"/>
                        </w:rPr>
                        <w:t>水泥外运</w:t>
                      </w:r>
                    </w:p>
                  </w:txbxContent>
                </v:textbox>
              </v:rect>
            </w:pict>
          </mc:Fallback>
        </mc:AlternateContent>
      </w:r>
    </w:p>
    <w:p>
      <w:pPr>
        <w:spacing w:line="480" w:lineRule="exact"/>
        <w:jc w:val="center"/>
        <w:rPr>
          <w:rFonts w:hint="eastAsia"/>
          <w:b/>
          <w:sz w:val="28"/>
          <w:szCs w:val="28"/>
        </w:rPr>
      </w:pPr>
    </w:p>
    <w:p>
      <w:pPr>
        <w:spacing w:line="480" w:lineRule="exact"/>
        <w:jc w:val="center"/>
        <w:rPr>
          <w:rFonts w:hint="eastAsia"/>
          <w:b/>
          <w:sz w:val="28"/>
          <w:szCs w:val="28"/>
        </w:rPr>
      </w:pPr>
    </w:p>
    <w:p>
      <w:pPr>
        <w:spacing w:line="480" w:lineRule="exact"/>
        <w:jc w:val="center"/>
        <w:rPr>
          <w:rFonts w:hint="eastAsia" w:ascii="宋体" w:hAnsi="宋体"/>
          <w:b/>
          <w:bCs/>
        </w:rPr>
      </w:pPr>
      <w:r>
        <w:rPr>
          <w:rFonts w:hint="eastAsia" w:ascii="宋体" w:hAnsi="宋体"/>
          <w:b/>
        </w:rPr>
        <w:t xml:space="preserve">图3.4   </w:t>
      </w:r>
      <w:r>
        <w:rPr>
          <w:rFonts w:hint="eastAsia" w:ascii="宋体" w:hAnsi="宋体"/>
          <w:b/>
          <w:bCs/>
        </w:rPr>
        <w:t xml:space="preserve">  硫平衡图（以硫计，单位：t/a）</w:t>
      </w:r>
    </w:p>
    <w:p>
      <w:pPr>
        <w:spacing w:line="460" w:lineRule="exact"/>
        <w:ind w:firstLine="420" w:firstLineChars="200"/>
        <w:rPr>
          <w:rFonts w:hint="eastAsia"/>
        </w:rPr>
      </w:pPr>
    </w:p>
    <w:p>
      <w:pPr>
        <w:spacing w:line="460" w:lineRule="exact"/>
        <w:ind w:firstLine="420" w:firstLineChars="200"/>
        <w:rPr>
          <w:rFonts w:hint="eastAsia"/>
        </w:rPr>
      </w:pPr>
    </w:p>
    <w:p>
      <w:pPr>
        <w:spacing w:line="460" w:lineRule="exact"/>
        <w:ind w:firstLine="422" w:firstLineChars="200"/>
        <w:rPr>
          <w:b/>
        </w:rPr>
        <w:sectPr>
          <w:pgSz w:w="11906" w:h="16838"/>
          <w:pgMar w:top="1134" w:right="1418" w:bottom="1134" w:left="1418" w:header="851" w:footer="992" w:gutter="0"/>
          <w:paperSrc w:first="20070" w:other="20070"/>
          <w:cols w:space="425" w:num="1"/>
          <w:docGrid w:linePitch="312" w:charSpace="0"/>
        </w:sectPr>
      </w:pPr>
      <w:r>
        <w:rPr>
          <w:b/>
        </w:rPr>
        <w:t xml:space="preserve"> </w:t>
      </w:r>
    </w:p>
    <w:p>
      <w:pPr>
        <w:spacing w:line="360" w:lineRule="auto"/>
        <w:outlineLvl w:val="2"/>
        <w:rPr>
          <w:rFonts w:hint="eastAsia"/>
          <w:b/>
          <w:bCs/>
          <w:szCs w:val="20"/>
        </w:rPr>
      </w:pPr>
      <w:bookmarkStart w:id="147" w:name="_Toc189814143"/>
      <w:bookmarkStart w:id="148" w:name="_Toc150759638"/>
      <w:bookmarkStart w:id="149" w:name="_Toc473281501"/>
      <w:bookmarkStart w:id="150" w:name="_Toc155859740"/>
      <w:bookmarkStart w:id="151" w:name="_Toc175479799"/>
      <w:r>
        <w:rPr>
          <w:rFonts w:hint="eastAsia"/>
          <w:b/>
          <w:bCs/>
          <w:szCs w:val="20"/>
        </w:rPr>
        <w:t>3.2.3 余热发电部分</w:t>
      </w:r>
      <w:bookmarkEnd w:id="147"/>
      <w:bookmarkEnd w:id="148"/>
      <w:bookmarkEnd w:id="149"/>
      <w:bookmarkEnd w:id="150"/>
    </w:p>
    <w:p>
      <w:pPr>
        <w:spacing w:line="360" w:lineRule="auto"/>
        <w:outlineLvl w:val="2"/>
        <w:rPr>
          <w:b/>
          <w:bCs/>
          <w:szCs w:val="20"/>
        </w:rPr>
      </w:pPr>
      <w:bookmarkStart w:id="152" w:name="_Toc140500105"/>
      <w:r>
        <w:rPr>
          <w:rFonts w:hint="eastAsia"/>
          <w:b/>
          <w:bCs/>
          <w:szCs w:val="20"/>
        </w:rPr>
        <w:t xml:space="preserve">3.2.3.1 </w:t>
      </w:r>
      <w:r>
        <w:rPr>
          <w:b/>
          <w:bCs/>
          <w:szCs w:val="20"/>
        </w:rPr>
        <w:t>低温余热发电工艺流程简述</w:t>
      </w:r>
    </w:p>
    <w:p>
      <w:pPr>
        <w:spacing w:line="480" w:lineRule="exact"/>
        <w:ind w:firstLine="420" w:firstLineChars="200"/>
        <w:rPr>
          <w:rFonts w:ascii="宋体" w:hAnsi="宋体"/>
        </w:rPr>
      </w:pPr>
      <w:r>
        <w:rPr>
          <w:rFonts w:hint="eastAsia" w:ascii="宋体" w:hAnsi="宋体"/>
        </w:rPr>
        <w:t>（1）</w:t>
      </w:r>
      <w:r>
        <w:rPr>
          <w:rFonts w:ascii="宋体" w:hAnsi="宋体"/>
        </w:rPr>
        <w:t xml:space="preserve"> 烟气流程</w:t>
      </w:r>
    </w:p>
    <w:p>
      <w:pPr>
        <w:spacing w:line="480" w:lineRule="exact"/>
        <w:ind w:firstLine="420" w:firstLineChars="200"/>
        <w:rPr>
          <w:rFonts w:ascii="宋体" w:hAnsi="宋体"/>
        </w:rPr>
      </w:pPr>
      <w:r>
        <w:rPr>
          <w:rFonts w:ascii="宋体" w:hAnsi="宋体"/>
        </w:rPr>
        <w:t>出窑尾一级筒的废气（约330℃）经SP炉换热后温度降至230℃左右，经窑尾高温风机送至原料磨烘干原料后，经除尘器净化后达标排放。</w:t>
      </w:r>
    </w:p>
    <w:p>
      <w:pPr>
        <w:spacing w:line="480" w:lineRule="exact"/>
        <w:ind w:firstLine="420" w:firstLineChars="200"/>
        <w:rPr>
          <w:rFonts w:ascii="宋体" w:hAnsi="宋体"/>
        </w:rPr>
      </w:pPr>
      <w:r>
        <w:rPr>
          <w:rFonts w:ascii="宋体" w:hAnsi="宋体"/>
        </w:rPr>
        <w:t>取自窑头篦冷机废气（约360℃）经沉降室沉降（预收尘装置）后进入AQC炉，热交换后进入收尘器净化达标后与熟料冷却机尾部的废气会合后由引风机经烟囱达标排出。</w:t>
      </w:r>
    </w:p>
    <w:p>
      <w:pPr>
        <w:widowControl/>
        <w:tabs>
          <w:tab w:val="left" w:pos="567"/>
        </w:tabs>
        <w:spacing w:line="480" w:lineRule="exact"/>
        <w:ind w:firstLine="420" w:firstLineChars="200"/>
        <w:textAlignment w:val="bottom"/>
        <w:rPr>
          <w:rFonts w:ascii="宋体" w:hAnsi="宋体"/>
        </w:rPr>
      </w:pPr>
      <w:r>
        <w:rPr>
          <w:rFonts w:hint="eastAsia" w:ascii="宋体" w:hAnsi="宋体"/>
        </w:rPr>
        <w:t>（2）</w:t>
      </w:r>
      <w:r>
        <w:rPr>
          <w:rFonts w:ascii="宋体" w:hAnsi="宋体"/>
        </w:rPr>
        <w:t>水、汽流程</w:t>
      </w:r>
    </w:p>
    <w:p>
      <w:pPr>
        <w:widowControl/>
        <w:tabs>
          <w:tab w:val="left" w:pos="567"/>
        </w:tabs>
        <w:spacing w:line="480" w:lineRule="exact"/>
        <w:ind w:firstLine="420" w:firstLineChars="200"/>
        <w:textAlignment w:val="bottom"/>
        <w:rPr>
          <w:rFonts w:ascii="宋体" w:hAnsi="宋体"/>
        </w:rPr>
      </w:pPr>
      <w:r>
        <w:rPr>
          <w:rFonts w:ascii="宋体" w:hAnsi="宋体"/>
        </w:rPr>
        <w:t>原水经机械过滤器、活性碳过滤器预处理后进入软化水装置，达标后的软水作为发电系统的补充水补入发电系统的除氧器。经除氧后的软水由锅炉给水泵送至AQC炉的省煤器段。进入AQC炉的给水经炉内低温段预热，按一定比例分别进入AQC炉和SP炉的蒸发段、过热段后，AQC炉产1.6MPa、320℃及0.4MPa、160℃的过热蒸汽，SP炉得到1.6MPa、300℃的过热蒸汽，1.6MPa的过热蒸汽经集汽缸混合后，与低压过热蒸汽分别进入汽轮机的进汽口，供汽轮机做功发电。经汽轮机作功后的蒸汽进入凝汽器冷凝成凝结水后，由凝结水泵送至化学除氧器除氧，再由锅炉给水泵将除氧后的冷凝水和补充水直接送至AQC炉，完成一个汽水循环。</w:t>
      </w:r>
    </w:p>
    <w:p>
      <w:pPr>
        <w:widowControl/>
        <w:tabs>
          <w:tab w:val="left" w:pos="567"/>
        </w:tabs>
        <w:spacing w:line="480" w:lineRule="exact"/>
        <w:ind w:firstLine="420" w:firstLineChars="200"/>
        <w:textAlignment w:val="bottom"/>
        <w:rPr>
          <w:rFonts w:ascii="宋体" w:hAnsi="宋体"/>
        </w:rPr>
      </w:pPr>
      <w:r>
        <w:rPr>
          <w:rFonts w:hint="eastAsia" w:ascii="宋体" w:hAnsi="宋体"/>
        </w:rPr>
        <w:t>（3）</w:t>
      </w:r>
      <w:r>
        <w:rPr>
          <w:rFonts w:ascii="宋体" w:hAnsi="宋体"/>
        </w:rPr>
        <w:t xml:space="preserve"> 排灰流程</w:t>
      </w:r>
    </w:p>
    <w:p>
      <w:pPr>
        <w:widowControl/>
        <w:tabs>
          <w:tab w:val="left" w:pos="567"/>
        </w:tabs>
        <w:spacing w:line="480" w:lineRule="exact"/>
        <w:ind w:firstLine="420" w:firstLineChars="200"/>
        <w:textAlignment w:val="bottom"/>
        <w:rPr>
          <w:rFonts w:ascii="宋体" w:hAnsi="宋体"/>
        </w:rPr>
      </w:pPr>
      <w:r>
        <w:rPr>
          <w:rFonts w:ascii="宋体" w:hAnsi="宋体"/>
        </w:rPr>
        <w:t>SP炉的排灰为窑灰，可回到水泥生产工艺流程中，设计时拟与窑尾除尘器收下的窑灰一起用输送装置送到生料均化库。AQC炉产生的粉尘将和窑头收尘器收下的粉尘一起回入工艺系统。</w:t>
      </w:r>
    </w:p>
    <w:p>
      <w:pPr>
        <w:spacing w:line="360" w:lineRule="auto"/>
        <w:outlineLvl w:val="2"/>
        <w:rPr>
          <w:b/>
          <w:bCs/>
          <w:szCs w:val="20"/>
        </w:rPr>
      </w:pPr>
      <w:r>
        <w:rPr>
          <w:rFonts w:hint="eastAsia"/>
          <w:b/>
          <w:bCs/>
          <w:szCs w:val="20"/>
        </w:rPr>
        <w:t>3.2.3.2</w:t>
      </w:r>
      <w:r>
        <w:rPr>
          <w:b/>
          <w:bCs/>
          <w:szCs w:val="20"/>
        </w:rPr>
        <w:t xml:space="preserve"> 余热锅炉与水泥生产工艺系统的衔接</w:t>
      </w:r>
    </w:p>
    <w:p>
      <w:pPr>
        <w:widowControl/>
        <w:tabs>
          <w:tab w:val="left" w:pos="567"/>
        </w:tabs>
        <w:spacing w:line="480" w:lineRule="exact"/>
        <w:ind w:firstLine="420" w:firstLineChars="200"/>
        <w:textAlignment w:val="bottom"/>
        <w:rPr>
          <w:rFonts w:ascii="宋体" w:hAnsi="宋体"/>
        </w:rPr>
      </w:pPr>
      <w:r>
        <w:rPr>
          <w:rFonts w:ascii="宋体" w:hAnsi="宋体"/>
        </w:rPr>
        <w:t>(1) AQC炉</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因熟料冷却机的废气中含有对锅炉换热面磨蚀性较强的</w:t>
      </w:r>
      <w:r>
        <w:rPr>
          <w:rFonts w:hint="eastAsia" w:ascii="宋体" w:hAnsi="宋体"/>
        </w:rPr>
        <w:t>粉尘</w:t>
      </w:r>
      <w:r>
        <w:rPr>
          <w:rFonts w:ascii="宋体" w:hAnsi="宋体"/>
        </w:rPr>
        <w:t>，为保证AQC锅炉的使用寿命，提高余热利用率，在进AQC炉之前的管路上设置重力沉降室。</w:t>
      </w:r>
    </w:p>
    <w:p>
      <w:pPr>
        <w:widowControl/>
        <w:tabs>
          <w:tab w:val="left" w:pos="567"/>
        </w:tabs>
        <w:spacing w:line="480" w:lineRule="exact"/>
        <w:ind w:firstLine="420" w:firstLineChars="200"/>
        <w:textAlignment w:val="bottom"/>
        <w:rPr>
          <w:rFonts w:ascii="宋体" w:hAnsi="宋体"/>
        </w:rPr>
      </w:pPr>
      <w:r>
        <w:rPr>
          <w:rFonts w:ascii="宋体" w:hAnsi="宋体"/>
        </w:rPr>
        <w:t xml:space="preserve"> (2) SP炉</w:t>
      </w:r>
    </w:p>
    <w:p>
      <w:pPr>
        <w:widowControl/>
        <w:tabs>
          <w:tab w:val="left" w:pos="567"/>
        </w:tabs>
        <w:spacing w:line="480" w:lineRule="exact"/>
        <w:ind w:firstLine="420" w:firstLineChars="200"/>
        <w:textAlignment w:val="bottom"/>
        <w:rPr>
          <w:rFonts w:ascii="宋体" w:hAnsi="宋体"/>
        </w:rPr>
      </w:pPr>
      <w:r>
        <w:rPr>
          <w:rFonts w:ascii="宋体" w:hAnsi="宋体"/>
        </w:rPr>
        <w:t>1) SP炉形式</w:t>
      </w:r>
    </w:p>
    <w:p>
      <w:pPr>
        <w:widowControl/>
        <w:tabs>
          <w:tab w:val="left" w:pos="567"/>
        </w:tabs>
        <w:spacing w:line="480" w:lineRule="exact"/>
        <w:ind w:firstLine="420" w:firstLineChars="200"/>
        <w:textAlignment w:val="bottom"/>
        <w:rPr>
          <w:rFonts w:ascii="宋体" w:hAnsi="宋体"/>
        </w:rPr>
      </w:pPr>
      <w:r>
        <w:rPr>
          <w:rFonts w:ascii="宋体" w:hAnsi="宋体"/>
        </w:rPr>
        <w:t>SP炉采用立式布置，锅炉回灰经灰斗后由输送铰刀（带锁风阀）直接输送，因此漏风点少、热效率较高、比较容易布置（可顺着窑尾风管布置）、占地面积较小。</w:t>
      </w:r>
    </w:p>
    <w:p>
      <w:pPr>
        <w:widowControl/>
        <w:tabs>
          <w:tab w:val="left" w:pos="567"/>
        </w:tabs>
        <w:spacing w:line="480" w:lineRule="exact"/>
        <w:ind w:firstLine="420" w:firstLineChars="200"/>
        <w:textAlignment w:val="bottom"/>
        <w:rPr>
          <w:rFonts w:ascii="宋体" w:hAnsi="宋体"/>
        </w:rPr>
      </w:pPr>
      <w:r>
        <w:rPr>
          <w:rFonts w:ascii="宋体" w:hAnsi="宋体"/>
        </w:rPr>
        <w:t>出一级筒预热器的烟气温度为330℃，此时的粉尘通过高能脉冲的冲击震动，可以达到清除积灰的目的。另外在余热锅炉设计时，换热管束间距可以布置的相对大一些，换热管束采用翅片管，从而减少锅炉内部的积灰。</w:t>
      </w:r>
    </w:p>
    <w:p>
      <w:pPr>
        <w:widowControl/>
        <w:tabs>
          <w:tab w:val="left" w:pos="567"/>
        </w:tabs>
        <w:spacing w:line="480" w:lineRule="exact"/>
        <w:ind w:firstLine="420" w:firstLineChars="200"/>
        <w:textAlignment w:val="bottom"/>
        <w:rPr>
          <w:rFonts w:ascii="宋体" w:hAnsi="宋体"/>
        </w:rPr>
      </w:pPr>
      <w:r>
        <w:rPr>
          <w:rFonts w:ascii="宋体" w:hAnsi="宋体"/>
        </w:rPr>
        <w:t>2) SP炉的布置</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SP炉设置在窑尾预热器与窑尾高温风机之间，用烟气管道与余热锅炉连接，SP炉的烟气进出口顺着预热器出口管道上进下出。为保证余热锅炉的启停不影响水泥生产及电站的稳定运行，在SP炉烟气连接管道上设有旁通烟道，可使锅炉在出现故障时或水泥生产不正常时解列，既满足了水泥生产的稳定运行又保证了SP炉的安全。通过旁通烟道的调节作用还可使水泥生产及余热锅炉的运行均达到理想的运行工况。</w:t>
      </w:r>
    </w:p>
    <w:p>
      <w:pPr>
        <w:widowControl/>
        <w:tabs>
          <w:tab w:val="left" w:pos="567"/>
        </w:tabs>
        <w:spacing w:line="480" w:lineRule="exact"/>
        <w:ind w:firstLine="420" w:firstLineChars="200"/>
        <w:textAlignment w:val="bottom"/>
        <w:rPr>
          <w:rFonts w:ascii="宋体" w:hAnsi="宋体"/>
        </w:rPr>
      </w:pPr>
      <w:r>
        <w:rPr>
          <w:rFonts w:ascii="宋体" w:hAnsi="宋体"/>
        </w:rPr>
        <w:t>(3) 余热锅炉受热面型式及清灰装置的确定</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窑尾余热锅炉的换热面将根据通过的烟气含尘浓度较高的特点，采用翅片管，以减少烟尘附着在换热面上；窑头余热锅炉主要考虑减少</w:t>
      </w:r>
      <w:r>
        <w:rPr>
          <w:rFonts w:hint="eastAsia" w:ascii="宋体" w:hAnsi="宋体"/>
        </w:rPr>
        <w:t>粉尘</w:t>
      </w:r>
      <w:r>
        <w:rPr>
          <w:rFonts w:ascii="宋体" w:hAnsi="宋体"/>
        </w:rPr>
        <w:t>对换热管束的磨损和增加换热面积，因此采用螺旋鳍片管束，同时，炉内烟气要求采用低流速，以减轻废气粉尘对锅炉管束的磨损。</w:t>
      </w:r>
    </w:p>
    <w:p>
      <w:pPr>
        <w:widowControl/>
        <w:tabs>
          <w:tab w:val="left" w:pos="567"/>
        </w:tabs>
        <w:spacing w:line="480" w:lineRule="exact"/>
        <w:ind w:firstLine="420" w:firstLineChars="200"/>
        <w:textAlignment w:val="bottom"/>
        <w:rPr>
          <w:rFonts w:ascii="宋体" w:hAnsi="宋体"/>
        </w:rPr>
      </w:pPr>
      <w:r>
        <w:rPr>
          <w:rFonts w:ascii="宋体" w:hAnsi="宋体"/>
        </w:rPr>
        <w:t>附着在换热面上的粉尘对锅炉的传热效率影响很大，因此余热锅炉的清灰在余热利用系统中相当重要。</w:t>
      </w:r>
      <w:r>
        <w:rPr>
          <w:rFonts w:hint="eastAsia" w:ascii="宋体" w:hAnsi="宋体"/>
        </w:rPr>
        <w:t>技改项目</w:t>
      </w:r>
      <w:r>
        <w:rPr>
          <w:rFonts w:ascii="宋体" w:hAnsi="宋体"/>
        </w:rPr>
        <w:t>SP炉清灰采用声波喇叭装置；窑头余热锅炉因采取了预收除尘措施，进锅炉的粉尘浓度小于8g/Nm</w:t>
      </w:r>
      <w:r>
        <w:rPr>
          <w:rFonts w:ascii="宋体" w:hAnsi="宋体"/>
          <w:vertAlign w:val="superscript"/>
        </w:rPr>
        <w:t>3</w:t>
      </w:r>
      <w:r>
        <w:rPr>
          <w:rFonts w:ascii="宋体" w:hAnsi="宋体"/>
        </w:rPr>
        <w:t>，且粉尘不易附着在换热面上，能随气流带走，可不设清灰装置。</w:t>
      </w:r>
    </w:p>
    <w:p>
      <w:pPr>
        <w:widowControl/>
        <w:tabs>
          <w:tab w:val="left" w:pos="567"/>
        </w:tabs>
        <w:spacing w:line="480" w:lineRule="exact"/>
        <w:ind w:firstLine="420" w:firstLineChars="200"/>
        <w:textAlignment w:val="bottom"/>
        <w:rPr>
          <w:rFonts w:ascii="宋体" w:hAnsi="宋体"/>
        </w:rPr>
      </w:pPr>
      <w:r>
        <w:rPr>
          <w:rFonts w:ascii="宋体" w:hAnsi="宋体"/>
        </w:rPr>
        <w:tab/>
      </w:r>
      <w:r>
        <w:rPr>
          <w:rFonts w:ascii="宋体" w:hAnsi="宋体"/>
        </w:rPr>
        <w:t>汽轮发电机设二层厂房，余热发电的主控制室和汽轮机、励磁机、发电机主要部分在二楼，汽轮发电机房的一层为凝汽器和相关的油泵、水泵间。</w:t>
      </w:r>
    </w:p>
    <w:p>
      <w:pPr>
        <w:spacing w:line="360" w:lineRule="auto"/>
        <w:outlineLvl w:val="2"/>
        <w:rPr>
          <w:b/>
          <w:bCs/>
          <w:szCs w:val="20"/>
        </w:rPr>
      </w:pPr>
      <w:r>
        <w:rPr>
          <w:rFonts w:hint="eastAsia"/>
          <w:b/>
          <w:bCs/>
          <w:szCs w:val="20"/>
        </w:rPr>
        <w:t>3.2.3.3</w:t>
      </w:r>
      <w:r>
        <w:rPr>
          <w:b/>
          <w:bCs/>
          <w:szCs w:val="20"/>
        </w:rPr>
        <w:t xml:space="preserve"> 热力系统配置</w:t>
      </w:r>
    </w:p>
    <w:p>
      <w:pPr>
        <w:widowControl/>
        <w:tabs>
          <w:tab w:val="left" w:pos="567"/>
        </w:tabs>
        <w:spacing w:line="480" w:lineRule="exact"/>
        <w:ind w:firstLine="420" w:firstLineChars="200"/>
        <w:textAlignment w:val="bottom"/>
        <w:rPr>
          <w:rFonts w:hint="eastAsia" w:ascii="宋体" w:hAnsi="宋体"/>
        </w:rPr>
      </w:pPr>
      <w:r>
        <w:rPr>
          <w:rFonts w:ascii="宋体" w:hAnsi="宋体"/>
        </w:rPr>
        <w:t>设置1套SP炉、AQC炉；1台单机容量为4500kW混压式汽轮机，配套1台10.5kV空冷式4500kW发电机组（汽钻机和发电机两线合用）及相应的锅炉给水制水（软水）、冷却水系统等辅助车间，总发电量4680kW，供电量2479kW。</w:t>
      </w:r>
    </w:p>
    <w:p>
      <w:pPr>
        <w:widowControl/>
        <w:tabs>
          <w:tab w:val="left" w:pos="567"/>
        </w:tabs>
        <w:spacing w:line="480" w:lineRule="exact"/>
        <w:ind w:firstLine="420" w:firstLineChars="200"/>
        <w:textAlignment w:val="bottom"/>
        <w:rPr>
          <w:rFonts w:hint="eastAsia" w:ascii="宋体" w:hAnsi="宋体"/>
        </w:rPr>
      </w:pPr>
      <w:r>
        <w:rPr>
          <w:rFonts w:hint="eastAsia" w:ascii="宋体" w:hAnsi="宋体"/>
        </w:rPr>
        <w:t>余热发电工艺流程见图3.5。</w:t>
      </w: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widowControl/>
        <w:tabs>
          <w:tab w:val="left" w:pos="567"/>
        </w:tabs>
        <w:spacing w:line="480" w:lineRule="exact"/>
        <w:ind w:firstLine="420" w:firstLineChars="200"/>
        <w:textAlignment w:val="bottom"/>
        <w:rPr>
          <w:rFonts w:hint="eastAsia" w:ascii="宋体" w:hAnsi="宋体"/>
        </w:rPr>
      </w:pPr>
    </w:p>
    <w:p>
      <w:pPr>
        <w:spacing w:line="480" w:lineRule="exact"/>
        <w:jc w:val="center"/>
        <w:rPr>
          <w:rFonts w:hint="eastAsia" w:ascii="宋体" w:hAnsi="宋体"/>
          <w:b/>
        </w:rPr>
      </w:pPr>
    </w:p>
    <w:p>
      <w:pPr>
        <w:spacing w:line="480" w:lineRule="exact"/>
        <w:ind w:firstLine="1446" w:firstLineChars="686"/>
        <w:rPr>
          <w:rFonts w:hint="eastAsia" w:ascii="宋体" w:hAnsi="宋体"/>
          <w:bCs/>
        </w:rPr>
      </w:pPr>
      <w:r>
        <w:rPr>
          <w:rFonts w:hint="eastAsia" w:ascii="宋体" w:hAnsi="宋体"/>
          <w:b/>
        </w:rPr>
        <mc:AlternateContent>
          <mc:Choice Requires="wps">
            <w:drawing>
              <wp:anchor distT="0" distB="0" distL="114300" distR="114300" simplePos="0" relativeHeight="251856896" behindDoc="0" locked="0" layoutInCell="1" allowOverlap="1">
                <wp:simplePos x="0" y="0"/>
                <wp:positionH relativeFrom="column">
                  <wp:posOffset>2023745</wp:posOffset>
                </wp:positionH>
                <wp:positionV relativeFrom="paragraph">
                  <wp:posOffset>204470</wp:posOffset>
                </wp:positionV>
                <wp:extent cx="800100" cy="0"/>
                <wp:effectExtent l="0" t="0" r="0" b="0"/>
                <wp:wrapNone/>
                <wp:docPr id="316" name="直接连接符 316"/>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59.35pt;margin-top:16.1pt;height:0pt;width:63pt;z-index:251856896;mso-width-relative:page;mso-height-relative:page;" filled="f" stroked="t" coordsize="21600,21600" o:gfxdata="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nX3SdUAAAAJAQAA&#10;DwAAAAAAAAABACAAAAAiAAAAZHJzL2Rvd25yZXYueG1sUEsBAhQAFAAAAAgAh07iQHURKnrjAQAA&#10;owMAAA4AAAAAAAAAAQAgAAAAJAEAAGRycy9lMm9Eb2MueG1sUEsFBgAAAAAGAAYAWQEAAHkFAAAA&#10;AA==&#10;">
                <v:fill on="f" focussize="0,0"/>
                <v:stroke color="#000000" joinstyle="round"/>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842560" behindDoc="0" locked="0" layoutInCell="1" allowOverlap="1">
                <wp:simplePos x="0" y="0"/>
                <wp:positionH relativeFrom="column">
                  <wp:posOffset>3314700</wp:posOffset>
                </wp:positionH>
                <wp:positionV relativeFrom="paragraph">
                  <wp:posOffset>198120</wp:posOffset>
                </wp:positionV>
                <wp:extent cx="0" cy="693420"/>
                <wp:effectExtent l="38100" t="0" r="38100" b="11430"/>
                <wp:wrapNone/>
                <wp:docPr id="303" name="直接连接符 30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1pt;margin-top:15.6pt;height:54.6pt;width:0pt;z-index:251842560;mso-width-relative:page;mso-height-relative:page;" filled="f" stroked="t" coordsize="21600,21600" o:gfxdata="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NlnGjZAAAA&#10;CgEAAA8AAAAAAAAAAQAgAAAAIgAAAGRycy9kb3ducmV2LnhtbFBLAQIUABQAAAAIAIdO4kAxzDLw&#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rPr>
        <mc:AlternateContent>
          <mc:Choice Requires="wps">
            <w:drawing>
              <wp:anchor distT="0" distB="0" distL="114300" distR="114300" simplePos="0" relativeHeight="251840512" behindDoc="0" locked="0" layoutInCell="1" allowOverlap="1">
                <wp:simplePos x="0" y="0"/>
                <wp:positionH relativeFrom="column">
                  <wp:posOffset>2857500</wp:posOffset>
                </wp:positionH>
                <wp:positionV relativeFrom="paragraph">
                  <wp:posOffset>198120</wp:posOffset>
                </wp:positionV>
                <wp:extent cx="0" cy="693420"/>
                <wp:effectExtent l="38100" t="0" r="38100" b="11430"/>
                <wp:wrapNone/>
                <wp:docPr id="310" name="直接连接符 310"/>
                <wp:cNvGraphicFramePr/>
                <a:graphic xmlns:a="http://schemas.openxmlformats.org/drawingml/2006/main">
                  <a:graphicData uri="http://schemas.microsoft.com/office/word/2010/wordprocessingShape">
                    <wps:wsp>
                      <wps:cNvCnPr/>
                      <wps:spPr>
                        <a:xfrm flipH="1">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pt;margin-top:15.6pt;height:54.6pt;width:0pt;z-index:251840512;mso-width-relative:page;mso-height-relative:page;" filled="f" stroked="t" coordsize="21600,21600" o:gfxdata="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HPTX9gAAAAKAQAADwAAAAAAAAABACAAAAAiAAAAZHJzL2Rvd25yZXYueG1sUEsBAhQAFAAAAAgA&#10;h07iQLQEMUvsAQAApwMAAA4AAAAAAAAAAQAgAAAAJwEAAGRycy9lMm9Eb2MueG1sUEsFBgAAAAAG&#10;AAYAWQEAAIUFAAAAAA==&#10;">
                <v:fill on="f" focussize="0,0"/>
                <v:stroke color="#000000" joinstyle="round" endarrow="block"/>
                <v:imagedata o:title=""/>
                <o:lock v:ext="edit" aspectratio="f"/>
              </v:line>
            </w:pict>
          </mc:Fallback>
        </mc:AlternateContent>
      </w:r>
      <w:r>
        <w:rPr>
          <w:rFonts w:hint="eastAsia" w:ascii="宋体" w:hAnsi="宋体"/>
          <w:bCs/>
        </w:rPr>
        <mc:AlternateContent>
          <mc:Choice Requires="wps">
            <w:drawing>
              <wp:anchor distT="0" distB="0" distL="114300" distR="114300" simplePos="0" relativeHeight="251841536" behindDoc="0" locked="0" layoutInCell="1" allowOverlap="1">
                <wp:simplePos x="0" y="0"/>
                <wp:positionH relativeFrom="column">
                  <wp:posOffset>3314700</wp:posOffset>
                </wp:positionH>
                <wp:positionV relativeFrom="paragraph">
                  <wp:posOffset>198120</wp:posOffset>
                </wp:positionV>
                <wp:extent cx="685800" cy="0"/>
                <wp:effectExtent l="0" t="0" r="0" b="0"/>
                <wp:wrapNone/>
                <wp:docPr id="317" name="直接连接符 31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1pt;margin-top:15.6pt;height:0pt;width:54pt;z-index:251841536;mso-width-relative:page;mso-height-relative:page;" filled="f" stroked="t" coordsize="21600,21600" o:gfxdata="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8QJE1QAAAAkBAAAPAAAAAAAA&#10;AAEAIAAAACIAAABkcnMvZG93bnJldi54bWxQSwECFAAUAAAACACHTuJApF/yYNwBAACZAwAADgAA&#10;AAAAAAABACAAAAAkAQAAZHJzL2Uyb0RvYy54bWxQSwUGAAAAAAYABgBZAQAAcgUAAAAA&#10;">
                <v:fill on="f" focussize="0,0"/>
                <v:stroke color="#000000" joinstyle="round"/>
                <v:imagedata o:title=""/>
                <o:lock v:ext="edit" aspectratio="f"/>
              </v:line>
            </w:pict>
          </mc:Fallback>
        </mc:AlternateContent>
      </w:r>
      <w:r>
        <w:rPr>
          <w:rFonts w:hint="eastAsia" w:ascii="宋体" w:hAnsi="宋体"/>
          <w:bCs/>
        </w:rPr>
        <w:t>窑尾高温废气                           窑头高温废气</w:t>
      </w:r>
    </w:p>
    <w:p>
      <w:pPr>
        <w:pStyle w:val="4"/>
        <w:numPr>
          <w:ilvl w:val="0"/>
          <w:numId w:val="0"/>
        </w:numPr>
        <w:spacing w:before="120" w:after="120" w:line="480" w:lineRule="exact"/>
        <w:rPr>
          <w:rFonts w:hint="eastAsia" w:ascii="宋体" w:hAnsi="宋体"/>
          <w:b w:val="0"/>
          <w:sz w:val="24"/>
          <w:szCs w:val="22"/>
        </w:rPr>
      </w:pPr>
    </w:p>
    <w:p>
      <w:pPr>
        <w:pStyle w:val="4"/>
        <w:numPr>
          <w:ilvl w:val="0"/>
          <w:numId w:val="0"/>
        </w:numPr>
        <w:spacing w:before="120" w:after="120" w:line="480" w:lineRule="exact"/>
        <w:rPr>
          <w:rFonts w:hint="eastAsia" w:ascii="宋体" w:hAnsi="宋体"/>
          <w:b w:val="0"/>
          <w:sz w:val="24"/>
          <w:szCs w:val="22"/>
        </w:rPr>
      </w:pPr>
      <w:bookmarkStart w:id="153" w:name="_Toc150759640"/>
      <w:bookmarkStart w:id="154" w:name="_Toc150760707"/>
      <w:bookmarkStart w:id="155" w:name="_Toc155859742"/>
      <w:r>
        <w:rPr>
          <w:rFonts w:hint="eastAsia" w:ascii="宋体" w:hAnsi="宋体"/>
          <w:b/>
          <w:sz w:val="24"/>
          <w:szCs w:val="22"/>
        </w:rPr>
        <mc:AlternateContent>
          <mc:Choice Requires="wps">
            <w:drawing>
              <wp:anchor distT="0" distB="0" distL="114300" distR="114300" simplePos="0" relativeHeight="251847680" behindDoc="0" locked="0" layoutInCell="1" allowOverlap="1">
                <wp:simplePos x="0" y="0"/>
                <wp:positionH relativeFrom="column">
                  <wp:posOffset>4109720</wp:posOffset>
                </wp:positionH>
                <wp:positionV relativeFrom="paragraph">
                  <wp:posOffset>271145</wp:posOffset>
                </wp:positionV>
                <wp:extent cx="1262380" cy="3175"/>
                <wp:effectExtent l="0" t="34925" r="13970" b="38100"/>
                <wp:wrapNone/>
                <wp:docPr id="318" name="直接连接符 318"/>
                <wp:cNvGraphicFramePr/>
                <a:graphic xmlns:a="http://schemas.openxmlformats.org/drawingml/2006/main">
                  <a:graphicData uri="http://schemas.microsoft.com/office/word/2010/wordprocessingShape">
                    <wps:wsp>
                      <wps:cNvCnPr/>
                      <wps:spPr>
                        <a:xfrm>
                          <a:off x="0" y="0"/>
                          <a:ext cx="126238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3.6pt;margin-top:21.35pt;height:0.25pt;width:99.4pt;z-index:251847680;mso-width-relative:page;mso-height-relative:page;" filled="f" stroked="t" coordsize="21600,21600" o:gfxdata="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G0YE3a&#10;AAAACQEAAA8AAAAAAAAAAQAgAAAAIgAAAGRycy9kb3ducmV2LnhtbFBLAQIUABQAAAAIAIdO4kDw&#10;EDWZ5QEAAKE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9728" behindDoc="0" locked="0" layoutInCell="1" allowOverlap="1">
                <wp:simplePos x="0" y="0"/>
                <wp:positionH relativeFrom="column">
                  <wp:posOffset>914400</wp:posOffset>
                </wp:positionH>
                <wp:positionV relativeFrom="paragraph">
                  <wp:posOffset>274320</wp:posOffset>
                </wp:positionV>
                <wp:extent cx="1257300" cy="0"/>
                <wp:effectExtent l="0" t="38100" r="0" b="38100"/>
                <wp:wrapNone/>
                <wp:docPr id="305" name="直接连接符 305"/>
                <wp:cNvGraphicFramePr/>
                <a:graphic xmlns:a="http://schemas.openxmlformats.org/drawingml/2006/main">
                  <a:graphicData uri="http://schemas.microsoft.com/office/word/2010/wordprocessingShape">
                    <wps:wsp>
                      <wps:cNvCnPr/>
                      <wps:spPr>
                        <a:xfrm flipH="1">
                          <a:off x="0" y="0"/>
                          <a:ext cx="12573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21.6pt;height:0pt;width:99pt;z-index:251849728;mso-width-relative:page;mso-height-relative:page;" filled="f" stroked="t" coordsize="21600,21600" o:gfxdata="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vpcv9cAAAAJAQAADwAAAAAAAAABACAAAAAiAAAAZHJzL2Rvd25yZXYueG1sUEsBAhQAFAAAAAgA&#10;h07iQOSktSvtAQAAqAMAAA4AAAAAAAAAAQAgAAAAJgEAAGRycy9lMm9Eb2MueG1sUEsFBgAAAAAG&#10;AAYAWQEAAIUFA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8704" behindDoc="0" locked="0" layoutInCell="1" allowOverlap="1">
                <wp:simplePos x="0" y="0"/>
                <wp:positionH relativeFrom="column">
                  <wp:posOffset>3109595</wp:posOffset>
                </wp:positionH>
                <wp:positionV relativeFrom="paragraph">
                  <wp:posOffset>128270</wp:posOffset>
                </wp:positionV>
                <wp:extent cx="1005205" cy="297180"/>
                <wp:effectExtent l="4445" t="5080" r="19050" b="21590"/>
                <wp:wrapNone/>
                <wp:docPr id="312" name="矩形 312"/>
                <wp:cNvGraphicFramePr/>
                <a:graphic xmlns:a="http://schemas.openxmlformats.org/drawingml/2006/main">
                  <a:graphicData uri="http://schemas.microsoft.com/office/word/2010/wordprocessingShape">
                    <wps:wsp>
                      <wps:cNvSpPr/>
                      <wps:spPr>
                        <a:xfrm>
                          <a:off x="0" y="0"/>
                          <a:ext cx="100520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AQC余热锅炉</w:t>
                            </w:r>
                          </w:p>
                        </w:txbxContent>
                      </wps:txbx>
                      <wps:bodyPr upright="1"/>
                    </wps:wsp>
                  </a:graphicData>
                </a:graphic>
              </wp:anchor>
            </w:drawing>
          </mc:Choice>
          <mc:Fallback>
            <w:pict>
              <v:rect id="_x0000_s1026" o:spid="_x0000_s1026" o:spt="1" style="position:absolute;left:0pt;margin-left:244.85pt;margin-top:10.1pt;height:23.4pt;width:79.15pt;z-index:251848704;mso-width-relative:page;mso-height-relative:page;" fillcolor="#FFFFFF" filled="t" stroked="t" coordsize="21600,21600" o:gfxdata="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pj&#10;vdTYAAAACQEAAA8AAAAAAAAAAQAgAAAAIgAAAGRycy9kb3ducmV2LnhtbFBLAQIUABQAAAAIAIdO&#10;4kC4YM+M6gEAAN8DAAAOAAAAAAAAAAEAIAAAACcBAABkcnMvZTJvRG9jLnhtbFBLBQYAAAAABgAG&#10;AFkBAACDBQAAAAA=&#10;">
                <v:fill on="t" focussize="0,0"/>
                <v:stroke color="#000000" joinstyle="miter"/>
                <v:imagedata o:title=""/>
                <o:lock v:ext="edit" aspectratio="f"/>
                <v:textbox>
                  <w:txbxContent>
                    <w:p>
                      <w:r>
                        <w:rPr>
                          <w:rFonts w:hint="eastAsia"/>
                        </w:rPr>
                        <w:t>AQC余热锅炉</w:t>
                      </w:r>
                    </w:p>
                  </w:txbxContent>
                </v:textbox>
              </v:rect>
            </w:pict>
          </mc:Fallback>
        </mc:AlternateContent>
      </w:r>
      <w:r>
        <w:rPr>
          <w:rFonts w:hint="eastAsia" w:ascii="宋体" w:hAnsi="宋体"/>
          <w:b/>
          <w:sz w:val="24"/>
          <w:szCs w:val="22"/>
        </w:rPr>
        <mc:AlternateContent>
          <mc:Choice Requires="wps">
            <w:drawing>
              <wp:anchor distT="0" distB="0" distL="114300" distR="114300" simplePos="0" relativeHeight="251839488" behindDoc="0" locked="0" layoutInCell="1" allowOverlap="1">
                <wp:simplePos x="0" y="0"/>
                <wp:positionH relativeFrom="column">
                  <wp:posOffset>2166620</wp:posOffset>
                </wp:positionH>
                <wp:positionV relativeFrom="paragraph">
                  <wp:posOffset>109220</wp:posOffset>
                </wp:positionV>
                <wp:extent cx="800100" cy="297180"/>
                <wp:effectExtent l="4445" t="4445" r="14605" b="22225"/>
                <wp:wrapNone/>
                <wp:docPr id="315" name="矩形 315"/>
                <wp:cNvGraphicFramePr/>
                <a:graphic xmlns:a="http://schemas.openxmlformats.org/drawingml/2006/main">
                  <a:graphicData uri="http://schemas.microsoft.com/office/word/2010/wordprocessingShape">
                    <wps:wsp>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SP余热锅炉</w:t>
                            </w:r>
                          </w:p>
                        </w:txbxContent>
                      </wps:txbx>
                      <wps:bodyPr upright="1"/>
                    </wps:wsp>
                  </a:graphicData>
                </a:graphic>
              </wp:anchor>
            </w:drawing>
          </mc:Choice>
          <mc:Fallback>
            <w:pict>
              <v:rect id="_x0000_s1026" o:spid="_x0000_s1026" o:spt="1" style="position:absolute;left:0pt;margin-left:170.6pt;margin-top:8.6pt;height:23.4pt;width:63pt;z-index:251839488;mso-width-relative:page;mso-height-relative:page;" fillcolor="#FFFFFF" filled="t" stroked="t" coordsize="21600,21600" o:gfxdata="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g3&#10;X9cAAAAJAQAADwAAAAAAAAABACAAAAAiAAAAZHJzL2Rvd25yZXYueG1sUEsBAhQAFAAAAAgAh07i&#10;QJXykpbqAQAA3gMAAA4AAAAAAAAAAQAgAAAAJgEAAGRycy9lMm9Eb2MueG1sUEsFBgAAAAAGAAYA&#10;WQEAAIIFAAAAAA==&#10;">
                <v:fill on="t" focussize="0,0"/>
                <v:stroke color="#000000" joinstyle="miter"/>
                <v:imagedata o:title=""/>
                <o:lock v:ext="edit" aspectratio="f"/>
                <v:textbox>
                  <w:txbxContent>
                    <w:p>
                      <w:r>
                        <w:rPr>
                          <w:rFonts w:hint="eastAsia"/>
                        </w:rPr>
                        <w:t>SP余热锅炉</w:t>
                      </w:r>
                    </w:p>
                  </w:txbxContent>
                </v:textbox>
              </v:rect>
            </w:pict>
          </mc:Fallback>
        </mc:AlternateContent>
      </w:r>
      <w:r>
        <w:rPr>
          <w:rFonts w:hint="eastAsia" w:ascii="宋体" w:hAnsi="宋体"/>
          <w:b w:val="0"/>
          <w:sz w:val="24"/>
          <w:szCs w:val="22"/>
        </w:rPr>
        <w:t xml:space="preserve">            粉尘、废水、噪声                           粉尘、废水、噪声      </w:t>
      </w:r>
      <w:bookmarkEnd w:id="153"/>
      <w:bookmarkEnd w:id="154"/>
      <w:bookmarkEnd w:id="155"/>
    </w:p>
    <w:p>
      <w:pPr>
        <w:pStyle w:val="4"/>
        <w:numPr>
          <w:ilvl w:val="0"/>
          <w:numId w:val="0"/>
        </w:numPr>
        <w:spacing w:before="120" w:after="120" w:line="480" w:lineRule="exact"/>
        <w:rPr>
          <w:rFonts w:hint="eastAsia" w:ascii="宋体" w:hAnsi="宋体"/>
          <w:b w:val="0"/>
          <w:sz w:val="24"/>
          <w:szCs w:val="22"/>
        </w:rPr>
      </w:pPr>
      <w:bookmarkStart w:id="156" w:name="_Toc150759641"/>
      <w:bookmarkStart w:id="157" w:name="_Toc155859743"/>
      <w:bookmarkStart w:id="158" w:name="_Toc155859413"/>
      <w:bookmarkStart w:id="159" w:name="_Toc150760708"/>
      <w:r>
        <w:rPr>
          <w:rFonts w:hint="eastAsia" w:ascii="宋体" w:hAnsi="宋体"/>
          <w:b/>
          <w:sz w:val="24"/>
          <w:szCs w:val="22"/>
        </w:rPr>
        <mc:AlternateContent>
          <mc:Choice Requires="wps">
            <w:drawing>
              <wp:anchor distT="0" distB="0" distL="114300" distR="114300" simplePos="0" relativeHeight="251854848" behindDoc="0" locked="0" layoutInCell="1" allowOverlap="1">
                <wp:simplePos x="0" y="0"/>
                <wp:positionH relativeFrom="column">
                  <wp:posOffset>3547745</wp:posOffset>
                </wp:positionH>
                <wp:positionV relativeFrom="paragraph">
                  <wp:posOffset>50165</wp:posOffset>
                </wp:positionV>
                <wp:extent cx="0" cy="594360"/>
                <wp:effectExtent l="4445" t="0" r="14605" b="15240"/>
                <wp:wrapNone/>
                <wp:docPr id="319" name="直接连接符 31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9.35pt;margin-top:3.95pt;height:46.8pt;width:0pt;z-index:251854848;mso-width-relative:page;mso-height-relative:page;" filled="f" stroked="t" coordsize="21600,21600" o:gfxdata="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RdlUnWAAAACQEAAA8AAAAA&#10;AAAAAQAgAAAAIgAAAGRycy9kb3ducmV2LnhtbFBLAQIUABQAAAAIAIdO4kCG5K2w3QEAAJkDAAAO&#10;AAAAAAAAAAEAIAAAACUBAABkcnMvZTJvRG9jLnhtbFBLBQYAAAAABgAGAFkBAAB0BQAAAAA=&#10;">
                <v:fill on="f" focussize="0,0"/>
                <v:stroke color="#000000" joinstyle="round"/>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1776" behindDoc="0" locked="0" layoutInCell="1" allowOverlap="1">
                <wp:simplePos x="0" y="0"/>
                <wp:positionH relativeFrom="column">
                  <wp:posOffset>2743200</wp:posOffset>
                </wp:positionH>
                <wp:positionV relativeFrom="paragraph">
                  <wp:posOffset>91440</wp:posOffset>
                </wp:positionV>
                <wp:extent cx="0" cy="693420"/>
                <wp:effectExtent l="38100" t="0" r="38100" b="11430"/>
                <wp:wrapNone/>
                <wp:docPr id="311" name="直接连接符 311"/>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2pt;height:54.6pt;width:0pt;z-index:251851776;mso-width-relative:page;mso-height-relative:page;" filled="f" stroked="t" coordsize="21600,21600" o:gfxdata="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WuG9zZAAAA&#10;CgEAAA8AAAAAAAAAAQAgAAAAIgAAAGRycy9kb3ducmV2LnhtbFBLAQIUABQAAAAIAIdO4kC/mTCX&#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2800" behindDoc="0" locked="0" layoutInCell="1" allowOverlap="1">
                <wp:simplePos x="0" y="0"/>
                <wp:positionH relativeFrom="column">
                  <wp:posOffset>3314700</wp:posOffset>
                </wp:positionH>
                <wp:positionV relativeFrom="paragraph">
                  <wp:posOffset>91440</wp:posOffset>
                </wp:positionV>
                <wp:extent cx="0" cy="693420"/>
                <wp:effectExtent l="38100" t="0" r="38100" b="11430"/>
                <wp:wrapNone/>
                <wp:docPr id="302" name="直接连接符 302"/>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1pt;margin-top:7.2pt;height:54.6pt;width:0pt;z-index:251852800;mso-width-relative:page;mso-height-relative:page;" filled="f" stroked="t" coordsize="21600,21600" o:gfxdata="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VCVLrZAAAA&#10;CgEAAA8AAAAAAAAAAQAgAAAAIgAAAGRycy9kb3ducmV2LnhtbFBLAQIUABQAAAAIAIdO4kDpFIyH&#10;4wEAAJ0DAAAOAAAAAAAAAAEAIAAAACg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3584" behindDoc="0" locked="0" layoutInCell="1" allowOverlap="1">
                <wp:simplePos x="0" y="0"/>
                <wp:positionH relativeFrom="column">
                  <wp:posOffset>2318385</wp:posOffset>
                </wp:positionH>
                <wp:positionV relativeFrom="paragraph">
                  <wp:posOffset>19050</wp:posOffset>
                </wp:positionV>
                <wp:extent cx="0" cy="594360"/>
                <wp:effectExtent l="4445" t="0" r="14605" b="15240"/>
                <wp:wrapNone/>
                <wp:docPr id="304" name="直接连接符 3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2.55pt;margin-top:1.5pt;height:46.8pt;width:0pt;z-index:251843584;mso-width-relative:page;mso-height-relative:page;" filled="f" stroked="t" coordsize="21600,21600" o:gfxdata="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oUmv1AAAAAgBAAAPAAAAAAAA&#10;AAEAIAAAACIAAABkcnMvZG93bnJldi54bWxQSwECFAAUAAAACACHTuJAPmxVpN0BAACZAwAADgAA&#10;AAAAAAABACAAAAAjAQAAZHJzL2Uyb0RvYy54bWxQSwUGAAAAAAYABgBZAQAAcgUAAAAA&#10;">
                <v:fill on="f" focussize="0,0"/>
                <v:stroke color="#000000" joinstyle="round"/>
                <v:imagedata o:title=""/>
                <o:lock v:ext="edit" aspectratio="f"/>
              </v:line>
            </w:pict>
          </mc:Fallback>
        </mc:AlternateContent>
      </w:r>
      <w:bookmarkEnd w:id="156"/>
      <w:bookmarkEnd w:id="157"/>
      <w:bookmarkEnd w:id="158"/>
      <w:bookmarkEnd w:id="159"/>
    </w:p>
    <w:p>
      <w:pPr>
        <w:pStyle w:val="4"/>
        <w:numPr>
          <w:ilvl w:val="0"/>
          <w:numId w:val="0"/>
        </w:numPr>
        <w:spacing w:before="120" w:after="120" w:line="480" w:lineRule="exact"/>
        <w:rPr>
          <w:rFonts w:hint="eastAsia" w:ascii="宋体" w:hAnsi="宋体"/>
          <w:b w:val="0"/>
          <w:sz w:val="24"/>
          <w:szCs w:val="22"/>
        </w:rPr>
      </w:pPr>
      <w:bookmarkStart w:id="160" w:name="_Toc150760709"/>
      <w:bookmarkStart w:id="161" w:name="_Toc150759642"/>
      <w:bookmarkStart w:id="162" w:name="_Toc155859744"/>
      <w:r>
        <w:rPr>
          <w:rFonts w:hint="eastAsia" w:ascii="宋体" w:hAnsi="宋体"/>
          <w:b/>
          <w:sz w:val="24"/>
          <w:szCs w:val="22"/>
        </w:rPr>
        <mc:AlternateContent>
          <mc:Choice Requires="wps">
            <w:drawing>
              <wp:anchor distT="0" distB="0" distL="114300" distR="114300" simplePos="0" relativeHeight="251855872" behindDoc="0" locked="0" layoutInCell="1" allowOverlap="1">
                <wp:simplePos x="0" y="0"/>
                <wp:positionH relativeFrom="column">
                  <wp:posOffset>3557270</wp:posOffset>
                </wp:positionH>
                <wp:positionV relativeFrom="paragraph">
                  <wp:posOffset>252095</wp:posOffset>
                </wp:positionV>
                <wp:extent cx="685800" cy="0"/>
                <wp:effectExtent l="0" t="38100" r="0" b="38100"/>
                <wp:wrapNone/>
                <wp:docPr id="306" name="直接连接符 306"/>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80.1pt;margin-top:19.85pt;height:0pt;width:54pt;z-index:251855872;mso-width-relative:page;mso-height-relative:page;" filled="f" stroked="t" coordsize="21600,21600" o:gfxdata="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bmv59gAAAAJ&#10;AQAADwAAAAAAAAABACAAAAAiAAAAZHJzL2Rvd25yZXYueG1sUEsBAhQAFAAAAAgAh07iQBtbQULj&#10;AQAAnQMAAA4AAAAAAAAAAQAgAAAAJwEAAGRycy9lMm9Eb2MueG1sUEsFBgAAAAAGAAYAWQEAAHwF&#10;A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5632" behindDoc="0" locked="0" layoutInCell="1" allowOverlap="1">
                <wp:simplePos x="0" y="0"/>
                <wp:positionH relativeFrom="column">
                  <wp:posOffset>4557395</wp:posOffset>
                </wp:positionH>
                <wp:positionV relativeFrom="paragraph">
                  <wp:posOffset>377825</wp:posOffset>
                </wp:positionV>
                <wp:extent cx="685800" cy="297180"/>
                <wp:effectExtent l="4445" t="4445" r="14605" b="22225"/>
                <wp:wrapNone/>
                <wp:docPr id="309" name="矩形 309"/>
                <wp:cNvGraphicFramePr/>
                <a:graphic xmlns:a="http://schemas.openxmlformats.org/drawingml/2006/main">
                  <a:graphicData uri="http://schemas.microsoft.com/office/word/2010/wordprocessingShape">
                    <wps:wsp>
                      <wps:cNvSpPr/>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发电机</w:t>
                            </w:r>
                          </w:p>
                        </w:txbxContent>
                      </wps:txbx>
                      <wps:bodyPr upright="1"/>
                    </wps:wsp>
                  </a:graphicData>
                </a:graphic>
              </wp:anchor>
            </w:drawing>
          </mc:Choice>
          <mc:Fallback>
            <w:pict>
              <v:rect id="_x0000_s1026" o:spid="_x0000_s1026" o:spt="1" style="position:absolute;left:0pt;margin-left:358.85pt;margin-top:29.75pt;height:23.4pt;width:54pt;z-index:251845632;mso-width-relative:page;mso-height-relative:page;" fillcolor="#FFFFFF" filled="t" stroked="t" coordsize="21600,21600" o:gfxdata="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rjHVdgAAAAKAQAADwAAAAAAAAABACAAAAAiAAAAZHJzL2Rvd25yZXYueG1sUEsBAhQAFAAAAAgA&#10;h07iQJ93CbPsAQAA3gMAAA4AAAAAAAAAAQAgAAAAJwEAAGRycy9lMm9Eb2MueG1sUEsFBgAAAAAG&#10;AAYAWQEAAIUFAAAAAA==&#10;">
                <v:fill on="t" focussize="0,0"/>
                <v:stroke color="#000000" joinstyle="miter"/>
                <v:imagedata o:title=""/>
                <o:lock v:ext="edit" aspectratio="f"/>
                <v:textbox>
                  <w:txbxContent>
                    <w:p>
                      <w:r>
                        <w:rPr>
                          <w:rFonts w:hint="eastAsia"/>
                        </w:rPr>
                        <w:t>发电机</w:t>
                      </w:r>
                    </w:p>
                  </w:txbxContent>
                </v:textbox>
              </v:rect>
            </w:pict>
          </mc:Fallback>
        </mc:AlternateContent>
      </w:r>
      <w:r>
        <w:rPr>
          <w:rFonts w:hint="eastAsia" w:ascii="宋体" w:hAnsi="宋体"/>
          <w:b/>
          <w:sz w:val="24"/>
          <w:szCs w:val="22"/>
        </w:rPr>
        <mc:AlternateContent>
          <mc:Choice Requires="wps">
            <w:drawing>
              <wp:anchor distT="0" distB="0" distL="114300" distR="114300" simplePos="0" relativeHeight="251850752" behindDoc="0" locked="0" layoutInCell="1" allowOverlap="1">
                <wp:simplePos x="0" y="0"/>
                <wp:positionH relativeFrom="column">
                  <wp:posOffset>1718945</wp:posOffset>
                </wp:positionH>
                <wp:positionV relativeFrom="paragraph">
                  <wp:posOffset>233045</wp:posOffset>
                </wp:positionV>
                <wp:extent cx="571500" cy="0"/>
                <wp:effectExtent l="0" t="38100" r="0" b="38100"/>
                <wp:wrapNone/>
                <wp:docPr id="313" name="直接连接符 313"/>
                <wp:cNvGraphicFramePr/>
                <a:graphic xmlns:a="http://schemas.openxmlformats.org/drawingml/2006/main">
                  <a:graphicData uri="http://schemas.microsoft.com/office/word/2010/wordprocessingShape">
                    <wps:wsp>
                      <wps:cNvCnPr/>
                      <wps:spPr>
                        <a:xfrm flipH="1">
                          <a:off x="0" y="0"/>
                          <a:ext cx="5715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35pt;margin-top:18.35pt;height:0pt;width:45pt;z-index:251850752;mso-width-relative:page;mso-height-relative:page;" filled="f" stroked="t" coordsize="21600,21600" o:gfxdata="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rBOP2AAAAAkBAAAPAAAAAAAAAAEAIAAAACIAAABkcnMvZG93bnJldi54bWxQSwECFAAUAAAACACH&#10;TuJA+vIXjusBAACnAwAADgAAAAAAAAABACAAAAAnAQAAZHJzL2Uyb0RvYy54bWxQSwUGAAAAAAYA&#10;BgBZAQAAhAUAAAAA&#10;">
                <v:fill on="f" focussize="0,0"/>
                <v:stroke color="#000000" joinstyle="round" endarrow="block"/>
                <v:imagedata o:title=""/>
                <o:lock v:ext="edit" aspectratio="f"/>
              </v:line>
            </w:pict>
          </mc:Fallback>
        </mc:AlternateContent>
      </w:r>
      <w:r>
        <w:rPr>
          <w:rFonts w:hint="eastAsia" w:ascii="宋体" w:hAnsi="宋体"/>
          <w:b w:val="0"/>
          <w:sz w:val="24"/>
          <w:szCs w:val="22"/>
        </w:rPr>
        <w:t xml:space="preserve">          废气进除尘器                                   废气进除尘器  </w:t>
      </w:r>
      <w:bookmarkEnd w:id="160"/>
      <w:bookmarkEnd w:id="161"/>
      <w:bookmarkEnd w:id="162"/>
    </w:p>
    <w:p>
      <w:pPr>
        <w:pStyle w:val="4"/>
        <w:numPr>
          <w:ilvl w:val="0"/>
          <w:numId w:val="0"/>
        </w:numPr>
        <w:spacing w:before="120" w:after="120" w:line="480" w:lineRule="exact"/>
        <w:rPr>
          <w:rFonts w:hint="eastAsia" w:ascii="宋体" w:hAnsi="宋体"/>
          <w:b w:val="0"/>
          <w:sz w:val="24"/>
          <w:szCs w:val="22"/>
        </w:rPr>
      </w:pPr>
      <w:r>
        <w:rPr>
          <w:rFonts w:hint="eastAsia" w:ascii="宋体" w:hAnsi="宋体"/>
          <w:b/>
          <w:sz w:val="24"/>
          <w:szCs w:val="22"/>
        </w:rPr>
        <mc:AlternateContent>
          <mc:Choice Requires="wps">
            <w:drawing>
              <wp:anchor distT="0" distB="0" distL="114300" distR="114300" simplePos="0" relativeHeight="251846656" behindDoc="0" locked="0" layoutInCell="1" allowOverlap="1">
                <wp:simplePos x="0" y="0"/>
                <wp:positionH relativeFrom="column">
                  <wp:posOffset>4871720</wp:posOffset>
                </wp:positionH>
                <wp:positionV relativeFrom="paragraph">
                  <wp:posOffset>301625</wp:posOffset>
                </wp:positionV>
                <wp:extent cx="0" cy="495300"/>
                <wp:effectExtent l="38100" t="0" r="38100" b="0"/>
                <wp:wrapNone/>
                <wp:docPr id="314" name="直接连接符 31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ysDot"/>
                          <a:headEnd type="none" w="med" len="med"/>
                          <a:tailEnd type="triangle" w="med" len="med"/>
                        </a:ln>
                      </wps:spPr>
                      <wps:bodyPr upright="1"/>
                    </wps:wsp>
                  </a:graphicData>
                </a:graphic>
              </wp:anchor>
            </w:drawing>
          </mc:Choice>
          <mc:Fallback>
            <w:pict>
              <v:line id="_x0000_s1026" o:spid="_x0000_s1026" o:spt="20" style="position:absolute;left:0pt;margin-left:383.6pt;margin-top:23.75pt;height:39pt;width:0pt;z-index:251846656;mso-width-relative:page;mso-height-relative:page;" filled="f" stroked="t" coordsize="21600,21600" o:gfxdata="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YILv1wAA&#10;AAoBAAAPAAAAAAAAAAEAIAAAACIAAABkcnMvZG93bnJldi54bWxQSwECFAAUAAAACACHTuJAVu/M&#10;d+YBAACeAwAADgAAAAAAAAABACAAAAAmAQAAZHJzL2Uyb0RvYy54bWxQSwUGAAAAAAYABgBZAQAA&#10;fgUAAAAA&#10;">
                <v:fill on="f" focussize="0,0"/>
                <v:stroke color="#000000" joinstyle="round" dashstyle="1 1"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53824" behindDoc="0" locked="0" layoutInCell="1" allowOverlap="1">
                <wp:simplePos x="0" y="0"/>
                <wp:positionH relativeFrom="column">
                  <wp:posOffset>3528695</wp:posOffset>
                </wp:positionH>
                <wp:positionV relativeFrom="paragraph">
                  <wp:posOffset>166370</wp:posOffset>
                </wp:positionV>
                <wp:extent cx="1028700" cy="0"/>
                <wp:effectExtent l="0" t="38100" r="0" b="38100"/>
                <wp:wrapNone/>
                <wp:docPr id="307" name="直接连接符 307"/>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7.85pt;margin-top:13.1pt;height:0pt;width:81pt;z-index:251853824;mso-width-relative:page;mso-height-relative:page;" filled="f" stroked="t" coordsize="21600,21600" o:gfxdata="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MFvnjYAAAA&#10;CQEAAA8AAAAAAAAAAQAgAAAAIgAAAGRycy9kb3ducmV2LnhtbFBLAQIUABQAAAAIAIdO4kBIsVJw&#10;5AEAAJ4DAAAOAAAAAAAAAAEAIAAAACcBAABkcnMvZTJvRG9jLnhtbFBLBQYAAAAABgAGAFkBAAB9&#10;BQAAAAA=&#10;">
                <v:fill on="f" focussize="0,0"/>
                <v:stroke color="#000000" joinstyle="round" endarrow="block"/>
                <v:imagedata o:title=""/>
                <o:lock v:ext="edit" aspectratio="f"/>
              </v:line>
            </w:pict>
          </mc:Fallback>
        </mc:AlternateContent>
      </w:r>
      <w:r>
        <w:rPr>
          <w:rFonts w:hint="eastAsia" w:ascii="宋体" w:hAnsi="宋体"/>
          <w:b/>
          <w:sz w:val="24"/>
          <w:szCs w:val="22"/>
        </w:rPr>
        <mc:AlternateContent>
          <mc:Choice Requires="wps">
            <w:drawing>
              <wp:anchor distT="0" distB="0" distL="114300" distR="114300" simplePos="0" relativeHeight="251844608" behindDoc="0" locked="0" layoutInCell="1" allowOverlap="1">
                <wp:simplePos x="0" y="0"/>
                <wp:positionH relativeFrom="column">
                  <wp:posOffset>2541905</wp:posOffset>
                </wp:positionH>
                <wp:positionV relativeFrom="paragraph">
                  <wp:posOffset>12065</wp:posOffset>
                </wp:positionV>
                <wp:extent cx="981710" cy="297180"/>
                <wp:effectExtent l="4445" t="4445" r="23495" b="22225"/>
                <wp:wrapNone/>
                <wp:docPr id="308" name="矩形 308"/>
                <wp:cNvGraphicFramePr/>
                <a:graphic xmlns:a="http://schemas.openxmlformats.org/drawingml/2006/main">
                  <a:graphicData uri="http://schemas.microsoft.com/office/word/2010/wordprocessingShape">
                    <wps:wsp>
                      <wps:cNvSpPr/>
                      <wps:spPr>
                        <a:xfrm>
                          <a:off x="0" y="0"/>
                          <a:ext cx="98171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蒸汽轮机</w:t>
                            </w:r>
                          </w:p>
                        </w:txbxContent>
                      </wps:txbx>
                      <wps:bodyPr upright="1"/>
                    </wps:wsp>
                  </a:graphicData>
                </a:graphic>
              </wp:anchor>
            </w:drawing>
          </mc:Choice>
          <mc:Fallback>
            <w:pict>
              <v:rect id="_x0000_s1026" o:spid="_x0000_s1026" o:spt="1" style="position:absolute;left:0pt;margin-left:200.15pt;margin-top:0.95pt;height:23.4pt;width:77.3pt;z-index:251844608;mso-width-relative:page;mso-height-relative:page;" fillcolor="#FFFFFF" filled="t" stroked="t" coordsize="21600,21600" o:gfxdata="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6Y7yr&#10;1QAAAAgBAAAPAAAAAAAAAAEAIAAAACIAAABkcnMvZG93bnJldi54bWxQSwECFAAUAAAACACHTuJA&#10;5lNh2+sBAADeAwAADgAAAAAAAAABACAAAAAkAQAAZHJzL2Uyb0RvYy54bWxQSwUGAAAAAAYABgBZ&#10;AQAAgQUAAAAA&#10;">
                <v:fill on="t" focussize="0,0"/>
                <v:stroke color="#000000" joinstyle="miter"/>
                <v:imagedata o:title=""/>
                <o:lock v:ext="edit" aspectratio="f"/>
                <v:textbox>
                  <w:txbxContent>
                    <w:p>
                      <w:r>
                        <w:rPr>
                          <w:rFonts w:hint="eastAsia"/>
                        </w:rPr>
                        <w:t>蒸汽轮机</w:t>
                      </w:r>
                    </w:p>
                  </w:txbxContent>
                </v:textbox>
              </v:rect>
            </w:pict>
          </mc:Fallback>
        </mc:AlternateContent>
      </w:r>
      <w:r>
        <w:rPr>
          <w:rFonts w:hint="eastAsia" w:ascii="宋体" w:hAnsi="宋体"/>
          <w:b w:val="0"/>
          <w:sz w:val="24"/>
          <w:szCs w:val="22"/>
        </w:rPr>
        <w:t xml:space="preserve"> </w:t>
      </w:r>
      <w:bookmarkStart w:id="163" w:name="_Toc150759643"/>
      <w:bookmarkStart w:id="164" w:name="_Toc155859745"/>
      <w:bookmarkStart w:id="165" w:name="_Toc150760710"/>
      <w:r>
        <w:rPr>
          <w:rFonts w:hint="eastAsia" w:ascii="宋体" w:hAnsi="宋体"/>
          <w:b w:val="0"/>
          <w:sz w:val="24"/>
          <w:szCs w:val="22"/>
        </w:rPr>
        <w:t xml:space="preserve">                      </w:t>
      </w:r>
      <w:bookmarkEnd w:id="163"/>
      <w:bookmarkEnd w:id="164"/>
      <w:bookmarkEnd w:id="165"/>
      <w:r>
        <w:rPr>
          <w:rFonts w:hint="eastAsia" w:ascii="宋体" w:hAnsi="宋体"/>
          <w:b w:val="0"/>
          <w:sz w:val="24"/>
          <w:szCs w:val="22"/>
        </w:rPr>
        <w:t xml:space="preserve">                                                                     </w:t>
      </w:r>
    </w:p>
    <w:p>
      <w:pPr>
        <w:spacing w:line="480" w:lineRule="exact"/>
        <w:jc w:val="center"/>
        <w:rPr>
          <w:rFonts w:hint="eastAsia" w:ascii="宋体" w:hAnsi="宋体"/>
          <w:b/>
          <w:bCs/>
        </w:rPr>
      </w:pPr>
      <w:r>
        <w:rPr>
          <w:rFonts w:hint="eastAsia" w:ascii="宋体" w:hAnsi="宋体"/>
          <w:b/>
          <w:bCs/>
        </w:rPr>
        <w:t xml:space="preserve">                     </w:t>
      </w:r>
    </w:p>
    <w:p>
      <w:pPr>
        <w:spacing w:line="480" w:lineRule="exact"/>
        <w:jc w:val="center"/>
        <w:rPr>
          <w:rFonts w:hint="eastAsia" w:ascii="宋体" w:hAnsi="宋体"/>
          <w:bCs/>
        </w:rPr>
      </w:pPr>
      <w:bookmarkStart w:id="166" w:name="_Toc150759644"/>
      <w:bookmarkStart w:id="167" w:name="_Toc155859746"/>
      <w:bookmarkStart w:id="168" w:name="_Toc150760711"/>
      <w:r>
        <w:rPr>
          <w:rFonts w:hint="eastAsia" w:ascii="宋体" w:hAnsi="宋体"/>
          <w:b/>
        </w:rPr>
        <w:t xml:space="preserve">                                                  </w:t>
      </w:r>
      <w:r>
        <w:rPr>
          <w:rFonts w:hint="eastAsia" w:ascii="宋体" w:hAnsi="宋体"/>
        </w:rPr>
        <w:t>噪声</w:t>
      </w:r>
      <w:bookmarkEnd w:id="166"/>
      <w:bookmarkEnd w:id="167"/>
      <w:bookmarkEnd w:id="168"/>
    </w:p>
    <w:p>
      <w:pPr>
        <w:spacing w:line="480" w:lineRule="exact"/>
        <w:jc w:val="center"/>
        <w:rPr>
          <w:rFonts w:hint="eastAsia" w:ascii="宋体" w:hAnsi="宋体"/>
          <w:b/>
        </w:rPr>
      </w:pPr>
      <w:r>
        <w:rPr>
          <w:rFonts w:hint="eastAsia" w:ascii="宋体" w:hAnsi="宋体"/>
          <w:b/>
        </w:rPr>
        <w:t>图3.5  余热利用产污环节图</w:t>
      </w:r>
    </w:p>
    <w:bookmarkEnd w:id="152"/>
    <w:p>
      <w:pPr>
        <w:spacing w:line="360" w:lineRule="auto"/>
        <w:outlineLvl w:val="2"/>
        <w:rPr>
          <w:rFonts w:hint="eastAsia"/>
          <w:b/>
          <w:bCs/>
          <w:szCs w:val="20"/>
        </w:rPr>
      </w:pPr>
      <w:bookmarkStart w:id="169" w:name="_Toc473281503"/>
      <w:bookmarkStart w:id="170" w:name="_Toc189814145"/>
    </w:p>
    <w:p>
      <w:pPr>
        <w:spacing w:line="360" w:lineRule="auto"/>
        <w:outlineLvl w:val="2"/>
        <w:rPr>
          <w:rFonts w:hint="eastAsia"/>
          <w:b/>
          <w:bCs/>
          <w:szCs w:val="20"/>
        </w:rPr>
      </w:pPr>
      <w:r>
        <w:rPr>
          <w:rFonts w:hint="eastAsia"/>
          <w:b/>
          <w:bCs/>
          <w:szCs w:val="20"/>
        </w:rPr>
        <w:t>3.2.4污染物产生、治理及排放分析</w:t>
      </w:r>
      <w:bookmarkEnd w:id="151"/>
      <w:bookmarkEnd w:id="169"/>
      <w:bookmarkEnd w:id="170"/>
    </w:p>
    <w:p>
      <w:pPr>
        <w:spacing w:line="360" w:lineRule="auto"/>
        <w:outlineLvl w:val="2"/>
        <w:rPr>
          <w:rFonts w:hint="eastAsia"/>
          <w:b/>
          <w:bCs/>
          <w:szCs w:val="20"/>
        </w:rPr>
      </w:pPr>
      <w:r>
        <w:rPr>
          <w:rFonts w:hint="eastAsia"/>
          <w:b/>
          <w:bCs/>
          <w:szCs w:val="20"/>
        </w:rPr>
        <w:t>3.2.4.1废气</w:t>
      </w:r>
    </w:p>
    <w:p>
      <w:pPr>
        <w:spacing w:line="360" w:lineRule="auto"/>
        <w:ind w:firstLine="420" w:firstLineChars="200"/>
        <w:rPr>
          <w:rFonts w:hint="eastAsia" w:ascii="宋体" w:hAnsi="宋体"/>
        </w:rPr>
      </w:pPr>
      <w:r>
        <w:rPr>
          <w:rFonts w:hint="eastAsia" w:ascii="宋体" w:hAnsi="宋体"/>
        </w:rPr>
        <w:t>由图3.3和图3.5可知，技改项目余热电站没有废气产生，污染物全部来自水泥生产线产生的粉尘、烟尘，主要来源于物料预均化、磨粉、输送、煅烧、储存、装卸等生产过程；最大的烟尘排放源来自窑尾。此外，煅烧时也产生一定量的</w:t>
      </w:r>
      <w:r>
        <w:rPr>
          <w:rFonts w:ascii="宋体" w:hAnsi="宋体"/>
        </w:rPr>
        <w:t>SO</w:t>
      </w:r>
      <w:r>
        <w:rPr>
          <w:rFonts w:ascii="宋体" w:hAnsi="宋体"/>
          <w:vertAlign w:val="subscript"/>
        </w:rPr>
        <w:t>2</w:t>
      </w:r>
      <w:r>
        <w:rPr>
          <w:rFonts w:hint="eastAsia" w:ascii="宋体" w:hAnsi="宋体"/>
        </w:rPr>
        <w:t>、</w:t>
      </w:r>
      <w:r>
        <w:rPr>
          <w:rFonts w:ascii="宋体" w:hAnsi="宋体"/>
        </w:rPr>
        <w:t>NO</w:t>
      </w:r>
      <w:r>
        <w:rPr>
          <w:rFonts w:ascii="宋体" w:hAnsi="宋体"/>
          <w:vertAlign w:val="subscript"/>
        </w:rPr>
        <w:t>2</w:t>
      </w:r>
      <w:r>
        <w:rPr>
          <w:rFonts w:hint="eastAsia" w:ascii="宋体" w:hAnsi="宋体"/>
        </w:rPr>
        <w:t>。</w:t>
      </w:r>
    </w:p>
    <w:p>
      <w:pPr>
        <w:spacing w:line="360" w:lineRule="auto"/>
        <w:ind w:firstLine="420" w:firstLineChars="200"/>
        <w:rPr>
          <w:rFonts w:hint="eastAsia" w:ascii="宋体" w:hAnsi="宋体"/>
        </w:rPr>
      </w:pPr>
      <w:r>
        <w:rPr>
          <w:rFonts w:hint="eastAsia" w:ascii="宋体" w:hAnsi="宋体"/>
        </w:rPr>
        <w:t>（1）粉尘</w:t>
      </w:r>
    </w:p>
    <w:p>
      <w:pPr>
        <w:spacing w:line="360" w:lineRule="auto"/>
        <w:ind w:firstLine="420" w:firstLineChars="200"/>
        <w:rPr>
          <w:rFonts w:hint="eastAsia" w:ascii="宋体" w:hAnsi="宋体"/>
          <w:snapToGrid w:val="0"/>
          <w:kern w:val="0"/>
        </w:rPr>
      </w:pPr>
      <w:r>
        <w:rPr>
          <w:rFonts w:hint="eastAsia" w:ascii="宋体" w:hAnsi="宋体"/>
        </w:rPr>
        <w:t>a、有组织排放：技改项目共有组织排尘点58个，均安装了高效的袋收尘器，废气排放总量为1312780</w:t>
      </w:r>
      <w:r>
        <w:rPr>
          <w:rFonts w:ascii="宋体" w:hAnsi="宋体"/>
        </w:rPr>
        <w:t>Nm</w:t>
      </w:r>
      <w:r>
        <w:rPr>
          <w:rFonts w:ascii="宋体" w:hAnsi="宋体"/>
          <w:vertAlign w:val="superscript"/>
        </w:rPr>
        <w:t>3</w:t>
      </w:r>
      <w:r>
        <w:rPr>
          <w:rFonts w:ascii="宋体" w:hAnsi="宋体"/>
        </w:rPr>
        <w:t>/h</w:t>
      </w:r>
      <w:r>
        <w:rPr>
          <w:rFonts w:hint="eastAsia" w:ascii="宋体" w:hAnsi="宋体"/>
        </w:rPr>
        <w:t>，烟</w:t>
      </w:r>
      <w:r>
        <w:rPr>
          <w:rFonts w:hint="eastAsia" w:ascii="宋体" w:hAnsi="宋体"/>
          <w:snapToGrid w:val="0"/>
          <w:kern w:val="0"/>
        </w:rPr>
        <w:t>粉尘排放量</w:t>
      </w:r>
      <w:r>
        <w:rPr>
          <w:rFonts w:hint="eastAsia" w:ascii="宋体" w:hAnsi="宋体"/>
        </w:rPr>
        <w:t>261.37</w:t>
      </w:r>
      <w:r>
        <w:rPr>
          <w:rFonts w:ascii="宋体" w:hAnsi="宋体"/>
        </w:rPr>
        <w:t>t</w:t>
      </w:r>
      <w:r>
        <w:rPr>
          <w:rFonts w:ascii="宋体" w:hAnsi="宋体"/>
          <w:snapToGrid w:val="0"/>
          <w:kern w:val="0"/>
        </w:rPr>
        <w:t>/a</w:t>
      </w:r>
      <w:r>
        <w:rPr>
          <w:rFonts w:hint="eastAsia" w:ascii="宋体" w:hAnsi="宋体"/>
          <w:snapToGrid w:val="0"/>
          <w:kern w:val="0"/>
        </w:rPr>
        <w:t>。</w:t>
      </w:r>
    </w:p>
    <w:p>
      <w:pPr>
        <w:spacing w:line="360" w:lineRule="auto"/>
        <w:ind w:firstLine="420" w:firstLineChars="200"/>
        <w:rPr>
          <w:rFonts w:hint="eastAsia" w:ascii="宋体" w:hAnsi="宋体"/>
        </w:rPr>
      </w:pPr>
      <w:r>
        <w:rPr>
          <w:rFonts w:hint="eastAsia" w:ascii="宋体" w:hAnsi="宋体"/>
        </w:rPr>
        <w:t>b、原料无组织排放：无组织粉尘排放源主要考虑原料堆场和物料装卸产生的扬尘。由于技改工程所有物料的堆场均采取了全密闭或半密闭措施，产生的粉尘量较少，同时石灰石粒径大，工程所在地平均风速较小，因此本评价仅考虑石灰石卸车时产生的粉尘。借鉴北京市环境保护科学研究原编写出版（2002.4）的环境影响评价实例《北京太行邦正水泥有限公司水泥生产线建设工程（2000t/d）环境影响评价》中有关无组织排放的计算方法，按照沙坪坝区的气象统计资料，计算技改工程无组织排放的粉尘量。</w:t>
      </w:r>
    </w:p>
    <w:p>
      <w:pPr>
        <w:spacing w:line="360" w:lineRule="auto"/>
        <w:ind w:firstLine="420" w:firstLineChars="200"/>
        <w:rPr>
          <w:rFonts w:hint="eastAsia" w:ascii="宋体" w:hAnsi="宋体"/>
        </w:rPr>
      </w:pPr>
      <w:r>
        <w:rPr>
          <w:rFonts w:hint="eastAsia" w:ascii="宋体" w:hAnsi="宋体"/>
        </w:rPr>
        <w:t>物料装卸的起尘量：</w:t>
      </w:r>
    </w:p>
    <w:p>
      <w:pPr>
        <w:spacing w:line="360" w:lineRule="auto"/>
        <w:ind w:firstLine="420" w:firstLineChars="200"/>
        <w:rPr>
          <w:rFonts w:hint="eastAsia" w:ascii="宋体" w:hAnsi="宋体"/>
        </w:rPr>
      </w:pPr>
    </w:p>
    <w:p>
      <w:pPr>
        <w:spacing w:line="360" w:lineRule="auto"/>
        <w:ind w:firstLine="420" w:firstLineChars="200"/>
        <w:rPr>
          <w:rFonts w:hint="eastAsia" w:ascii="宋体" w:hAnsi="宋体"/>
          <w:sz w:val="30"/>
          <w:szCs w:val="30"/>
        </w:rPr>
      </w:pPr>
      <w:r>
        <w:rPr>
          <w:rFonts w:ascii="宋体" w:hAnsi="宋体"/>
          <w:position w:val="-10"/>
          <w:vertAlign w:val="superscript"/>
        </w:rPr>
        <w:object>
          <v:shape id="_x0000_i1026" o:spt="75" type="#_x0000_t75" style="height:28.45pt;width:203.45pt;" o:ole="t" filled="f" o:preferrelative="t" stroked="f" coordsize="21600,21600">
            <v:path/>
            <v:fill on="f" alignshape="1" focussize="0,0"/>
            <v:stroke on="f"/>
            <v:imagedata r:id="rId36" grayscale="f" bilevel="f" o:title=""/>
            <o:lock v:ext="edit" aspectratio="t"/>
            <w10:wrap type="none"/>
            <w10:anchorlock/>
          </v:shape>
          <o:OLEObject Type="Embed" ProgID="Equation.3" ShapeID="_x0000_i1026" DrawAspect="Content" ObjectID="_1468075726" r:id="rId35">
            <o:LockedField>false</o:LockedField>
          </o:OLEObject>
        </w:object>
      </w:r>
    </w:p>
    <w:p>
      <w:pPr>
        <w:spacing w:line="360" w:lineRule="auto"/>
        <w:ind w:firstLine="420" w:firstLineChars="200"/>
        <w:rPr>
          <w:rFonts w:hint="eastAsia" w:ascii="宋体" w:hAnsi="宋体"/>
        </w:rPr>
      </w:pPr>
      <w:r>
        <w:rPr>
          <w:rFonts w:hint="eastAsia" w:ascii="宋体" w:hAnsi="宋体"/>
        </w:rPr>
        <w:t>式中Q为装卸起尘量（mg/s ），U为风速(m/s),W为物料含水率（5），H为落差(m)。本工程中U取0.94 m/s，W取2%，H取2.5m，每车平均卸车时间取1.5min，石灰石年运输车辆按10t/车、次计，则石灰石运输车次为101866车次/a。根据以上参数计算出技改工程石灰石装卸起尘量为28.73t/a。</w:t>
      </w:r>
    </w:p>
    <w:p>
      <w:pPr>
        <w:spacing w:line="480" w:lineRule="exact"/>
        <w:ind w:firstLine="420" w:firstLineChars="200"/>
        <w:rPr>
          <w:rFonts w:hint="eastAsia" w:ascii="宋体" w:hAnsi="宋体"/>
        </w:rPr>
      </w:pPr>
      <w:r>
        <w:rPr>
          <w:rFonts w:hint="eastAsia" w:ascii="宋体" w:hAnsi="宋体"/>
        </w:rPr>
        <w:t>（2）</w:t>
      </w:r>
      <w:r>
        <w:rPr>
          <w:rFonts w:ascii="宋体" w:hAnsi="宋体"/>
        </w:rPr>
        <w:t>SO</w:t>
      </w:r>
      <w:r>
        <w:rPr>
          <w:rFonts w:ascii="宋体" w:hAnsi="宋体"/>
          <w:vertAlign w:val="subscript"/>
        </w:rPr>
        <w:t>2</w:t>
      </w:r>
    </w:p>
    <w:p>
      <w:pPr>
        <w:spacing w:line="480" w:lineRule="exact"/>
        <w:ind w:firstLine="420" w:firstLineChars="200"/>
        <w:rPr>
          <w:rFonts w:hint="eastAsia" w:ascii="宋体" w:hAnsi="宋体"/>
        </w:rPr>
      </w:pPr>
      <w:r>
        <w:rPr>
          <w:rFonts w:hint="eastAsia" w:ascii="宋体" w:hAnsi="宋体"/>
        </w:rPr>
        <w:t>烧成系统窑尾排放的SO</w:t>
      </w:r>
      <w:r>
        <w:rPr>
          <w:rFonts w:hint="eastAsia" w:ascii="宋体" w:hAnsi="宋体"/>
          <w:vertAlign w:val="subscript"/>
        </w:rPr>
        <w:t>2</w:t>
      </w:r>
      <w:r>
        <w:rPr>
          <w:rFonts w:hint="eastAsia" w:ascii="宋体" w:hAnsi="宋体"/>
        </w:rPr>
        <w:t>主要是由水泥原料和燃料中的硫化物和单质硫氧化或分解产生的。在窑中大部分SO</w:t>
      </w:r>
      <w:r>
        <w:rPr>
          <w:rFonts w:hint="eastAsia" w:ascii="宋体" w:hAnsi="宋体"/>
          <w:vertAlign w:val="subscript"/>
        </w:rPr>
        <w:t>2</w:t>
      </w:r>
      <w:r>
        <w:rPr>
          <w:rFonts w:hint="eastAsia" w:ascii="宋体" w:hAnsi="宋体"/>
        </w:rPr>
        <w:t>被物料中氧化钙和其它碱性氧化物所吸收形成硫酸钙等进入熟料，其反应机理为：</w:t>
      </w:r>
    </w:p>
    <w:p>
      <w:pPr>
        <w:spacing w:line="360" w:lineRule="auto"/>
        <w:ind w:firstLine="480"/>
        <w:jc w:val="center"/>
        <w:rPr>
          <w:rFonts w:hint="eastAsia"/>
        </w:rPr>
      </w:pPr>
      <w:r>
        <w:rPr>
          <w:rFonts w:hint="eastAsia"/>
        </w:rPr>
        <w:t>C</w:t>
      </w:r>
      <w:r>
        <w:t>aCO</w:t>
      </w:r>
      <w:r>
        <w:rPr>
          <w:vertAlign w:val="subscript"/>
        </w:rPr>
        <w:t>3</w:t>
      </w:r>
      <w:r>
        <w:rPr>
          <w:rFonts w:hint="eastAsia"/>
        </w:rPr>
        <w:t>→</w:t>
      </w:r>
      <w:r>
        <w:t>CaO</w:t>
      </w:r>
      <w:r>
        <w:rPr>
          <w:rFonts w:hint="eastAsia"/>
        </w:rPr>
        <w:t>＋</w:t>
      </w:r>
      <w:r>
        <w:t>CO</w:t>
      </w:r>
      <w:r>
        <w:rPr>
          <w:vertAlign w:val="subscript"/>
        </w:rPr>
        <w:t>2</w:t>
      </w:r>
      <w:r>
        <w:rPr>
          <w:rFonts w:hint="eastAsia"/>
        </w:rPr>
        <w:t>↑</w:t>
      </w:r>
    </w:p>
    <w:p>
      <w:pPr>
        <w:spacing w:line="360" w:lineRule="auto"/>
        <w:ind w:firstLine="480"/>
        <w:jc w:val="center"/>
      </w:pPr>
      <w:r>
        <w:t>CaO</w:t>
      </w:r>
      <w:r>
        <w:rPr>
          <w:rFonts w:hint="eastAsia"/>
        </w:rPr>
        <w:t>＋SO</w:t>
      </w:r>
      <w:r>
        <w:rPr>
          <w:rFonts w:hint="eastAsia"/>
          <w:vertAlign w:val="subscript"/>
        </w:rPr>
        <w:t>2</w:t>
      </w:r>
      <w:r>
        <w:rPr>
          <w:rFonts w:hint="eastAsia"/>
        </w:rPr>
        <w:t>＋</w:t>
      </w:r>
      <w:r>
        <w:t>1/2O</w:t>
      </w:r>
      <w:r>
        <w:rPr>
          <w:vertAlign w:val="subscript"/>
        </w:rPr>
        <w:t>2</w:t>
      </w:r>
      <w:r>
        <w:rPr>
          <w:rFonts w:hint="eastAsia"/>
        </w:rPr>
        <w:t>→</w:t>
      </w:r>
      <w:r>
        <w:t>CaSO</w:t>
      </w:r>
      <w:r>
        <w:rPr>
          <w:vertAlign w:val="subscript"/>
        </w:rPr>
        <w:t>4</w:t>
      </w:r>
    </w:p>
    <w:p>
      <w:pPr>
        <w:spacing w:line="360" w:lineRule="auto"/>
        <w:ind w:firstLine="448"/>
        <w:rPr>
          <w:rFonts w:hint="eastAsia"/>
        </w:rPr>
      </w:pPr>
      <w:r>
        <w:rPr>
          <w:rFonts w:hint="eastAsia"/>
        </w:rPr>
        <w:t>带窑外分解炉的水泥回转窑在物料煅烧过程中对</w:t>
      </w:r>
      <w:r>
        <w:t>SO</w:t>
      </w:r>
      <w:r>
        <w:rPr>
          <w:vertAlign w:val="subscript"/>
        </w:rPr>
        <w:t>2</w:t>
      </w:r>
      <w:r>
        <w:rPr>
          <w:rFonts w:hint="eastAsia"/>
        </w:rPr>
        <w:t>的吸收率很高，吸硫率可达在95%</w:t>
      </w:r>
      <w:r>
        <w:t>~</w:t>
      </w:r>
      <w:r>
        <w:rPr>
          <w:rFonts w:hint="eastAsia"/>
        </w:rPr>
        <w:t>98%。</w:t>
      </w:r>
      <w:r>
        <w:t>SO</w:t>
      </w:r>
      <w:r>
        <w:rPr>
          <w:vertAlign w:val="subscript"/>
        </w:rPr>
        <w:t>2</w:t>
      </w:r>
      <w:r>
        <w:rPr>
          <w:rFonts w:hint="eastAsia"/>
        </w:rPr>
        <w:t>实际排放量甚微。根据项目设计资料，吸硫率按95％计，根据生料及燃料的含硫率、消耗量，预计窑尾排放的SO</w:t>
      </w:r>
      <w:r>
        <w:rPr>
          <w:rFonts w:hint="eastAsia"/>
          <w:vertAlign w:val="subscript"/>
        </w:rPr>
        <w:t>2</w:t>
      </w:r>
      <w:r>
        <w:rPr>
          <w:rFonts w:hint="eastAsia"/>
        </w:rPr>
        <w:t>浓度为84.17</w:t>
      </w:r>
      <w:r>
        <w:t>mg/Nm</w:t>
      </w:r>
      <w:r>
        <w:rPr>
          <w:vertAlign w:val="superscript"/>
        </w:rPr>
        <w:t>3</w:t>
      </w:r>
      <w:r>
        <w:rPr>
          <w:rFonts w:hint="eastAsia"/>
        </w:rPr>
        <w:t>，排放量216.44t/a。</w:t>
      </w:r>
    </w:p>
    <w:p>
      <w:pPr>
        <w:spacing w:line="360" w:lineRule="auto"/>
        <w:ind w:firstLine="448"/>
        <w:rPr>
          <w:rFonts w:hint="eastAsia"/>
        </w:rPr>
      </w:pPr>
      <w:r>
        <w:rPr>
          <w:rFonts w:hint="eastAsia"/>
        </w:rPr>
        <w:t>③NO</w:t>
      </w:r>
      <w:r>
        <w:rPr>
          <w:rFonts w:hint="eastAsia"/>
          <w:vertAlign w:val="subscript"/>
        </w:rPr>
        <w:t>2</w:t>
      </w:r>
    </w:p>
    <w:p>
      <w:pPr>
        <w:spacing w:line="360" w:lineRule="auto"/>
        <w:ind w:firstLine="448"/>
        <w:rPr>
          <w:rFonts w:hint="eastAsia"/>
        </w:rPr>
      </w:pPr>
      <w:r>
        <w:rPr>
          <w:rFonts w:hint="eastAsia"/>
        </w:rPr>
        <w:t>主要产生于窑内的高温燃烧过程，生成量与燃料量、燃烧温度、含氧量及反应时间有关。由于窑外预热分解窑</w:t>
      </w:r>
      <w:r>
        <w:t>50~60</w:t>
      </w:r>
      <w:r>
        <w:rPr>
          <w:rFonts w:hint="eastAsia"/>
        </w:rPr>
        <w:t>%的煤在温度较低（控制在800～1000℃之间）的分解炉内燃烧，并且采用三通道喷煤燃烧器，降低了一次供风量，烧成过程中NO</w:t>
      </w:r>
      <w:r>
        <w:rPr>
          <w:rFonts w:hint="eastAsia"/>
          <w:vertAlign w:val="subscript"/>
        </w:rPr>
        <w:t>2</w:t>
      </w:r>
      <w:r>
        <w:rPr>
          <w:rFonts w:hint="eastAsia"/>
        </w:rPr>
        <w:t>的生成量较小。预计窑尾排放的NO</w:t>
      </w:r>
      <w:r>
        <w:rPr>
          <w:rFonts w:hint="eastAsia"/>
          <w:vertAlign w:val="subscript"/>
        </w:rPr>
        <w:t>2</w:t>
      </w:r>
      <w:r>
        <w:rPr>
          <w:rFonts w:hint="eastAsia"/>
        </w:rPr>
        <w:t>排放浓度为700</w:t>
      </w:r>
      <w:r>
        <w:t>mg/Nm</w:t>
      </w:r>
      <w:r>
        <w:rPr>
          <w:vertAlign w:val="superscript"/>
        </w:rPr>
        <w:t>3</w:t>
      </w:r>
      <w:r>
        <w:rPr>
          <w:rFonts w:hint="eastAsia"/>
        </w:rPr>
        <w:t>，排放量1799.88</w:t>
      </w:r>
      <w:r>
        <w:t>t</w:t>
      </w:r>
      <w:r>
        <w:rPr>
          <w:rFonts w:hint="eastAsia"/>
        </w:rPr>
        <w:t>/a。</w:t>
      </w:r>
    </w:p>
    <w:p>
      <w:pPr>
        <w:widowControl/>
        <w:spacing w:line="360" w:lineRule="auto"/>
        <w:ind w:firstLine="420" w:firstLineChars="200"/>
        <w:rPr>
          <w:rFonts w:hint="eastAsia"/>
          <w:b/>
        </w:rPr>
      </w:pPr>
      <w:r>
        <w:rPr>
          <w:rFonts w:hint="eastAsia"/>
        </w:rPr>
        <w:t>技改项目废气污染物产生、治理、排放情况见表3-12。</w:t>
      </w:r>
    </w:p>
    <w:p>
      <w:pPr>
        <w:widowControl/>
        <w:spacing w:line="360" w:lineRule="auto"/>
        <w:ind w:firstLine="420" w:firstLineChars="200"/>
        <w:sectPr>
          <w:footerReference r:id="rId9" w:type="default"/>
          <w:footerReference r:id="rId10" w:type="even"/>
          <w:pgSz w:w="11906" w:h="16838"/>
          <w:pgMar w:top="1440" w:right="1418" w:bottom="1440" w:left="1418" w:header="851" w:footer="992" w:gutter="0"/>
          <w:paperSrc w:first="20070" w:other="20070"/>
          <w:cols w:space="425" w:num="1"/>
          <w:titlePg/>
          <w:docGrid w:linePitch="312" w:charSpace="0"/>
        </w:sectPr>
      </w:pPr>
    </w:p>
    <w:p>
      <w:pPr>
        <w:tabs>
          <w:tab w:val="left" w:pos="6298"/>
        </w:tabs>
        <w:spacing w:line="480" w:lineRule="exact"/>
        <w:jc w:val="center"/>
        <w:rPr>
          <w:rFonts w:hint="eastAsia" w:ascii="宋体" w:hAnsi="宋体"/>
          <w:b/>
        </w:rPr>
      </w:pPr>
      <w:r>
        <w:rPr>
          <w:rFonts w:hint="eastAsia" w:ascii="宋体" w:hAnsi="宋体"/>
          <w:b/>
        </w:rPr>
        <w:t>表3-12     技改项目废气污染物产生、治理、排放情况一览表</w:t>
      </w:r>
    </w:p>
    <w:tbl>
      <w:tblPr>
        <w:tblStyle w:val="20"/>
        <w:tblW w:w="14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556"/>
        <w:gridCol w:w="974"/>
        <w:gridCol w:w="607"/>
        <w:gridCol w:w="769"/>
        <w:gridCol w:w="789"/>
        <w:gridCol w:w="789"/>
        <w:gridCol w:w="783"/>
        <w:gridCol w:w="708"/>
        <w:gridCol w:w="1020"/>
        <w:gridCol w:w="1122"/>
        <w:gridCol w:w="1483"/>
        <w:gridCol w:w="786"/>
        <w:gridCol w:w="731"/>
        <w:gridCol w:w="928"/>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5" w:hRule="atLeast"/>
          <w:tblHeader/>
          <w:jc w:val="center"/>
        </w:trPr>
        <w:tc>
          <w:tcPr>
            <w:tcW w:w="588"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序号</w:t>
            </w:r>
          </w:p>
        </w:tc>
        <w:tc>
          <w:tcPr>
            <w:tcW w:w="1556" w:type="dxa"/>
            <w:vMerge w:val="restart"/>
            <w:noWrap w:val="0"/>
            <w:vAlign w:val="center"/>
          </w:tcPr>
          <w:p>
            <w:pPr>
              <w:pStyle w:val="14"/>
              <w:tabs>
                <w:tab w:val="clear" w:pos="4153"/>
                <w:tab w:val="clear" w:pos="8306"/>
              </w:tabs>
              <w:spacing w:line="360" w:lineRule="exact"/>
              <w:rPr>
                <w:rFonts w:hint="eastAsia"/>
                <w:snapToGrid w:val="0"/>
                <w:kern w:val="0"/>
              </w:rPr>
            </w:pPr>
            <w:r>
              <w:rPr>
                <w:rFonts w:hint="eastAsia"/>
                <w:snapToGrid w:val="0"/>
                <w:kern w:val="0"/>
              </w:rPr>
              <w:t>系统名称</w:t>
            </w:r>
          </w:p>
        </w:tc>
        <w:tc>
          <w:tcPr>
            <w:tcW w:w="974" w:type="dxa"/>
            <w:vMerge w:val="restart"/>
            <w:noWrap w:val="0"/>
            <w:vAlign w:val="center"/>
          </w:tcPr>
          <w:p>
            <w:pPr>
              <w:pStyle w:val="15"/>
              <w:pBdr>
                <w:bottom w:val="none" w:color="auto" w:sz="0" w:space="0"/>
              </w:pBdr>
              <w:tabs>
                <w:tab w:val="clear" w:pos="4153"/>
                <w:tab w:val="clear" w:pos="8306"/>
              </w:tabs>
              <w:spacing w:line="360" w:lineRule="exact"/>
              <w:rPr>
                <w:snapToGrid w:val="0"/>
                <w:kern w:val="0"/>
              </w:rPr>
            </w:pPr>
            <w:r>
              <w:rPr>
                <w:rFonts w:hint="eastAsia"/>
                <w:snapToGrid w:val="0"/>
                <w:kern w:val="0"/>
              </w:rPr>
              <w:t>风量</w:t>
            </w:r>
          </w:p>
          <w:p>
            <w:pPr>
              <w:snapToGrid w:val="0"/>
              <w:spacing w:line="360" w:lineRule="exact"/>
              <w:jc w:val="center"/>
              <w:rPr>
                <w:rFonts w:hint="eastAsia"/>
                <w:snapToGrid w:val="0"/>
                <w:kern w:val="0"/>
                <w:sz w:val="18"/>
                <w:szCs w:val="18"/>
              </w:rPr>
            </w:pPr>
            <w:r>
              <w:rPr>
                <w:snapToGrid w:val="0"/>
                <w:kern w:val="0"/>
                <w:sz w:val="18"/>
                <w:szCs w:val="18"/>
              </w:rPr>
              <w:t>m</w:t>
            </w:r>
            <w:r>
              <w:rPr>
                <w:snapToGrid w:val="0"/>
                <w:kern w:val="0"/>
                <w:sz w:val="18"/>
                <w:szCs w:val="18"/>
                <w:vertAlign w:val="superscript"/>
              </w:rPr>
              <w:t>3</w:t>
            </w:r>
            <w:r>
              <w:rPr>
                <w:snapToGrid w:val="0"/>
                <w:kern w:val="0"/>
                <w:sz w:val="18"/>
                <w:szCs w:val="18"/>
              </w:rPr>
              <w:t>/h</w:t>
            </w:r>
          </w:p>
        </w:tc>
        <w:tc>
          <w:tcPr>
            <w:tcW w:w="607"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污</w:t>
            </w:r>
          </w:p>
          <w:p>
            <w:pPr>
              <w:snapToGrid w:val="0"/>
              <w:spacing w:line="360" w:lineRule="exact"/>
              <w:jc w:val="center"/>
              <w:rPr>
                <w:rFonts w:hint="eastAsia"/>
                <w:snapToGrid w:val="0"/>
                <w:kern w:val="0"/>
                <w:sz w:val="18"/>
                <w:szCs w:val="18"/>
              </w:rPr>
            </w:pPr>
            <w:r>
              <w:rPr>
                <w:rFonts w:hint="eastAsia"/>
                <w:snapToGrid w:val="0"/>
                <w:kern w:val="0"/>
                <w:sz w:val="18"/>
                <w:szCs w:val="18"/>
              </w:rPr>
              <w:t>染</w:t>
            </w:r>
          </w:p>
          <w:p>
            <w:pPr>
              <w:snapToGrid w:val="0"/>
              <w:spacing w:line="360" w:lineRule="exact"/>
              <w:jc w:val="center"/>
              <w:rPr>
                <w:rFonts w:hint="eastAsia"/>
                <w:snapToGrid w:val="0"/>
                <w:kern w:val="0"/>
                <w:sz w:val="18"/>
                <w:szCs w:val="18"/>
              </w:rPr>
            </w:pPr>
            <w:r>
              <w:rPr>
                <w:rFonts w:hint="eastAsia"/>
                <w:snapToGrid w:val="0"/>
                <w:kern w:val="0"/>
                <w:sz w:val="18"/>
                <w:szCs w:val="18"/>
              </w:rPr>
              <w:t>物</w:t>
            </w:r>
          </w:p>
        </w:tc>
        <w:tc>
          <w:tcPr>
            <w:tcW w:w="769"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年工作</w:t>
            </w:r>
          </w:p>
          <w:p>
            <w:pPr>
              <w:snapToGrid w:val="0"/>
              <w:spacing w:line="360" w:lineRule="exact"/>
              <w:jc w:val="center"/>
              <w:rPr>
                <w:snapToGrid w:val="0"/>
                <w:kern w:val="0"/>
                <w:sz w:val="18"/>
                <w:szCs w:val="18"/>
              </w:rPr>
            </w:pPr>
            <w:r>
              <w:rPr>
                <w:rFonts w:hint="eastAsia"/>
                <w:snapToGrid w:val="0"/>
                <w:kern w:val="0"/>
                <w:sz w:val="18"/>
                <w:szCs w:val="18"/>
              </w:rPr>
              <w:t>小时</w:t>
            </w:r>
          </w:p>
        </w:tc>
        <w:tc>
          <w:tcPr>
            <w:tcW w:w="789"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排气筒</w:t>
            </w:r>
          </w:p>
          <w:p>
            <w:pPr>
              <w:snapToGrid w:val="0"/>
              <w:spacing w:line="360" w:lineRule="exact"/>
              <w:jc w:val="center"/>
              <w:rPr>
                <w:rFonts w:hint="eastAsia"/>
                <w:snapToGrid w:val="0"/>
                <w:kern w:val="0"/>
                <w:sz w:val="18"/>
                <w:szCs w:val="18"/>
              </w:rPr>
            </w:pPr>
            <w:r>
              <w:rPr>
                <w:rFonts w:hint="eastAsia"/>
                <w:snapToGrid w:val="0"/>
                <w:kern w:val="0"/>
                <w:sz w:val="18"/>
                <w:szCs w:val="18"/>
              </w:rPr>
              <w:t>高度</w:t>
            </w:r>
            <w:r>
              <w:rPr>
                <w:snapToGrid w:val="0"/>
                <w:kern w:val="0"/>
                <w:sz w:val="18"/>
                <w:szCs w:val="18"/>
              </w:rPr>
              <w:t>m</w:t>
            </w:r>
          </w:p>
        </w:tc>
        <w:tc>
          <w:tcPr>
            <w:tcW w:w="789"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排气筒</w:t>
            </w:r>
          </w:p>
          <w:p>
            <w:pPr>
              <w:snapToGrid w:val="0"/>
              <w:spacing w:line="360" w:lineRule="exact"/>
              <w:jc w:val="center"/>
              <w:rPr>
                <w:rFonts w:hint="eastAsia"/>
                <w:snapToGrid w:val="0"/>
                <w:kern w:val="0"/>
                <w:sz w:val="18"/>
                <w:szCs w:val="18"/>
              </w:rPr>
            </w:pPr>
            <w:r>
              <w:rPr>
                <w:rFonts w:hint="eastAsia"/>
                <w:snapToGrid w:val="0"/>
                <w:kern w:val="0"/>
                <w:sz w:val="18"/>
                <w:szCs w:val="18"/>
              </w:rPr>
              <w:t>直径</w:t>
            </w:r>
            <w:r>
              <w:rPr>
                <w:snapToGrid w:val="0"/>
                <w:kern w:val="0"/>
                <w:sz w:val="18"/>
                <w:szCs w:val="18"/>
              </w:rPr>
              <w:t>m</w:t>
            </w:r>
          </w:p>
        </w:tc>
        <w:tc>
          <w:tcPr>
            <w:tcW w:w="783"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排气</w:t>
            </w:r>
          </w:p>
          <w:p>
            <w:pPr>
              <w:snapToGrid w:val="0"/>
              <w:spacing w:line="360" w:lineRule="exact"/>
              <w:jc w:val="center"/>
              <w:rPr>
                <w:rFonts w:hint="eastAsia"/>
                <w:snapToGrid w:val="0"/>
                <w:kern w:val="0"/>
                <w:sz w:val="18"/>
                <w:szCs w:val="18"/>
              </w:rPr>
            </w:pPr>
            <w:r>
              <w:rPr>
                <w:rFonts w:hint="eastAsia"/>
                <w:snapToGrid w:val="0"/>
                <w:kern w:val="0"/>
                <w:sz w:val="18"/>
                <w:szCs w:val="18"/>
              </w:rPr>
              <w:t>温度℃</w:t>
            </w:r>
          </w:p>
        </w:tc>
        <w:tc>
          <w:tcPr>
            <w:tcW w:w="2850" w:type="dxa"/>
            <w:gridSpan w:val="3"/>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产 生 情 况</w:t>
            </w:r>
          </w:p>
        </w:tc>
        <w:tc>
          <w:tcPr>
            <w:tcW w:w="4749" w:type="dxa"/>
            <w:gridSpan w:val="5"/>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 放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blHeader/>
          <w:jc w:val="center"/>
        </w:trPr>
        <w:tc>
          <w:tcPr>
            <w:tcW w:w="588" w:type="dxa"/>
            <w:vMerge w:val="continue"/>
            <w:noWrap w:val="0"/>
            <w:vAlign w:val="center"/>
          </w:tcPr>
          <w:p>
            <w:pPr>
              <w:snapToGrid w:val="0"/>
              <w:spacing w:line="360" w:lineRule="exact"/>
              <w:jc w:val="left"/>
              <w:rPr>
                <w:rFonts w:hint="eastAsia"/>
                <w:snapToGrid w:val="0"/>
                <w:kern w:val="0"/>
                <w:sz w:val="18"/>
                <w:szCs w:val="18"/>
              </w:rPr>
            </w:pPr>
          </w:p>
        </w:tc>
        <w:tc>
          <w:tcPr>
            <w:tcW w:w="1556" w:type="dxa"/>
            <w:vMerge w:val="continue"/>
            <w:noWrap w:val="0"/>
            <w:vAlign w:val="center"/>
          </w:tcPr>
          <w:p>
            <w:pPr>
              <w:snapToGrid w:val="0"/>
              <w:spacing w:line="360" w:lineRule="exact"/>
              <w:jc w:val="left"/>
              <w:rPr>
                <w:rFonts w:hint="eastAsia"/>
                <w:snapToGrid w:val="0"/>
                <w:kern w:val="0"/>
                <w:sz w:val="18"/>
                <w:szCs w:val="18"/>
              </w:rPr>
            </w:pPr>
          </w:p>
        </w:tc>
        <w:tc>
          <w:tcPr>
            <w:tcW w:w="974" w:type="dxa"/>
            <w:vMerge w:val="continue"/>
            <w:noWrap w:val="0"/>
            <w:vAlign w:val="center"/>
          </w:tcPr>
          <w:p>
            <w:pPr>
              <w:snapToGrid w:val="0"/>
              <w:spacing w:line="360" w:lineRule="exact"/>
              <w:jc w:val="center"/>
              <w:rPr>
                <w:rFonts w:hint="eastAsia"/>
                <w:snapToGrid w:val="0"/>
                <w:kern w:val="0"/>
                <w:sz w:val="18"/>
                <w:szCs w:val="18"/>
              </w:rPr>
            </w:pPr>
          </w:p>
        </w:tc>
        <w:tc>
          <w:tcPr>
            <w:tcW w:w="607" w:type="dxa"/>
            <w:vMerge w:val="continue"/>
            <w:noWrap w:val="0"/>
            <w:vAlign w:val="center"/>
          </w:tcPr>
          <w:p>
            <w:pPr>
              <w:snapToGrid w:val="0"/>
              <w:spacing w:line="360" w:lineRule="exact"/>
              <w:jc w:val="center"/>
              <w:rPr>
                <w:rFonts w:hint="eastAsia"/>
                <w:snapToGrid w:val="0"/>
                <w:kern w:val="0"/>
                <w:sz w:val="18"/>
                <w:szCs w:val="18"/>
              </w:rPr>
            </w:pPr>
          </w:p>
        </w:tc>
        <w:tc>
          <w:tcPr>
            <w:tcW w:w="769" w:type="dxa"/>
            <w:vMerge w:val="continue"/>
            <w:noWrap w:val="0"/>
            <w:vAlign w:val="center"/>
          </w:tcPr>
          <w:p>
            <w:pPr>
              <w:snapToGrid w:val="0"/>
              <w:spacing w:line="360" w:lineRule="exact"/>
              <w:jc w:val="center"/>
              <w:rPr>
                <w:rFonts w:hint="eastAsia"/>
                <w:snapToGrid w:val="0"/>
                <w:kern w:val="0"/>
                <w:sz w:val="18"/>
                <w:szCs w:val="18"/>
              </w:rPr>
            </w:pPr>
          </w:p>
        </w:tc>
        <w:tc>
          <w:tcPr>
            <w:tcW w:w="789" w:type="dxa"/>
            <w:vMerge w:val="continue"/>
            <w:noWrap w:val="0"/>
            <w:vAlign w:val="center"/>
          </w:tcPr>
          <w:p>
            <w:pPr>
              <w:snapToGrid w:val="0"/>
              <w:spacing w:line="360" w:lineRule="exact"/>
              <w:jc w:val="center"/>
              <w:rPr>
                <w:rFonts w:hint="eastAsia"/>
                <w:snapToGrid w:val="0"/>
                <w:kern w:val="0"/>
                <w:sz w:val="18"/>
                <w:szCs w:val="18"/>
              </w:rPr>
            </w:pPr>
          </w:p>
        </w:tc>
        <w:tc>
          <w:tcPr>
            <w:tcW w:w="789" w:type="dxa"/>
            <w:vMerge w:val="continue"/>
            <w:noWrap w:val="0"/>
            <w:vAlign w:val="center"/>
          </w:tcPr>
          <w:p>
            <w:pPr>
              <w:snapToGrid w:val="0"/>
              <w:spacing w:line="360" w:lineRule="exact"/>
              <w:jc w:val="center"/>
              <w:rPr>
                <w:rFonts w:hint="eastAsia"/>
                <w:snapToGrid w:val="0"/>
                <w:kern w:val="0"/>
                <w:sz w:val="18"/>
                <w:szCs w:val="18"/>
              </w:rPr>
            </w:pPr>
          </w:p>
        </w:tc>
        <w:tc>
          <w:tcPr>
            <w:tcW w:w="783" w:type="dxa"/>
            <w:vMerge w:val="continue"/>
            <w:noWrap w:val="0"/>
            <w:vAlign w:val="center"/>
          </w:tcPr>
          <w:p>
            <w:pPr>
              <w:snapToGrid w:val="0"/>
              <w:spacing w:line="360" w:lineRule="exact"/>
              <w:jc w:val="center"/>
              <w:rPr>
                <w:rFonts w:hint="eastAsia"/>
                <w:snapToGrid w:val="0"/>
                <w:kern w:val="0"/>
                <w:sz w:val="18"/>
                <w:szCs w:val="18"/>
              </w:rPr>
            </w:pPr>
          </w:p>
        </w:tc>
        <w:tc>
          <w:tcPr>
            <w:tcW w:w="708"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浓度</w:t>
            </w:r>
          </w:p>
          <w:p>
            <w:pPr>
              <w:snapToGrid w:val="0"/>
              <w:spacing w:line="360" w:lineRule="exact"/>
              <w:jc w:val="center"/>
              <w:rPr>
                <w:snapToGrid w:val="0"/>
                <w:kern w:val="0"/>
                <w:sz w:val="18"/>
                <w:szCs w:val="18"/>
              </w:rPr>
            </w:pPr>
            <w:r>
              <w:rPr>
                <w:snapToGrid w:val="0"/>
                <w:kern w:val="0"/>
                <w:sz w:val="18"/>
                <w:szCs w:val="18"/>
              </w:rPr>
              <w:t>g/Nm</w:t>
            </w:r>
            <w:r>
              <w:rPr>
                <w:snapToGrid w:val="0"/>
                <w:kern w:val="0"/>
                <w:sz w:val="18"/>
                <w:szCs w:val="18"/>
                <w:vertAlign w:val="superscript"/>
              </w:rPr>
              <w:t>3</w:t>
            </w:r>
          </w:p>
        </w:tc>
        <w:tc>
          <w:tcPr>
            <w:tcW w:w="2142" w:type="dxa"/>
            <w:gridSpan w:val="2"/>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产生量</w:t>
            </w:r>
          </w:p>
        </w:tc>
        <w:tc>
          <w:tcPr>
            <w:tcW w:w="1483" w:type="dxa"/>
            <w:vMerge w:val="restart"/>
            <w:noWrap w:val="0"/>
            <w:vAlign w:val="center"/>
          </w:tcPr>
          <w:p>
            <w:pPr>
              <w:snapToGrid w:val="0"/>
              <w:spacing w:line="360" w:lineRule="exact"/>
              <w:jc w:val="center"/>
              <w:rPr>
                <w:snapToGrid w:val="0"/>
                <w:kern w:val="0"/>
                <w:sz w:val="18"/>
                <w:szCs w:val="18"/>
              </w:rPr>
            </w:pPr>
            <w:r>
              <w:rPr>
                <w:rFonts w:hint="eastAsia"/>
                <w:snapToGrid w:val="0"/>
                <w:kern w:val="0"/>
                <w:sz w:val="18"/>
                <w:szCs w:val="18"/>
              </w:rPr>
              <w:t>名称及规格</w:t>
            </w:r>
          </w:p>
        </w:tc>
        <w:tc>
          <w:tcPr>
            <w:tcW w:w="786"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除尘效率</w:t>
            </w:r>
          </w:p>
        </w:tc>
        <w:tc>
          <w:tcPr>
            <w:tcW w:w="731" w:type="dxa"/>
            <w:vMerge w:val="restart"/>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浓度</w:t>
            </w:r>
          </w:p>
          <w:p>
            <w:pPr>
              <w:snapToGrid w:val="0"/>
              <w:spacing w:line="360" w:lineRule="exact"/>
              <w:jc w:val="center"/>
              <w:rPr>
                <w:snapToGrid w:val="0"/>
                <w:spacing w:val="-20"/>
                <w:kern w:val="0"/>
                <w:sz w:val="18"/>
                <w:szCs w:val="18"/>
              </w:rPr>
            </w:pPr>
            <w:r>
              <w:rPr>
                <w:snapToGrid w:val="0"/>
                <w:spacing w:val="-20"/>
                <w:kern w:val="0"/>
                <w:sz w:val="18"/>
                <w:szCs w:val="18"/>
              </w:rPr>
              <w:t>mg/Nm</w:t>
            </w:r>
            <w:r>
              <w:rPr>
                <w:snapToGrid w:val="0"/>
                <w:spacing w:val="-20"/>
                <w:kern w:val="0"/>
                <w:sz w:val="18"/>
                <w:szCs w:val="18"/>
                <w:vertAlign w:val="superscript"/>
              </w:rPr>
              <w:t>3</w:t>
            </w:r>
          </w:p>
        </w:tc>
        <w:tc>
          <w:tcPr>
            <w:tcW w:w="1749" w:type="dxa"/>
            <w:gridSpan w:val="2"/>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blHeader/>
          <w:jc w:val="center"/>
        </w:trPr>
        <w:tc>
          <w:tcPr>
            <w:tcW w:w="588" w:type="dxa"/>
            <w:vMerge w:val="continue"/>
            <w:noWrap w:val="0"/>
            <w:vAlign w:val="center"/>
          </w:tcPr>
          <w:p>
            <w:pPr>
              <w:snapToGrid w:val="0"/>
              <w:spacing w:line="360" w:lineRule="exact"/>
              <w:jc w:val="left"/>
              <w:rPr>
                <w:rFonts w:hint="eastAsia"/>
                <w:snapToGrid w:val="0"/>
                <w:kern w:val="0"/>
                <w:sz w:val="18"/>
                <w:szCs w:val="18"/>
              </w:rPr>
            </w:pPr>
          </w:p>
        </w:tc>
        <w:tc>
          <w:tcPr>
            <w:tcW w:w="1556" w:type="dxa"/>
            <w:vMerge w:val="continue"/>
            <w:noWrap w:val="0"/>
            <w:vAlign w:val="center"/>
          </w:tcPr>
          <w:p>
            <w:pPr>
              <w:snapToGrid w:val="0"/>
              <w:spacing w:line="360" w:lineRule="exact"/>
              <w:jc w:val="left"/>
              <w:rPr>
                <w:rFonts w:hint="eastAsia"/>
                <w:snapToGrid w:val="0"/>
                <w:kern w:val="0"/>
                <w:sz w:val="18"/>
                <w:szCs w:val="18"/>
              </w:rPr>
            </w:pPr>
          </w:p>
        </w:tc>
        <w:tc>
          <w:tcPr>
            <w:tcW w:w="974" w:type="dxa"/>
            <w:vMerge w:val="continue"/>
            <w:noWrap w:val="0"/>
            <w:vAlign w:val="center"/>
          </w:tcPr>
          <w:p>
            <w:pPr>
              <w:snapToGrid w:val="0"/>
              <w:spacing w:line="360" w:lineRule="exact"/>
              <w:jc w:val="center"/>
              <w:rPr>
                <w:snapToGrid w:val="0"/>
                <w:kern w:val="0"/>
                <w:sz w:val="18"/>
                <w:szCs w:val="18"/>
              </w:rPr>
            </w:pPr>
          </w:p>
        </w:tc>
        <w:tc>
          <w:tcPr>
            <w:tcW w:w="607" w:type="dxa"/>
            <w:vMerge w:val="continue"/>
            <w:noWrap w:val="0"/>
            <w:vAlign w:val="center"/>
          </w:tcPr>
          <w:p>
            <w:pPr>
              <w:snapToGrid w:val="0"/>
              <w:spacing w:line="360" w:lineRule="exact"/>
              <w:jc w:val="center"/>
              <w:rPr>
                <w:rFonts w:hint="eastAsia"/>
                <w:snapToGrid w:val="0"/>
                <w:kern w:val="0"/>
                <w:sz w:val="18"/>
                <w:szCs w:val="18"/>
              </w:rPr>
            </w:pPr>
          </w:p>
        </w:tc>
        <w:tc>
          <w:tcPr>
            <w:tcW w:w="769" w:type="dxa"/>
            <w:vMerge w:val="continue"/>
            <w:noWrap w:val="0"/>
            <w:vAlign w:val="center"/>
          </w:tcPr>
          <w:p>
            <w:pPr>
              <w:snapToGrid w:val="0"/>
              <w:spacing w:line="360" w:lineRule="exact"/>
              <w:jc w:val="center"/>
              <w:rPr>
                <w:rFonts w:hint="eastAsia"/>
                <w:snapToGrid w:val="0"/>
                <w:kern w:val="0"/>
                <w:sz w:val="18"/>
                <w:szCs w:val="18"/>
              </w:rPr>
            </w:pPr>
          </w:p>
        </w:tc>
        <w:tc>
          <w:tcPr>
            <w:tcW w:w="789" w:type="dxa"/>
            <w:vMerge w:val="continue"/>
            <w:noWrap w:val="0"/>
            <w:vAlign w:val="center"/>
          </w:tcPr>
          <w:p>
            <w:pPr>
              <w:snapToGrid w:val="0"/>
              <w:spacing w:line="360" w:lineRule="exact"/>
              <w:jc w:val="center"/>
              <w:rPr>
                <w:rFonts w:hint="eastAsia"/>
                <w:snapToGrid w:val="0"/>
                <w:kern w:val="0"/>
                <w:sz w:val="18"/>
                <w:szCs w:val="18"/>
              </w:rPr>
            </w:pPr>
          </w:p>
        </w:tc>
        <w:tc>
          <w:tcPr>
            <w:tcW w:w="789" w:type="dxa"/>
            <w:vMerge w:val="continue"/>
            <w:noWrap w:val="0"/>
            <w:vAlign w:val="center"/>
          </w:tcPr>
          <w:p>
            <w:pPr>
              <w:snapToGrid w:val="0"/>
              <w:spacing w:line="360" w:lineRule="exact"/>
              <w:jc w:val="center"/>
              <w:rPr>
                <w:rFonts w:hint="eastAsia"/>
                <w:snapToGrid w:val="0"/>
                <w:kern w:val="0"/>
                <w:sz w:val="18"/>
                <w:szCs w:val="18"/>
              </w:rPr>
            </w:pPr>
          </w:p>
        </w:tc>
        <w:tc>
          <w:tcPr>
            <w:tcW w:w="783" w:type="dxa"/>
            <w:vMerge w:val="continue"/>
            <w:noWrap w:val="0"/>
            <w:vAlign w:val="center"/>
          </w:tcPr>
          <w:p>
            <w:pPr>
              <w:snapToGrid w:val="0"/>
              <w:spacing w:line="360" w:lineRule="exact"/>
              <w:jc w:val="center"/>
              <w:rPr>
                <w:rFonts w:hint="eastAsia"/>
                <w:snapToGrid w:val="0"/>
                <w:kern w:val="0"/>
                <w:sz w:val="18"/>
                <w:szCs w:val="18"/>
              </w:rPr>
            </w:pPr>
          </w:p>
        </w:tc>
        <w:tc>
          <w:tcPr>
            <w:tcW w:w="708" w:type="dxa"/>
            <w:vMerge w:val="continue"/>
            <w:noWrap w:val="0"/>
            <w:vAlign w:val="center"/>
          </w:tcPr>
          <w:p>
            <w:pPr>
              <w:snapToGrid w:val="0"/>
              <w:spacing w:line="360" w:lineRule="exact"/>
              <w:jc w:val="center"/>
              <w:rPr>
                <w:rFonts w:hint="eastAsia"/>
                <w:snapToGrid w:val="0"/>
                <w:kern w:val="0"/>
                <w:sz w:val="18"/>
                <w:szCs w:val="18"/>
              </w:rPr>
            </w:pPr>
          </w:p>
        </w:tc>
        <w:tc>
          <w:tcPr>
            <w:tcW w:w="1020"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Kg/h</w:t>
            </w:r>
          </w:p>
        </w:tc>
        <w:tc>
          <w:tcPr>
            <w:tcW w:w="1122" w:type="dxa"/>
            <w:noWrap w:val="0"/>
            <w:vAlign w:val="center"/>
          </w:tcPr>
          <w:p>
            <w:pPr>
              <w:snapToGrid w:val="0"/>
              <w:spacing w:line="360" w:lineRule="exact"/>
              <w:jc w:val="center"/>
              <w:rPr>
                <w:rFonts w:hint="eastAsia"/>
                <w:snapToGrid w:val="0"/>
                <w:kern w:val="0"/>
                <w:sz w:val="18"/>
                <w:szCs w:val="18"/>
              </w:rPr>
            </w:pPr>
            <w:r>
              <w:rPr>
                <w:snapToGrid w:val="0"/>
                <w:kern w:val="0"/>
                <w:sz w:val="18"/>
                <w:szCs w:val="18"/>
              </w:rPr>
              <w:t>t/a</w:t>
            </w:r>
          </w:p>
        </w:tc>
        <w:tc>
          <w:tcPr>
            <w:tcW w:w="1483" w:type="dxa"/>
            <w:vMerge w:val="continue"/>
            <w:noWrap w:val="0"/>
            <w:vAlign w:val="center"/>
          </w:tcPr>
          <w:p>
            <w:pPr>
              <w:snapToGrid w:val="0"/>
              <w:spacing w:line="360" w:lineRule="exact"/>
              <w:jc w:val="center"/>
              <w:rPr>
                <w:rFonts w:hint="eastAsia"/>
                <w:snapToGrid w:val="0"/>
                <w:kern w:val="0"/>
                <w:sz w:val="18"/>
                <w:szCs w:val="18"/>
              </w:rPr>
            </w:pPr>
          </w:p>
        </w:tc>
        <w:tc>
          <w:tcPr>
            <w:tcW w:w="786" w:type="dxa"/>
            <w:vMerge w:val="continue"/>
            <w:noWrap w:val="0"/>
            <w:vAlign w:val="center"/>
          </w:tcPr>
          <w:p>
            <w:pPr>
              <w:snapToGrid w:val="0"/>
              <w:spacing w:line="360" w:lineRule="exact"/>
              <w:jc w:val="center"/>
              <w:rPr>
                <w:rFonts w:hint="eastAsia"/>
                <w:snapToGrid w:val="0"/>
                <w:kern w:val="0"/>
                <w:sz w:val="18"/>
                <w:szCs w:val="18"/>
              </w:rPr>
            </w:pPr>
          </w:p>
        </w:tc>
        <w:tc>
          <w:tcPr>
            <w:tcW w:w="731" w:type="dxa"/>
            <w:vMerge w:val="continue"/>
            <w:noWrap w:val="0"/>
            <w:vAlign w:val="center"/>
          </w:tcPr>
          <w:p>
            <w:pPr>
              <w:snapToGrid w:val="0"/>
              <w:spacing w:line="360" w:lineRule="exact"/>
              <w:jc w:val="center"/>
              <w:rPr>
                <w:rFonts w:hint="eastAsia"/>
                <w:snapToGrid w:val="0"/>
                <w:kern w:val="0"/>
                <w:sz w:val="18"/>
                <w:szCs w:val="18"/>
              </w:rPr>
            </w:pPr>
          </w:p>
        </w:tc>
        <w:tc>
          <w:tcPr>
            <w:tcW w:w="92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Kg/h</w:t>
            </w:r>
          </w:p>
        </w:tc>
        <w:tc>
          <w:tcPr>
            <w:tcW w:w="821" w:type="dxa"/>
            <w:noWrap w:val="0"/>
            <w:vAlign w:val="center"/>
          </w:tcPr>
          <w:p>
            <w:pPr>
              <w:snapToGrid w:val="0"/>
              <w:spacing w:line="360" w:lineRule="exact"/>
              <w:jc w:val="center"/>
              <w:rPr>
                <w:rFonts w:hint="eastAsia"/>
                <w:snapToGrid w:val="0"/>
                <w:kern w:val="0"/>
                <w:sz w:val="18"/>
                <w:szCs w:val="18"/>
              </w:rPr>
            </w:pPr>
            <w:r>
              <w:rPr>
                <w:snapToGrid w:val="0"/>
                <w:kern w:val="0"/>
                <w:sz w:val="18"/>
                <w:szCs w:val="18"/>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noWrap w:val="0"/>
            <w:vAlign w:val="center"/>
          </w:tcPr>
          <w:p>
            <w:pPr>
              <w:jc w:val="center"/>
              <w:rPr>
                <w:rFonts w:hint="eastAsia"/>
                <w:sz w:val="18"/>
                <w:szCs w:val="18"/>
              </w:rPr>
            </w:pPr>
            <w:bookmarkStart w:id="171" w:name="_Hlk272916241"/>
            <w:bookmarkStart w:id="172" w:name="OLE_LINK6" w:colFirst="2" w:colLast="2"/>
            <w:bookmarkStart w:id="173" w:name="OLE_LINK5" w:colFirst="2" w:colLast="2"/>
            <w:r>
              <w:rPr>
                <w:rFonts w:hint="eastAsia"/>
                <w:sz w:val="18"/>
                <w:szCs w:val="18"/>
              </w:rPr>
              <w:t>1</w:t>
            </w:r>
          </w:p>
        </w:tc>
        <w:tc>
          <w:tcPr>
            <w:tcW w:w="1556" w:type="dxa"/>
            <w:noWrap w:val="0"/>
            <w:vAlign w:val="center"/>
          </w:tcPr>
          <w:p>
            <w:pPr>
              <w:jc w:val="center"/>
              <w:rPr>
                <w:rFonts w:ascii="宋体" w:hAnsi="宋体" w:cs="宋体"/>
                <w:sz w:val="18"/>
                <w:szCs w:val="18"/>
              </w:rPr>
            </w:pPr>
            <w:r>
              <w:rPr>
                <w:rFonts w:hint="eastAsia"/>
                <w:sz w:val="18"/>
                <w:szCs w:val="18"/>
              </w:rPr>
              <w:t>石灰石破碎</w:t>
            </w:r>
          </w:p>
        </w:tc>
        <w:tc>
          <w:tcPr>
            <w:tcW w:w="974" w:type="dxa"/>
            <w:noWrap w:val="0"/>
            <w:vAlign w:val="center"/>
          </w:tcPr>
          <w:p>
            <w:pPr>
              <w:snapToGrid w:val="0"/>
              <w:spacing w:line="360" w:lineRule="exact"/>
              <w:jc w:val="center"/>
              <w:rPr>
                <w:snapToGrid w:val="0"/>
                <w:kern w:val="0"/>
                <w:sz w:val="18"/>
                <w:szCs w:val="18"/>
              </w:rPr>
            </w:pPr>
            <w:r>
              <w:rPr>
                <w:rFonts w:hint="eastAsia"/>
                <w:snapToGrid w:val="0"/>
                <w:kern w:val="0"/>
                <w:sz w:val="18"/>
                <w:szCs w:val="18"/>
              </w:rPr>
              <w:t>21000</w:t>
            </w:r>
          </w:p>
        </w:tc>
        <w:tc>
          <w:tcPr>
            <w:tcW w:w="607"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2188</w:t>
            </w:r>
          </w:p>
        </w:tc>
        <w:tc>
          <w:tcPr>
            <w:tcW w:w="789" w:type="dxa"/>
            <w:noWrap w:val="0"/>
            <w:vAlign w:val="center"/>
          </w:tcPr>
          <w:p>
            <w:pPr>
              <w:jc w:val="center"/>
              <w:rPr>
                <w:rFonts w:ascii="宋体" w:hAnsi="宋体" w:cs="宋体"/>
                <w:sz w:val="18"/>
                <w:szCs w:val="18"/>
              </w:rPr>
            </w:pPr>
            <w:r>
              <w:rPr>
                <w:rFonts w:hint="eastAsia"/>
                <w:sz w:val="18"/>
                <w:szCs w:val="18"/>
              </w:rPr>
              <w:t>35</w:t>
            </w:r>
          </w:p>
        </w:tc>
        <w:tc>
          <w:tcPr>
            <w:tcW w:w="78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0.85</w:t>
            </w:r>
          </w:p>
        </w:tc>
        <w:tc>
          <w:tcPr>
            <w:tcW w:w="783"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420</w:t>
            </w:r>
          </w:p>
        </w:tc>
        <w:tc>
          <w:tcPr>
            <w:tcW w:w="1122"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918.96</w:t>
            </w:r>
          </w:p>
        </w:tc>
        <w:tc>
          <w:tcPr>
            <w:tcW w:w="1483" w:type="dxa"/>
            <w:noWrap w:val="0"/>
            <w:vAlign w:val="center"/>
          </w:tcPr>
          <w:p>
            <w:pPr>
              <w:jc w:val="center"/>
              <w:rPr>
                <w:rFonts w:ascii="宋体" w:hAnsi="宋体" w:cs="宋体"/>
                <w:sz w:val="18"/>
                <w:szCs w:val="18"/>
              </w:rPr>
            </w:pPr>
            <w:r>
              <w:rPr>
                <w:rFonts w:hint="eastAsia"/>
                <w:sz w:val="18"/>
                <w:szCs w:val="18"/>
              </w:rPr>
              <w:t>脉冲袋式除尘器</w:t>
            </w:r>
          </w:p>
        </w:tc>
        <w:tc>
          <w:tcPr>
            <w:tcW w:w="786" w:type="dxa"/>
            <w:noWrap w:val="0"/>
            <w:vAlign w:val="center"/>
          </w:tcPr>
          <w:p>
            <w:pPr>
              <w:jc w:val="center"/>
              <w:rPr>
                <w:rFonts w:hint="eastAsia" w:ascii="宋体" w:hAnsi="宋体" w:cs="宋体"/>
                <w:sz w:val="18"/>
                <w:szCs w:val="18"/>
              </w:rPr>
            </w:pPr>
            <w:r>
              <w:rPr>
                <w:rFonts w:hint="eastAsia" w:ascii="宋体" w:hAnsi="宋体" w:cs="宋体"/>
                <w:sz w:val="18"/>
                <w:szCs w:val="18"/>
              </w:rPr>
              <w:t>99.85</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0.63</w:t>
            </w:r>
          </w:p>
        </w:tc>
        <w:tc>
          <w:tcPr>
            <w:tcW w:w="821"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0.86</w:t>
            </w:r>
          </w:p>
        </w:tc>
      </w:tr>
      <w:bookmarkEnd w:id="171"/>
      <w:bookmarkEnd w:id="172"/>
      <w:bookmarkEnd w:id="1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noWrap w:val="0"/>
            <w:vAlign w:val="center"/>
          </w:tcPr>
          <w:p>
            <w:pPr>
              <w:jc w:val="center"/>
              <w:rPr>
                <w:rFonts w:hint="eastAsia"/>
                <w:sz w:val="18"/>
                <w:szCs w:val="18"/>
              </w:rPr>
            </w:pPr>
            <w:r>
              <w:rPr>
                <w:rFonts w:hint="eastAsia"/>
                <w:sz w:val="18"/>
                <w:szCs w:val="18"/>
              </w:rPr>
              <w:t>2</w:t>
            </w:r>
          </w:p>
        </w:tc>
        <w:tc>
          <w:tcPr>
            <w:tcW w:w="1556" w:type="dxa"/>
            <w:noWrap w:val="0"/>
            <w:vAlign w:val="center"/>
          </w:tcPr>
          <w:p>
            <w:pPr>
              <w:jc w:val="center"/>
              <w:rPr>
                <w:rFonts w:ascii="宋体" w:hAnsi="宋体" w:cs="宋体"/>
                <w:sz w:val="18"/>
                <w:szCs w:val="18"/>
              </w:rPr>
            </w:pPr>
            <w:r>
              <w:rPr>
                <w:rFonts w:hint="eastAsia"/>
                <w:sz w:val="18"/>
                <w:szCs w:val="18"/>
              </w:rPr>
              <w:t>石灰石均化</w:t>
            </w:r>
          </w:p>
        </w:tc>
        <w:tc>
          <w:tcPr>
            <w:tcW w:w="974"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8580</w:t>
            </w:r>
            <w:r>
              <w:rPr>
                <w:rFonts w:hint="eastAsia" w:ascii="宋体" w:hAnsi="宋体"/>
                <w:snapToGrid w:val="0"/>
                <w:kern w:val="0"/>
                <w:sz w:val="18"/>
                <w:szCs w:val="18"/>
              </w:rPr>
              <w:t>×</w:t>
            </w:r>
            <w:r>
              <w:rPr>
                <w:rFonts w:hint="eastAsia"/>
                <w:snapToGrid w:val="0"/>
                <w:kern w:val="0"/>
                <w:sz w:val="18"/>
                <w:szCs w:val="18"/>
              </w:rPr>
              <w:t>3</w:t>
            </w:r>
          </w:p>
        </w:tc>
        <w:tc>
          <w:tcPr>
            <w:tcW w:w="607"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3047</w:t>
            </w:r>
          </w:p>
        </w:tc>
        <w:tc>
          <w:tcPr>
            <w:tcW w:w="789" w:type="dxa"/>
            <w:noWrap w:val="0"/>
            <w:vAlign w:val="center"/>
          </w:tcPr>
          <w:p>
            <w:pPr>
              <w:jc w:val="center"/>
              <w:rPr>
                <w:rFonts w:ascii="宋体" w:hAnsi="宋体" w:cs="宋体"/>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0.5</w:t>
            </w:r>
          </w:p>
        </w:tc>
        <w:tc>
          <w:tcPr>
            <w:tcW w:w="783"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522.86</w:t>
            </w:r>
            <w:r>
              <w:rPr>
                <w:rFonts w:hint="eastAsia" w:ascii="宋体" w:hAnsi="宋体"/>
                <w:snapToGrid w:val="0"/>
                <w:kern w:val="0"/>
                <w:sz w:val="18"/>
                <w:szCs w:val="18"/>
              </w:rPr>
              <w:t>×</w:t>
            </w:r>
            <w:r>
              <w:rPr>
                <w:rFonts w:hint="eastAsia"/>
                <w:snapToGrid w:val="0"/>
                <w:kern w:val="0"/>
                <w:sz w:val="18"/>
                <w:szCs w:val="18"/>
              </w:rPr>
              <w:t>3</w:t>
            </w:r>
          </w:p>
        </w:tc>
        <w:tc>
          <w:tcPr>
            <w:tcW w:w="1483" w:type="dxa"/>
            <w:noWrap w:val="0"/>
            <w:vAlign w:val="center"/>
          </w:tcPr>
          <w:p>
            <w:pPr>
              <w:jc w:val="center"/>
              <w:rPr>
                <w:rFonts w:ascii="宋体" w:hAnsi="宋体" w:cs="宋体"/>
                <w:sz w:val="18"/>
                <w:szCs w:val="18"/>
              </w:rPr>
            </w:pPr>
            <w:r>
              <w:rPr>
                <w:rFonts w:hint="eastAsia"/>
                <w:sz w:val="18"/>
                <w:szCs w:val="18"/>
              </w:rPr>
              <w:t>脉冲袋式除尘器</w:t>
            </w:r>
          </w:p>
        </w:tc>
        <w:tc>
          <w:tcPr>
            <w:tcW w:w="786" w:type="dxa"/>
            <w:noWrap w:val="0"/>
            <w:vAlign w:val="center"/>
          </w:tcPr>
          <w:p>
            <w:pPr>
              <w:jc w:val="center"/>
              <w:rPr>
                <w:rFonts w:hint="eastAsia" w:ascii="宋体" w:hAnsi="宋体" w:cs="宋体"/>
                <w:sz w:val="18"/>
                <w:szCs w:val="18"/>
              </w:rPr>
            </w:pPr>
            <w:r>
              <w:rPr>
                <w:rFonts w:hint="eastAsia" w:ascii="宋体" w:hAnsi="宋体" w:cs="宋体"/>
                <w:sz w:val="18"/>
                <w:szCs w:val="18"/>
              </w:rPr>
              <w:t>99.85</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0.26</w:t>
            </w:r>
            <w:r>
              <w:rPr>
                <w:rFonts w:hint="eastAsia" w:ascii="宋体" w:hAnsi="宋体"/>
                <w:snapToGrid w:val="0"/>
                <w:kern w:val="0"/>
                <w:sz w:val="18"/>
                <w:szCs w:val="18"/>
              </w:rPr>
              <w:t>×</w:t>
            </w:r>
            <w:r>
              <w:rPr>
                <w:rFonts w:hint="eastAsia"/>
                <w:snapToGrid w:val="0"/>
                <w:kern w:val="0"/>
                <w:sz w:val="18"/>
                <w:szCs w:val="18"/>
              </w:rPr>
              <w:t>3</w:t>
            </w:r>
          </w:p>
        </w:tc>
        <w:tc>
          <w:tcPr>
            <w:tcW w:w="821"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0.79</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3</w:t>
            </w:r>
          </w:p>
        </w:tc>
        <w:tc>
          <w:tcPr>
            <w:tcW w:w="1556" w:type="dxa"/>
            <w:shd w:val="clear" w:color="auto" w:fill="auto"/>
            <w:noWrap w:val="0"/>
            <w:vAlign w:val="center"/>
          </w:tcPr>
          <w:p>
            <w:pPr>
              <w:jc w:val="center"/>
              <w:rPr>
                <w:rFonts w:ascii="宋体" w:hAnsi="宋体" w:cs="宋体"/>
                <w:sz w:val="18"/>
                <w:szCs w:val="18"/>
              </w:rPr>
            </w:pPr>
            <w:r>
              <w:rPr>
                <w:rFonts w:hint="eastAsia"/>
                <w:sz w:val="18"/>
                <w:szCs w:val="18"/>
              </w:rPr>
              <w:t>原煤均化及输送</w:t>
            </w:r>
          </w:p>
        </w:tc>
        <w:tc>
          <w:tcPr>
            <w:tcW w:w="974"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8580</w:t>
            </w:r>
            <w:r>
              <w:rPr>
                <w:rFonts w:hint="eastAsia" w:ascii="宋体" w:hAnsi="宋体"/>
                <w:snapToGrid w:val="0"/>
                <w:kern w:val="0"/>
                <w:sz w:val="18"/>
                <w:szCs w:val="18"/>
              </w:rPr>
              <w:t>×</w:t>
            </w:r>
            <w:r>
              <w:rPr>
                <w:rFonts w:hint="eastAsia"/>
                <w:snapToGrid w:val="0"/>
                <w:kern w:val="0"/>
                <w:sz w:val="18"/>
                <w:szCs w:val="18"/>
              </w:rPr>
              <w:t>3</w:t>
            </w:r>
          </w:p>
        </w:tc>
        <w:tc>
          <w:tcPr>
            <w:tcW w:w="607"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粉尘</w:t>
            </w:r>
          </w:p>
        </w:tc>
        <w:tc>
          <w:tcPr>
            <w:tcW w:w="76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1623</w:t>
            </w:r>
          </w:p>
        </w:tc>
        <w:tc>
          <w:tcPr>
            <w:tcW w:w="789" w:type="dxa"/>
            <w:noWrap w:val="0"/>
            <w:vAlign w:val="center"/>
          </w:tcPr>
          <w:p>
            <w:pPr>
              <w:jc w:val="center"/>
              <w:rPr>
                <w:rFonts w:ascii="宋体" w:hAnsi="宋体" w:cs="宋体"/>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0.5</w:t>
            </w:r>
          </w:p>
        </w:tc>
        <w:tc>
          <w:tcPr>
            <w:tcW w:w="783"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70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20</w:t>
            </w:r>
          </w:p>
        </w:tc>
        <w:tc>
          <w:tcPr>
            <w:tcW w:w="1020"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278.51</w:t>
            </w:r>
            <w:r>
              <w:rPr>
                <w:rFonts w:hint="eastAsia" w:ascii="宋体" w:hAnsi="宋体"/>
                <w:snapToGrid w:val="0"/>
                <w:kern w:val="0"/>
                <w:sz w:val="18"/>
                <w:szCs w:val="18"/>
              </w:rPr>
              <w:t>×</w:t>
            </w:r>
            <w:r>
              <w:rPr>
                <w:rFonts w:hint="eastAsia"/>
                <w:snapToGrid w:val="0"/>
                <w:kern w:val="0"/>
                <w:sz w:val="18"/>
                <w:szCs w:val="18"/>
              </w:rPr>
              <w:t>3</w:t>
            </w:r>
          </w:p>
        </w:tc>
        <w:tc>
          <w:tcPr>
            <w:tcW w:w="1483" w:type="dxa"/>
            <w:noWrap w:val="0"/>
            <w:vAlign w:val="center"/>
          </w:tcPr>
          <w:p>
            <w:pPr>
              <w:jc w:val="center"/>
              <w:rPr>
                <w:rFonts w:ascii="宋体" w:hAnsi="宋体" w:cs="宋体"/>
                <w:sz w:val="18"/>
                <w:szCs w:val="18"/>
              </w:rPr>
            </w:pPr>
            <w:r>
              <w:rPr>
                <w:rFonts w:hint="eastAsia"/>
                <w:sz w:val="18"/>
                <w:szCs w:val="18"/>
              </w:rPr>
              <w:t>单机布袋除尘器</w:t>
            </w:r>
          </w:p>
        </w:tc>
        <w:tc>
          <w:tcPr>
            <w:tcW w:w="786" w:type="dxa"/>
            <w:noWrap w:val="0"/>
            <w:vAlign w:val="center"/>
          </w:tcPr>
          <w:p>
            <w:pPr>
              <w:jc w:val="center"/>
              <w:rPr>
                <w:rFonts w:ascii="宋体" w:hAnsi="宋体" w:cs="宋体"/>
                <w:sz w:val="18"/>
                <w:szCs w:val="18"/>
              </w:rPr>
            </w:pPr>
            <w:r>
              <w:rPr>
                <w:rFonts w:hint="eastAsia" w:ascii="宋体" w:hAnsi="宋体" w:cs="宋体"/>
                <w:sz w:val="18"/>
                <w:szCs w:val="18"/>
              </w:rPr>
              <w:t>99.85</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0.26</w:t>
            </w:r>
            <w:r>
              <w:rPr>
                <w:rFonts w:hint="eastAsia" w:ascii="宋体" w:hAnsi="宋体"/>
                <w:snapToGrid w:val="0"/>
                <w:kern w:val="0"/>
                <w:sz w:val="18"/>
                <w:szCs w:val="18"/>
              </w:rPr>
              <w:t>×</w:t>
            </w:r>
            <w:r>
              <w:rPr>
                <w:rFonts w:hint="eastAsia"/>
                <w:snapToGrid w:val="0"/>
                <w:kern w:val="0"/>
                <w:sz w:val="18"/>
                <w:szCs w:val="18"/>
              </w:rPr>
              <w:t>3</w:t>
            </w:r>
          </w:p>
        </w:tc>
        <w:tc>
          <w:tcPr>
            <w:tcW w:w="821"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0.42</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4</w:t>
            </w:r>
          </w:p>
        </w:tc>
        <w:tc>
          <w:tcPr>
            <w:tcW w:w="1556" w:type="dxa"/>
            <w:shd w:val="clear" w:color="auto" w:fill="auto"/>
            <w:noWrap w:val="0"/>
            <w:vAlign w:val="center"/>
          </w:tcPr>
          <w:p>
            <w:pPr>
              <w:jc w:val="center"/>
              <w:rPr>
                <w:sz w:val="18"/>
                <w:szCs w:val="18"/>
              </w:rPr>
            </w:pPr>
            <w:r>
              <w:rPr>
                <w:rFonts w:hint="eastAsia"/>
                <w:sz w:val="18"/>
                <w:szCs w:val="18"/>
              </w:rPr>
              <w:t>辅料均化及输送</w:t>
            </w:r>
          </w:p>
        </w:tc>
        <w:tc>
          <w:tcPr>
            <w:tcW w:w="974" w:type="dxa"/>
            <w:noWrap w:val="0"/>
            <w:vAlign w:val="center"/>
          </w:tcPr>
          <w:p>
            <w:pPr>
              <w:snapToGrid w:val="0"/>
              <w:spacing w:line="360" w:lineRule="exact"/>
              <w:jc w:val="center"/>
              <w:rPr>
                <w:rFonts w:hint="eastAsia"/>
                <w:sz w:val="18"/>
                <w:szCs w:val="18"/>
              </w:rPr>
            </w:pPr>
            <w:r>
              <w:rPr>
                <w:rFonts w:hint="eastAsia"/>
                <w:sz w:val="18"/>
                <w:szCs w:val="18"/>
              </w:rPr>
              <w:t>8580×3</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snapToGrid w:val="0"/>
              <w:spacing w:line="360" w:lineRule="exact"/>
              <w:jc w:val="center"/>
              <w:rPr>
                <w:rFonts w:hint="eastAsia"/>
                <w:sz w:val="18"/>
                <w:szCs w:val="18"/>
              </w:rPr>
            </w:pPr>
            <w:r>
              <w:rPr>
                <w:rFonts w:hint="eastAsia"/>
                <w:sz w:val="18"/>
                <w:szCs w:val="18"/>
              </w:rPr>
              <w:t>1649</w:t>
            </w:r>
          </w:p>
        </w:tc>
        <w:tc>
          <w:tcPr>
            <w:tcW w:w="789" w:type="dxa"/>
            <w:noWrap w:val="0"/>
            <w:vAlign w:val="center"/>
          </w:tcPr>
          <w:p>
            <w:pPr>
              <w:jc w:val="center"/>
              <w:rPr>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20</w:t>
            </w:r>
          </w:p>
        </w:tc>
        <w:tc>
          <w:tcPr>
            <w:tcW w:w="1020" w:type="dxa"/>
            <w:noWrap w:val="0"/>
            <w:vAlign w:val="center"/>
          </w:tcPr>
          <w:p>
            <w:pPr>
              <w:snapToGrid w:val="0"/>
              <w:spacing w:line="360" w:lineRule="exact"/>
              <w:jc w:val="center"/>
              <w:rPr>
                <w:rFonts w:hint="eastAsia"/>
                <w:sz w:val="18"/>
                <w:szCs w:val="18"/>
              </w:rPr>
            </w:pPr>
            <w:r>
              <w:rPr>
                <w:rFonts w:hint="eastAsia"/>
                <w:snapToGrid w:val="0"/>
                <w:kern w:val="0"/>
                <w:sz w:val="18"/>
                <w:szCs w:val="18"/>
              </w:rPr>
              <w:t>171.6</w:t>
            </w:r>
            <w:r>
              <w:rPr>
                <w:rFonts w:hint="eastAsia" w:ascii="宋体" w:hAnsi="宋体"/>
                <w:snapToGrid w:val="0"/>
                <w:kern w:val="0"/>
                <w:sz w:val="18"/>
                <w:szCs w:val="18"/>
              </w:rPr>
              <w:t>×</w:t>
            </w:r>
            <w:r>
              <w:rPr>
                <w:rFonts w:hint="eastAsia"/>
                <w:snapToGrid w:val="0"/>
                <w:kern w:val="0"/>
                <w:sz w:val="18"/>
                <w:szCs w:val="18"/>
              </w:rPr>
              <w:t>3</w:t>
            </w:r>
          </w:p>
        </w:tc>
        <w:tc>
          <w:tcPr>
            <w:tcW w:w="1122" w:type="dxa"/>
            <w:noWrap w:val="0"/>
            <w:vAlign w:val="center"/>
          </w:tcPr>
          <w:p>
            <w:pPr>
              <w:snapToGrid w:val="0"/>
              <w:spacing w:line="360" w:lineRule="exact"/>
              <w:jc w:val="center"/>
              <w:rPr>
                <w:rFonts w:hint="eastAsia"/>
                <w:sz w:val="18"/>
                <w:szCs w:val="18"/>
              </w:rPr>
            </w:pPr>
            <w:r>
              <w:rPr>
                <w:rFonts w:hint="eastAsia"/>
                <w:sz w:val="18"/>
                <w:szCs w:val="18"/>
              </w:rPr>
              <w:t>282.97</w:t>
            </w:r>
            <w:r>
              <w:rPr>
                <w:rFonts w:hint="eastAsia" w:ascii="宋体" w:hAnsi="宋体"/>
                <w:snapToGrid w:val="0"/>
                <w:kern w:val="0"/>
                <w:sz w:val="18"/>
                <w:szCs w:val="18"/>
              </w:rPr>
              <w:t>×</w:t>
            </w:r>
            <w:r>
              <w:rPr>
                <w:rFonts w:hint="eastAsia"/>
                <w:snapToGrid w:val="0"/>
                <w:kern w:val="0"/>
                <w:sz w:val="18"/>
                <w:szCs w:val="18"/>
              </w:rPr>
              <w:t>3</w:t>
            </w:r>
          </w:p>
        </w:tc>
        <w:tc>
          <w:tcPr>
            <w:tcW w:w="1483" w:type="dxa"/>
            <w:noWrap w:val="0"/>
            <w:vAlign w:val="center"/>
          </w:tcPr>
          <w:p>
            <w:pPr>
              <w:jc w:val="center"/>
              <w:rPr>
                <w:rFonts w:ascii="宋体" w:hAnsi="宋体" w:cs="宋体"/>
                <w:sz w:val="18"/>
                <w:szCs w:val="18"/>
              </w:rPr>
            </w:pPr>
            <w:r>
              <w:rPr>
                <w:rFonts w:hint="eastAsia"/>
                <w:sz w:val="18"/>
                <w:szCs w:val="18"/>
              </w:rPr>
              <w:t>单机布袋除尘器</w:t>
            </w:r>
          </w:p>
        </w:tc>
        <w:tc>
          <w:tcPr>
            <w:tcW w:w="786" w:type="dxa"/>
            <w:noWrap w:val="0"/>
            <w:vAlign w:val="center"/>
          </w:tcPr>
          <w:p>
            <w:pPr>
              <w:jc w:val="center"/>
              <w:rPr>
                <w:rFonts w:ascii="宋体" w:hAnsi="宋体" w:cs="宋体"/>
                <w:sz w:val="18"/>
                <w:szCs w:val="18"/>
              </w:rPr>
            </w:pPr>
            <w:r>
              <w:rPr>
                <w:rFonts w:hint="eastAsia" w:ascii="宋体" w:hAnsi="宋体" w:cs="宋体"/>
                <w:sz w:val="18"/>
                <w:szCs w:val="18"/>
              </w:rPr>
              <w:t>99.85</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z w:val="18"/>
                <w:szCs w:val="18"/>
              </w:rPr>
            </w:pPr>
            <w:r>
              <w:rPr>
                <w:rFonts w:hint="eastAsia"/>
                <w:sz w:val="18"/>
                <w:szCs w:val="18"/>
              </w:rPr>
              <w:t>0.26×3</w:t>
            </w:r>
          </w:p>
        </w:tc>
        <w:tc>
          <w:tcPr>
            <w:tcW w:w="821"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0.43</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5</w:t>
            </w:r>
          </w:p>
        </w:tc>
        <w:tc>
          <w:tcPr>
            <w:tcW w:w="1556" w:type="dxa"/>
            <w:shd w:val="clear" w:color="auto" w:fill="auto"/>
            <w:noWrap w:val="0"/>
            <w:vAlign w:val="center"/>
          </w:tcPr>
          <w:p>
            <w:pPr>
              <w:jc w:val="center"/>
              <w:rPr>
                <w:sz w:val="18"/>
                <w:szCs w:val="18"/>
              </w:rPr>
            </w:pPr>
            <w:r>
              <w:rPr>
                <w:rFonts w:hint="eastAsia"/>
                <w:sz w:val="18"/>
                <w:szCs w:val="18"/>
              </w:rPr>
              <w:t>原料配料库顶</w:t>
            </w:r>
          </w:p>
        </w:tc>
        <w:tc>
          <w:tcPr>
            <w:tcW w:w="974" w:type="dxa"/>
            <w:noWrap w:val="0"/>
            <w:vAlign w:val="center"/>
          </w:tcPr>
          <w:p>
            <w:pPr>
              <w:snapToGrid w:val="0"/>
              <w:spacing w:line="360" w:lineRule="exact"/>
              <w:jc w:val="center"/>
              <w:rPr>
                <w:sz w:val="18"/>
                <w:szCs w:val="18"/>
              </w:rPr>
            </w:pPr>
            <w:r>
              <w:rPr>
                <w:rFonts w:hint="eastAsia"/>
                <w:sz w:val="18"/>
                <w:szCs w:val="18"/>
              </w:rPr>
              <w:t>6700×4</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snapToGrid w:val="0"/>
              <w:spacing w:line="360" w:lineRule="exact"/>
              <w:jc w:val="center"/>
              <w:rPr>
                <w:rFonts w:hint="eastAsia"/>
                <w:sz w:val="18"/>
                <w:szCs w:val="18"/>
              </w:rPr>
            </w:pPr>
            <w:r>
              <w:rPr>
                <w:rFonts w:hint="eastAsia"/>
                <w:sz w:val="18"/>
                <w:szCs w:val="18"/>
              </w:rPr>
              <w:t>5583</w:t>
            </w:r>
          </w:p>
        </w:tc>
        <w:tc>
          <w:tcPr>
            <w:tcW w:w="789" w:type="dxa"/>
            <w:noWrap w:val="0"/>
            <w:vAlign w:val="center"/>
          </w:tcPr>
          <w:p>
            <w:pPr>
              <w:jc w:val="center"/>
              <w:rPr>
                <w:sz w:val="18"/>
                <w:szCs w:val="18"/>
              </w:rPr>
            </w:pPr>
            <w:r>
              <w:rPr>
                <w:rFonts w:hint="eastAsia"/>
                <w:sz w:val="18"/>
                <w:szCs w:val="18"/>
              </w:rPr>
              <w:t>30</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8</w:t>
            </w:r>
          </w:p>
        </w:tc>
        <w:tc>
          <w:tcPr>
            <w:tcW w:w="1020" w:type="dxa"/>
            <w:noWrap w:val="0"/>
            <w:vAlign w:val="center"/>
          </w:tcPr>
          <w:p>
            <w:pPr>
              <w:snapToGrid w:val="0"/>
              <w:spacing w:line="360" w:lineRule="exact"/>
              <w:jc w:val="center"/>
              <w:rPr>
                <w:rFonts w:hint="eastAsia"/>
                <w:sz w:val="18"/>
                <w:szCs w:val="18"/>
              </w:rPr>
            </w:pPr>
            <w:r>
              <w:rPr>
                <w:rFonts w:hint="eastAsia"/>
                <w:snapToGrid w:val="0"/>
                <w:kern w:val="0"/>
                <w:sz w:val="18"/>
                <w:szCs w:val="18"/>
              </w:rPr>
              <w:t>53.6</w:t>
            </w:r>
            <w:r>
              <w:rPr>
                <w:rFonts w:hint="eastAsia" w:ascii="宋体" w:hAnsi="宋体"/>
                <w:snapToGrid w:val="0"/>
                <w:kern w:val="0"/>
                <w:sz w:val="18"/>
                <w:szCs w:val="18"/>
              </w:rPr>
              <w:t>×</w:t>
            </w:r>
            <w:r>
              <w:rPr>
                <w:rFonts w:hint="eastAsia"/>
                <w:snapToGrid w:val="0"/>
                <w:kern w:val="0"/>
                <w:sz w:val="18"/>
                <w:szCs w:val="18"/>
              </w:rPr>
              <w:t>4</w:t>
            </w:r>
          </w:p>
        </w:tc>
        <w:tc>
          <w:tcPr>
            <w:tcW w:w="1122" w:type="dxa"/>
            <w:noWrap w:val="0"/>
            <w:vAlign w:val="center"/>
          </w:tcPr>
          <w:p>
            <w:pPr>
              <w:snapToGrid w:val="0"/>
              <w:spacing w:line="360" w:lineRule="exact"/>
              <w:jc w:val="center"/>
              <w:rPr>
                <w:rFonts w:hint="eastAsia"/>
                <w:sz w:val="18"/>
                <w:szCs w:val="18"/>
              </w:rPr>
            </w:pPr>
            <w:r>
              <w:rPr>
                <w:rFonts w:hint="eastAsia"/>
                <w:sz w:val="18"/>
                <w:szCs w:val="18"/>
              </w:rPr>
              <w:t>299.25</w:t>
            </w:r>
            <w:r>
              <w:rPr>
                <w:rFonts w:hint="eastAsia" w:ascii="宋体" w:hAnsi="宋体"/>
                <w:snapToGrid w:val="0"/>
                <w:kern w:val="0"/>
                <w:sz w:val="18"/>
                <w:szCs w:val="18"/>
              </w:rPr>
              <w:t>×</w:t>
            </w:r>
            <w:r>
              <w:rPr>
                <w:rFonts w:hint="eastAsia"/>
                <w:snapToGrid w:val="0"/>
                <w:kern w:val="0"/>
                <w:sz w:val="18"/>
                <w:szCs w:val="18"/>
              </w:rPr>
              <w:t>4</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99.62</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z w:val="18"/>
                <w:szCs w:val="18"/>
              </w:rPr>
            </w:pPr>
            <w:r>
              <w:rPr>
                <w:rFonts w:hint="eastAsia"/>
                <w:sz w:val="18"/>
                <w:szCs w:val="18"/>
              </w:rPr>
              <w:t>0.2×4</w:t>
            </w:r>
          </w:p>
        </w:tc>
        <w:tc>
          <w:tcPr>
            <w:tcW w:w="821" w:type="dxa"/>
            <w:noWrap w:val="0"/>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6</w:t>
            </w:r>
          </w:p>
        </w:tc>
        <w:tc>
          <w:tcPr>
            <w:tcW w:w="1556" w:type="dxa"/>
            <w:shd w:val="clear" w:color="auto" w:fill="auto"/>
            <w:noWrap w:val="0"/>
            <w:vAlign w:val="center"/>
          </w:tcPr>
          <w:p>
            <w:pPr>
              <w:jc w:val="center"/>
              <w:rPr>
                <w:sz w:val="18"/>
                <w:szCs w:val="18"/>
              </w:rPr>
            </w:pPr>
            <w:r>
              <w:rPr>
                <w:rFonts w:hint="eastAsia"/>
                <w:sz w:val="18"/>
                <w:szCs w:val="18"/>
              </w:rPr>
              <w:t>原料配料库底</w:t>
            </w:r>
          </w:p>
        </w:tc>
        <w:tc>
          <w:tcPr>
            <w:tcW w:w="974" w:type="dxa"/>
            <w:noWrap w:val="0"/>
            <w:vAlign w:val="center"/>
          </w:tcPr>
          <w:p>
            <w:pPr>
              <w:snapToGrid w:val="0"/>
              <w:spacing w:line="360" w:lineRule="exact"/>
              <w:jc w:val="center"/>
              <w:rPr>
                <w:sz w:val="18"/>
                <w:szCs w:val="18"/>
              </w:rPr>
            </w:pPr>
            <w:r>
              <w:rPr>
                <w:rFonts w:hint="eastAsia"/>
                <w:sz w:val="18"/>
                <w:szCs w:val="18"/>
              </w:rPr>
              <w:t>6700×4</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snapToGrid w:val="0"/>
              <w:spacing w:line="360" w:lineRule="exact"/>
              <w:jc w:val="center"/>
              <w:rPr>
                <w:rFonts w:hint="eastAsia"/>
                <w:sz w:val="18"/>
                <w:szCs w:val="18"/>
              </w:rPr>
            </w:pPr>
            <w:r>
              <w:rPr>
                <w:rFonts w:hint="eastAsia"/>
                <w:sz w:val="18"/>
                <w:szCs w:val="18"/>
              </w:rPr>
              <w:t>5583</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8</w:t>
            </w:r>
          </w:p>
        </w:tc>
        <w:tc>
          <w:tcPr>
            <w:tcW w:w="1020" w:type="dxa"/>
            <w:noWrap w:val="0"/>
            <w:vAlign w:val="center"/>
          </w:tcPr>
          <w:p>
            <w:pPr>
              <w:snapToGrid w:val="0"/>
              <w:spacing w:line="360" w:lineRule="exact"/>
              <w:jc w:val="center"/>
              <w:rPr>
                <w:rFonts w:hint="eastAsia"/>
                <w:sz w:val="18"/>
                <w:szCs w:val="18"/>
              </w:rPr>
            </w:pPr>
            <w:r>
              <w:rPr>
                <w:rFonts w:hint="eastAsia"/>
                <w:snapToGrid w:val="0"/>
                <w:kern w:val="0"/>
                <w:sz w:val="18"/>
                <w:szCs w:val="18"/>
              </w:rPr>
              <w:t>53.6</w:t>
            </w:r>
            <w:r>
              <w:rPr>
                <w:rFonts w:hint="eastAsia" w:ascii="宋体" w:hAnsi="宋体"/>
                <w:snapToGrid w:val="0"/>
                <w:kern w:val="0"/>
                <w:sz w:val="18"/>
                <w:szCs w:val="18"/>
              </w:rPr>
              <w:t>×</w:t>
            </w:r>
            <w:r>
              <w:rPr>
                <w:rFonts w:hint="eastAsia"/>
                <w:snapToGrid w:val="0"/>
                <w:kern w:val="0"/>
                <w:sz w:val="18"/>
                <w:szCs w:val="18"/>
              </w:rPr>
              <w:t>4</w:t>
            </w:r>
          </w:p>
        </w:tc>
        <w:tc>
          <w:tcPr>
            <w:tcW w:w="1122" w:type="dxa"/>
            <w:noWrap w:val="0"/>
            <w:vAlign w:val="center"/>
          </w:tcPr>
          <w:p>
            <w:pPr>
              <w:snapToGrid w:val="0"/>
              <w:spacing w:line="360" w:lineRule="exact"/>
              <w:jc w:val="center"/>
              <w:rPr>
                <w:rFonts w:hint="eastAsia"/>
                <w:sz w:val="18"/>
                <w:szCs w:val="18"/>
              </w:rPr>
            </w:pPr>
            <w:r>
              <w:rPr>
                <w:rFonts w:hint="eastAsia"/>
                <w:sz w:val="18"/>
                <w:szCs w:val="18"/>
              </w:rPr>
              <w:t>299.25</w:t>
            </w:r>
            <w:r>
              <w:rPr>
                <w:rFonts w:hint="eastAsia" w:ascii="宋体" w:hAnsi="宋体"/>
                <w:snapToGrid w:val="0"/>
                <w:kern w:val="0"/>
                <w:sz w:val="18"/>
                <w:szCs w:val="18"/>
              </w:rPr>
              <w:t>×</w:t>
            </w:r>
            <w:r>
              <w:rPr>
                <w:rFonts w:hint="eastAsia"/>
                <w:snapToGrid w:val="0"/>
                <w:kern w:val="0"/>
                <w:sz w:val="18"/>
                <w:szCs w:val="18"/>
              </w:rPr>
              <w:t>4</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99.62</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z w:val="18"/>
                <w:szCs w:val="18"/>
              </w:rPr>
            </w:pPr>
            <w:r>
              <w:rPr>
                <w:rFonts w:hint="eastAsia"/>
                <w:sz w:val="18"/>
                <w:szCs w:val="18"/>
              </w:rPr>
              <w:t>0.2×4</w:t>
            </w:r>
          </w:p>
        </w:tc>
        <w:tc>
          <w:tcPr>
            <w:tcW w:w="821" w:type="dxa"/>
            <w:noWrap w:val="0"/>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588" w:type="dxa"/>
            <w:vMerge w:val="restart"/>
            <w:noWrap w:val="0"/>
            <w:vAlign w:val="center"/>
          </w:tcPr>
          <w:p>
            <w:pPr>
              <w:jc w:val="center"/>
              <w:rPr>
                <w:rFonts w:hint="eastAsia"/>
                <w:sz w:val="18"/>
                <w:szCs w:val="18"/>
              </w:rPr>
            </w:pPr>
            <w:r>
              <w:rPr>
                <w:rFonts w:hint="eastAsia"/>
                <w:sz w:val="18"/>
                <w:szCs w:val="18"/>
              </w:rPr>
              <w:t>7</w:t>
            </w:r>
          </w:p>
        </w:tc>
        <w:tc>
          <w:tcPr>
            <w:tcW w:w="1556" w:type="dxa"/>
            <w:vMerge w:val="restart"/>
            <w:noWrap w:val="0"/>
            <w:vAlign w:val="center"/>
          </w:tcPr>
          <w:p>
            <w:pPr>
              <w:jc w:val="center"/>
              <w:rPr>
                <w:sz w:val="18"/>
                <w:szCs w:val="18"/>
              </w:rPr>
            </w:pPr>
            <w:r>
              <w:rPr>
                <w:rFonts w:hint="eastAsia"/>
                <w:sz w:val="18"/>
                <w:szCs w:val="18"/>
              </w:rPr>
              <w:t>窑尾</w:t>
            </w:r>
          </w:p>
        </w:tc>
        <w:tc>
          <w:tcPr>
            <w:tcW w:w="974" w:type="dxa"/>
            <w:vMerge w:val="restart"/>
            <w:noWrap w:val="0"/>
            <w:vAlign w:val="center"/>
          </w:tcPr>
          <w:p>
            <w:pPr>
              <w:snapToGrid w:val="0"/>
              <w:spacing w:line="360" w:lineRule="exact"/>
              <w:jc w:val="center"/>
              <w:rPr>
                <w:rFonts w:hint="eastAsia"/>
                <w:sz w:val="18"/>
                <w:szCs w:val="18"/>
              </w:rPr>
            </w:pPr>
            <w:r>
              <w:rPr>
                <w:rFonts w:hint="eastAsia"/>
                <w:sz w:val="18"/>
                <w:szCs w:val="18"/>
              </w:rPr>
              <w:t>345600</w:t>
            </w:r>
          </w:p>
        </w:tc>
        <w:tc>
          <w:tcPr>
            <w:tcW w:w="607" w:type="dxa"/>
            <w:noWrap w:val="0"/>
            <w:vAlign w:val="center"/>
          </w:tcPr>
          <w:p>
            <w:pPr>
              <w:snapToGrid w:val="0"/>
              <w:spacing w:line="360" w:lineRule="exact"/>
              <w:jc w:val="center"/>
              <w:rPr>
                <w:rFonts w:hint="eastAsia"/>
                <w:sz w:val="18"/>
                <w:szCs w:val="18"/>
              </w:rPr>
            </w:pPr>
            <w:r>
              <w:rPr>
                <w:rFonts w:hint="eastAsia"/>
                <w:sz w:val="18"/>
                <w:szCs w:val="18"/>
              </w:rPr>
              <w:t>烟尘</w:t>
            </w:r>
          </w:p>
        </w:tc>
        <w:tc>
          <w:tcPr>
            <w:tcW w:w="769" w:type="dxa"/>
            <w:vMerge w:val="restart"/>
            <w:noWrap w:val="0"/>
            <w:vAlign w:val="center"/>
          </w:tcPr>
          <w:p>
            <w:pPr>
              <w:snapToGrid w:val="0"/>
              <w:spacing w:line="360" w:lineRule="exact"/>
              <w:jc w:val="center"/>
              <w:rPr>
                <w:rFonts w:hint="eastAsia"/>
                <w:sz w:val="18"/>
                <w:szCs w:val="18"/>
              </w:rPr>
            </w:pPr>
            <w:r>
              <w:rPr>
                <w:rFonts w:hint="eastAsia"/>
                <w:sz w:val="18"/>
                <w:szCs w:val="18"/>
              </w:rPr>
              <w:t>7440</w:t>
            </w:r>
          </w:p>
        </w:tc>
        <w:tc>
          <w:tcPr>
            <w:tcW w:w="789" w:type="dxa"/>
            <w:vMerge w:val="restart"/>
            <w:noWrap w:val="0"/>
            <w:vAlign w:val="center"/>
          </w:tcPr>
          <w:p>
            <w:pPr>
              <w:jc w:val="center"/>
              <w:rPr>
                <w:sz w:val="18"/>
                <w:szCs w:val="18"/>
              </w:rPr>
            </w:pPr>
            <w:r>
              <w:rPr>
                <w:rFonts w:hint="eastAsia"/>
                <w:sz w:val="18"/>
                <w:szCs w:val="18"/>
              </w:rPr>
              <w:t>110</w:t>
            </w:r>
          </w:p>
        </w:tc>
        <w:tc>
          <w:tcPr>
            <w:tcW w:w="789" w:type="dxa"/>
            <w:vMerge w:val="restart"/>
            <w:noWrap w:val="0"/>
            <w:vAlign w:val="center"/>
          </w:tcPr>
          <w:p>
            <w:pPr>
              <w:snapToGrid w:val="0"/>
              <w:spacing w:line="360" w:lineRule="exact"/>
              <w:jc w:val="center"/>
              <w:rPr>
                <w:rFonts w:hint="eastAsia"/>
                <w:sz w:val="18"/>
                <w:szCs w:val="18"/>
              </w:rPr>
            </w:pPr>
            <w:r>
              <w:rPr>
                <w:rFonts w:hint="eastAsia"/>
                <w:sz w:val="18"/>
                <w:szCs w:val="18"/>
              </w:rPr>
              <w:t>3.0</w:t>
            </w:r>
          </w:p>
        </w:tc>
        <w:tc>
          <w:tcPr>
            <w:tcW w:w="783" w:type="dxa"/>
            <w:vMerge w:val="restart"/>
            <w:noWrap w:val="0"/>
            <w:vAlign w:val="center"/>
          </w:tcPr>
          <w:p>
            <w:pPr>
              <w:snapToGrid w:val="0"/>
              <w:spacing w:line="360" w:lineRule="exact"/>
              <w:jc w:val="center"/>
              <w:rPr>
                <w:rFonts w:hint="eastAsia"/>
                <w:sz w:val="18"/>
                <w:szCs w:val="18"/>
              </w:rPr>
            </w:pPr>
            <w:r>
              <w:rPr>
                <w:rFonts w:hint="eastAsia"/>
                <w:sz w:val="18"/>
                <w:szCs w:val="18"/>
              </w:rPr>
              <w:t>120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30</w:t>
            </w:r>
          </w:p>
        </w:tc>
        <w:tc>
          <w:tcPr>
            <w:tcW w:w="1020" w:type="dxa"/>
            <w:noWrap w:val="0"/>
            <w:vAlign w:val="center"/>
          </w:tcPr>
          <w:p>
            <w:pPr>
              <w:snapToGrid w:val="0"/>
              <w:spacing w:line="360" w:lineRule="exact"/>
              <w:jc w:val="center"/>
              <w:rPr>
                <w:rFonts w:hint="eastAsia"/>
                <w:sz w:val="18"/>
                <w:szCs w:val="18"/>
              </w:rPr>
            </w:pPr>
            <w:r>
              <w:rPr>
                <w:rFonts w:hint="eastAsia"/>
                <w:sz w:val="18"/>
                <w:szCs w:val="18"/>
              </w:rPr>
              <w:t>10368</w:t>
            </w:r>
          </w:p>
        </w:tc>
        <w:tc>
          <w:tcPr>
            <w:tcW w:w="1122" w:type="dxa"/>
            <w:noWrap w:val="0"/>
            <w:vAlign w:val="center"/>
          </w:tcPr>
          <w:p>
            <w:pPr>
              <w:snapToGrid w:val="0"/>
              <w:spacing w:line="360" w:lineRule="exact"/>
              <w:jc w:val="center"/>
              <w:rPr>
                <w:rFonts w:hint="eastAsia"/>
                <w:sz w:val="18"/>
                <w:szCs w:val="18"/>
              </w:rPr>
            </w:pPr>
            <w:r>
              <w:rPr>
                <w:rFonts w:hint="eastAsia"/>
                <w:sz w:val="18"/>
                <w:szCs w:val="18"/>
              </w:rPr>
              <w:t>77137.92</w:t>
            </w:r>
          </w:p>
        </w:tc>
        <w:tc>
          <w:tcPr>
            <w:tcW w:w="1483" w:type="dxa"/>
            <w:vMerge w:val="restart"/>
            <w:noWrap w:val="0"/>
            <w:vAlign w:val="center"/>
          </w:tcPr>
          <w:p>
            <w:pPr>
              <w:jc w:val="center"/>
              <w:rPr>
                <w:sz w:val="18"/>
                <w:szCs w:val="18"/>
              </w:rPr>
            </w:pPr>
            <w:r>
              <w:rPr>
                <w:rFonts w:hint="eastAsia"/>
                <w:sz w:val="18"/>
                <w:szCs w:val="18"/>
              </w:rPr>
              <w:t>脉冲袋式除尘器</w:t>
            </w:r>
          </w:p>
        </w:tc>
        <w:tc>
          <w:tcPr>
            <w:tcW w:w="786" w:type="dxa"/>
            <w:vMerge w:val="restart"/>
            <w:noWrap w:val="0"/>
            <w:vAlign w:val="center"/>
          </w:tcPr>
          <w:p>
            <w:pPr>
              <w:jc w:val="center"/>
              <w:rPr>
                <w:rFonts w:hint="eastAsia"/>
                <w:sz w:val="18"/>
                <w:szCs w:val="18"/>
              </w:rPr>
            </w:pPr>
            <w:r>
              <w:rPr>
                <w:rFonts w:hint="eastAsia"/>
                <w:sz w:val="18"/>
                <w:szCs w:val="18"/>
              </w:rPr>
              <w:t>99.90</w:t>
            </w:r>
          </w:p>
          <w:p>
            <w:pPr>
              <w:jc w:val="center"/>
              <w:rPr>
                <w:rFonts w:hint="eastAsia"/>
                <w:sz w:val="18"/>
                <w:szCs w:val="18"/>
              </w:rPr>
            </w:pPr>
            <w:r>
              <w:rPr>
                <w:rFonts w:hint="eastAsia"/>
                <w:sz w:val="18"/>
                <w:szCs w:val="18"/>
              </w:rPr>
              <w:t>/</w:t>
            </w:r>
          </w:p>
          <w:p>
            <w:pPr>
              <w:jc w:val="center"/>
              <w:rPr>
                <w:rFonts w:hint="eastAsia"/>
                <w:sz w:val="18"/>
                <w:szCs w:val="18"/>
              </w:rPr>
            </w:pPr>
            <w:r>
              <w:rPr>
                <w:rFonts w:hint="eastAsia"/>
                <w:sz w:val="18"/>
                <w:szCs w:val="18"/>
              </w:rPr>
              <w:t>/</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z w:val="18"/>
                <w:szCs w:val="18"/>
              </w:rPr>
            </w:pPr>
            <w:r>
              <w:rPr>
                <w:rFonts w:hint="eastAsia"/>
                <w:sz w:val="18"/>
                <w:szCs w:val="18"/>
              </w:rPr>
              <w:t>10.37</w:t>
            </w:r>
          </w:p>
        </w:tc>
        <w:tc>
          <w:tcPr>
            <w:tcW w:w="821" w:type="dxa"/>
            <w:noWrap w:val="0"/>
            <w:vAlign w:val="center"/>
          </w:tcPr>
          <w:p>
            <w:pPr>
              <w:snapToGrid w:val="0"/>
              <w:spacing w:line="360" w:lineRule="exact"/>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vMerge w:val="continue"/>
            <w:noWrap w:val="0"/>
            <w:vAlign w:val="center"/>
          </w:tcPr>
          <w:p>
            <w:pPr>
              <w:snapToGrid w:val="0"/>
              <w:spacing w:line="360" w:lineRule="exact"/>
              <w:jc w:val="left"/>
              <w:rPr>
                <w:rFonts w:hint="eastAsia"/>
                <w:snapToGrid w:val="0"/>
                <w:kern w:val="0"/>
                <w:sz w:val="18"/>
                <w:szCs w:val="18"/>
              </w:rPr>
            </w:pPr>
          </w:p>
        </w:tc>
        <w:tc>
          <w:tcPr>
            <w:tcW w:w="1556" w:type="dxa"/>
            <w:vMerge w:val="continue"/>
            <w:noWrap w:val="0"/>
            <w:vAlign w:val="center"/>
          </w:tcPr>
          <w:p>
            <w:pPr>
              <w:jc w:val="center"/>
              <w:rPr>
                <w:rFonts w:hint="eastAsia"/>
                <w:sz w:val="18"/>
                <w:szCs w:val="18"/>
              </w:rPr>
            </w:pPr>
          </w:p>
        </w:tc>
        <w:tc>
          <w:tcPr>
            <w:tcW w:w="974" w:type="dxa"/>
            <w:vMerge w:val="continue"/>
            <w:noWrap w:val="0"/>
            <w:vAlign w:val="center"/>
          </w:tcPr>
          <w:p>
            <w:pPr>
              <w:jc w:val="center"/>
              <w:rPr>
                <w:rFonts w:hint="eastAsia"/>
                <w:sz w:val="18"/>
                <w:szCs w:val="18"/>
              </w:rPr>
            </w:pPr>
          </w:p>
        </w:tc>
        <w:tc>
          <w:tcPr>
            <w:tcW w:w="607" w:type="dxa"/>
            <w:noWrap w:val="0"/>
            <w:vAlign w:val="center"/>
          </w:tcPr>
          <w:p>
            <w:pPr>
              <w:jc w:val="center"/>
              <w:rPr>
                <w:rFonts w:hint="eastAsia"/>
                <w:sz w:val="18"/>
                <w:szCs w:val="18"/>
              </w:rPr>
            </w:pPr>
            <w:r>
              <w:rPr>
                <w:rFonts w:hint="eastAsia"/>
                <w:sz w:val="18"/>
                <w:szCs w:val="18"/>
              </w:rPr>
              <w:t>SO</w:t>
            </w:r>
            <w:r>
              <w:rPr>
                <w:rFonts w:hint="eastAsia"/>
                <w:sz w:val="18"/>
                <w:szCs w:val="18"/>
                <w:vertAlign w:val="subscript"/>
              </w:rPr>
              <w:t>2</w:t>
            </w:r>
          </w:p>
        </w:tc>
        <w:tc>
          <w:tcPr>
            <w:tcW w:w="769" w:type="dxa"/>
            <w:vMerge w:val="continue"/>
            <w:noWrap w:val="0"/>
            <w:vAlign w:val="center"/>
          </w:tcPr>
          <w:p>
            <w:pPr>
              <w:jc w:val="center"/>
              <w:rPr>
                <w:rFonts w:hint="eastAsia"/>
                <w:sz w:val="18"/>
                <w:szCs w:val="18"/>
              </w:rPr>
            </w:pPr>
          </w:p>
        </w:tc>
        <w:tc>
          <w:tcPr>
            <w:tcW w:w="789" w:type="dxa"/>
            <w:vMerge w:val="continue"/>
            <w:noWrap w:val="0"/>
            <w:vAlign w:val="center"/>
          </w:tcPr>
          <w:p>
            <w:pPr>
              <w:jc w:val="center"/>
              <w:rPr>
                <w:rFonts w:hint="eastAsia"/>
                <w:sz w:val="18"/>
                <w:szCs w:val="18"/>
              </w:rPr>
            </w:pPr>
          </w:p>
        </w:tc>
        <w:tc>
          <w:tcPr>
            <w:tcW w:w="789" w:type="dxa"/>
            <w:vMerge w:val="continue"/>
            <w:noWrap w:val="0"/>
            <w:vAlign w:val="center"/>
          </w:tcPr>
          <w:p>
            <w:pPr>
              <w:jc w:val="center"/>
              <w:rPr>
                <w:rFonts w:hint="eastAsia"/>
                <w:sz w:val="18"/>
                <w:szCs w:val="18"/>
              </w:rPr>
            </w:pPr>
          </w:p>
        </w:tc>
        <w:tc>
          <w:tcPr>
            <w:tcW w:w="783" w:type="dxa"/>
            <w:vMerge w:val="continue"/>
            <w:noWrap w:val="0"/>
            <w:vAlign w:val="center"/>
          </w:tcPr>
          <w:p>
            <w:pPr>
              <w:jc w:val="center"/>
              <w:rPr>
                <w:rFonts w:hint="eastAsia"/>
                <w:sz w:val="18"/>
                <w:szCs w:val="18"/>
              </w:rPr>
            </w:pPr>
          </w:p>
        </w:tc>
        <w:tc>
          <w:tcPr>
            <w:tcW w:w="708" w:type="dxa"/>
            <w:noWrap w:val="0"/>
            <w:vAlign w:val="center"/>
          </w:tcPr>
          <w:p>
            <w:pPr>
              <w:jc w:val="center"/>
              <w:rPr>
                <w:rFonts w:hint="eastAsia"/>
                <w:sz w:val="18"/>
                <w:szCs w:val="18"/>
              </w:rPr>
            </w:pPr>
            <w:r>
              <w:rPr>
                <w:rFonts w:hint="eastAsia"/>
                <w:sz w:val="18"/>
                <w:szCs w:val="18"/>
              </w:rPr>
              <w:t>84.17</w:t>
            </w:r>
          </w:p>
        </w:tc>
        <w:tc>
          <w:tcPr>
            <w:tcW w:w="1020" w:type="dxa"/>
            <w:noWrap w:val="0"/>
            <w:vAlign w:val="center"/>
          </w:tcPr>
          <w:p>
            <w:pPr>
              <w:jc w:val="center"/>
              <w:rPr>
                <w:rFonts w:hint="eastAsia"/>
                <w:sz w:val="18"/>
                <w:szCs w:val="18"/>
              </w:rPr>
            </w:pPr>
            <w:r>
              <w:rPr>
                <w:rFonts w:hint="eastAsia"/>
                <w:sz w:val="18"/>
                <w:szCs w:val="18"/>
              </w:rPr>
              <w:t>29.09</w:t>
            </w:r>
          </w:p>
        </w:tc>
        <w:tc>
          <w:tcPr>
            <w:tcW w:w="1122" w:type="dxa"/>
            <w:noWrap w:val="0"/>
            <w:vAlign w:val="center"/>
          </w:tcPr>
          <w:p>
            <w:pPr>
              <w:jc w:val="center"/>
              <w:rPr>
                <w:rFonts w:hint="eastAsia"/>
                <w:sz w:val="18"/>
                <w:szCs w:val="18"/>
              </w:rPr>
            </w:pPr>
            <w:r>
              <w:rPr>
                <w:rFonts w:hint="eastAsia"/>
                <w:sz w:val="18"/>
                <w:szCs w:val="18"/>
              </w:rPr>
              <w:t>216.44</w:t>
            </w:r>
          </w:p>
        </w:tc>
        <w:tc>
          <w:tcPr>
            <w:tcW w:w="1483" w:type="dxa"/>
            <w:vMerge w:val="continue"/>
            <w:noWrap w:val="0"/>
            <w:vAlign w:val="center"/>
          </w:tcPr>
          <w:p>
            <w:pPr>
              <w:jc w:val="center"/>
              <w:rPr>
                <w:sz w:val="18"/>
                <w:szCs w:val="18"/>
              </w:rPr>
            </w:pPr>
          </w:p>
        </w:tc>
        <w:tc>
          <w:tcPr>
            <w:tcW w:w="786" w:type="dxa"/>
            <w:vMerge w:val="continue"/>
            <w:noWrap w:val="0"/>
            <w:vAlign w:val="center"/>
          </w:tcPr>
          <w:p>
            <w:pPr>
              <w:jc w:val="center"/>
              <w:rPr>
                <w:sz w:val="18"/>
                <w:szCs w:val="18"/>
              </w:rPr>
            </w:pPr>
          </w:p>
        </w:tc>
        <w:tc>
          <w:tcPr>
            <w:tcW w:w="731" w:type="dxa"/>
            <w:noWrap w:val="0"/>
            <w:vAlign w:val="center"/>
          </w:tcPr>
          <w:p>
            <w:pPr>
              <w:jc w:val="center"/>
              <w:rPr>
                <w:rFonts w:hint="eastAsia"/>
                <w:sz w:val="18"/>
                <w:szCs w:val="18"/>
              </w:rPr>
            </w:pPr>
            <w:r>
              <w:rPr>
                <w:rFonts w:hint="eastAsia"/>
                <w:sz w:val="18"/>
                <w:szCs w:val="18"/>
              </w:rPr>
              <w:t>84.17</w:t>
            </w:r>
          </w:p>
        </w:tc>
        <w:tc>
          <w:tcPr>
            <w:tcW w:w="928" w:type="dxa"/>
            <w:noWrap w:val="0"/>
            <w:vAlign w:val="center"/>
          </w:tcPr>
          <w:p>
            <w:pPr>
              <w:jc w:val="center"/>
              <w:rPr>
                <w:rFonts w:hint="eastAsia"/>
                <w:sz w:val="18"/>
                <w:szCs w:val="18"/>
              </w:rPr>
            </w:pPr>
            <w:r>
              <w:rPr>
                <w:rFonts w:hint="eastAsia"/>
                <w:sz w:val="18"/>
                <w:szCs w:val="18"/>
              </w:rPr>
              <w:t>29.09</w:t>
            </w:r>
          </w:p>
        </w:tc>
        <w:tc>
          <w:tcPr>
            <w:tcW w:w="821" w:type="dxa"/>
            <w:noWrap w:val="0"/>
            <w:vAlign w:val="center"/>
          </w:tcPr>
          <w:p>
            <w:pPr>
              <w:jc w:val="center"/>
              <w:rPr>
                <w:rFonts w:hint="eastAsia"/>
                <w:sz w:val="18"/>
                <w:szCs w:val="18"/>
              </w:rPr>
            </w:pPr>
            <w:r>
              <w:rPr>
                <w:rFonts w:hint="eastAsia"/>
                <w:sz w:val="18"/>
                <w:szCs w:val="18"/>
              </w:rPr>
              <w:t>216.44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vMerge w:val="continue"/>
            <w:noWrap w:val="0"/>
            <w:vAlign w:val="center"/>
          </w:tcPr>
          <w:p>
            <w:pPr>
              <w:snapToGrid w:val="0"/>
              <w:spacing w:line="360" w:lineRule="exact"/>
              <w:jc w:val="left"/>
              <w:rPr>
                <w:rFonts w:hint="eastAsia"/>
                <w:snapToGrid w:val="0"/>
                <w:kern w:val="0"/>
                <w:sz w:val="18"/>
                <w:szCs w:val="18"/>
              </w:rPr>
            </w:pPr>
          </w:p>
        </w:tc>
        <w:tc>
          <w:tcPr>
            <w:tcW w:w="1556" w:type="dxa"/>
            <w:vMerge w:val="continue"/>
            <w:noWrap w:val="0"/>
            <w:vAlign w:val="center"/>
          </w:tcPr>
          <w:p>
            <w:pPr>
              <w:jc w:val="center"/>
              <w:rPr>
                <w:rFonts w:hint="eastAsia"/>
                <w:sz w:val="18"/>
                <w:szCs w:val="18"/>
              </w:rPr>
            </w:pPr>
          </w:p>
        </w:tc>
        <w:tc>
          <w:tcPr>
            <w:tcW w:w="974" w:type="dxa"/>
            <w:vMerge w:val="continue"/>
            <w:noWrap w:val="0"/>
            <w:vAlign w:val="center"/>
          </w:tcPr>
          <w:p>
            <w:pPr>
              <w:jc w:val="center"/>
              <w:rPr>
                <w:rFonts w:hint="eastAsia"/>
                <w:sz w:val="18"/>
                <w:szCs w:val="18"/>
              </w:rPr>
            </w:pPr>
          </w:p>
        </w:tc>
        <w:tc>
          <w:tcPr>
            <w:tcW w:w="607" w:type="dxa"/>
            <w:noWrap w:val="0"/>
            <w:vAlign w:val="center"/>
          </w:tcPr>
          <w:p>
            <w:pPr>
              <w:jc w:val="center"/>
              <w:rPr>
                <w:rFonts w:hint="eastAsia"/>
                <w:sz w:val="18"/>
                <w:szCs w:val="18"/>
              </w:rPr>
            </w:pPr>
            <w:r>
              <w:rPr>
                <w:rFonts w:hint="eastAsia"/>
                <w:sz w:val="18"/>
                <w:szCs w:val="18"/>
              </w:rPr>
              <w:t>NOx</w:t>
            </w:r>
          </w:p>
        </w:tc>
        <w:tc>
          <w:tcPr>
            <w:tcW w:w="769" w:type="dxa"/>
            <w:vMerge w:val="continue"/>
            <w:noWrap w:val="0"/>
            <w:vAlign w:val="center"/>
          </w:tcPr>
          <w:p>
            <w:pPr>
              <w:jc w:val="center"/>
              <w:rPr>
                <w:rFonts w:hint="eastAsia"/>
                <w:sz w:val="18"/>
                <w:szCs w:val="18"/>
              </w:rPr>
            </w:pPr>
          </w:p>
        </w:tc>
        <w:tc>
          <w:tcPr>
            <w:tcW w:w="789" w:type="dxa"/>
            <w:vMerge w:val="continue"/>
            <w:noWrap w:val="0"/>
            <w:vAlign w:val="center"/>
          </w:tcPr>
          <w:p>
            <w:pPr>
              <w:jc w:val="center"/>
              <w:rPr>
                <w:rFonts w:hint="eastAsia"/>
                <w:sz w:val="18"/>
                <w:szCs w:val="18"/>
              </w:rPr>
            </w:pPr>
          </w:p>
        </w:tc>
        <w:tc>
          <w:tcPr>
            <w:tcW w:w="789" w:type="dxa"/>
            <w:vMerge w:val="continue"/>
            <w:noWrap w:val="0"/>
            <w:vAlign w:val="center"/>
          </w:tcPr>
          <w:p>
            <w:pPr>
              <w:jc w:val="center"/>
              <w:rPr>
                <w:rFonts w:hint="eastAsia"/>
                <w:sz w:val="18"/>
                <w:szCs w:val="18"/>
              </w:rPr>
            </w:pPr>
          </w:p>
        </w:tc>
        <w:tc>
          <w:tcPr>
            <w:tcW w:w="783" w:type="dxa"/>
            <w:vMerge w:val="continue"/>
            <w:noWrap w:val="0"/>
            <w:vAlign w:val="center"/>
          </w:tcPr>
          <w:p>
            <w:pPr>
              <w:jc w:val="center"/>
              <w:rPr>
                <w:rFonts w:hint="eastAsia"/>
                <w:sz w:val="18"/>
                <w:szCs w:val="18"/>
              </w:rPr>
            </w:pPr>
          </w:p>
        </w:tc>
        <w:tc>
          <w:tcPr>
            <w:tcW w:w="708" w:type="dxa"/>
            <w:noWrap w:val="0"/>
            <w:vAlign w:val="center"/>
          </w:tcPr>
          <w:p>
            <w:pPr>
              <w:jc w:val="center"/>
              <w:rPr>
                <w:rFonts w:hint="eastAsia"/>
                <w:sz w:val="18"/>
                <w:szCs w:val="18"/>
              </w:rPr>
            </w:pPr>
            <w:r>
              <w:rPr>
                <w:rFonts w:hint="eastAsia"/>
                <w:sz w:val="18"/>
                <w:szCs w:val="18"/>
              </w:rPr>
              <w:t>0.7</w:t>
            </w:r>
          </w:p>
        </w:tc>
        <w:tc>
          <w:tcPr>
            <w:tcW w:w="1020" w:type="dxa"/>
            <w:noWrap w:val="0"/>
            <w:vAlign w:val="center"/>
          </w:tcPr>
          <w:p>
            <w:pPr>
              <w:jc w:val="center"/>
              <w:rPr>
                <w:rFonts w:hint="eastAsia"/>
                <w:sz w:val="18"/>
                <w:szCs w:val="18"/>
              </w:rPr>
            </w:pPr>
            <w:r>
              <w:rPr>
                <w:rFonts w:hint="eastAsia"/>
                <w:sz w:val="18"/>
                <w:szCs w:val="18"/>
              </w:rPr>
              <w:t>241.92</w:t>
            </w:r>
          </w:p>
        </w:tc>
        <w:tc>
          <w:tcPr>
            <w:tcW w:w="1122" w:type="dxa"/>
            <w:noWrap w:val="0"/>
            <w:vAlign w:val="center"/>
          </w:tcPr>
          <w:p>
            <w:pPr>
              <w:jc w:val="center"/>
              <w:rPr>
                <w:rFonts w:hint="eastAsia"/>
                <w:sz w:val="18"/>
                <w:szCs w:val="18"/>
              </w:rPr>
            </w:pPr>
            <w:r>
              <w:rPr>
                <w:rFonts w:hint="eastAsia"/>
                <w:sz w:val="18"/>
                <w:szCs w:val="18"/>
              </w:rPr>
              <w:t>1799.88</w:t>
            </w:r>
          </w:p>
        </w:tc>
        <w:tc>
          <w:tcPr>
            <w:tcW w:w="1483" w:type="dxa"/>
            <w:vMerge w:val="continue"/>
            <w:noWrap w:val="0"/>
            <w:vAlign w:val="center"/>
          </w:tcPr>
          <w:p>
            <w:pPr>
              <w:jc w:val="center"/>
              <w:rPr>
                <w:sz w:val="18"/>
                <w:szCs w:val="18"/>
              </w:rPr>
            </w:pPr>
          </w:p>
        </w:tc>
        <w:tc>
          <w:tcPr>
            <w:tcW w:w="786" w:type="dxa"/>
            <w:vMerge w:val="continue"/>
            <w:noWrap w:val="0"/>
            <w:vAlign w:val="center"/>
          </w:tcPr>
          <w:p>
            <w:pPr>
              <w:jc w:val="center"/>
              <w:rPr>
                <w:sz w:val="18"/>
                <w:szCs w:val="18"/>
              </w:rPr>
            </w:pPr>
          </w:p>
        </w:tc>
        <w:tc>
          <w:tcPr>
            <w:tcW w:w="731" w:type="dxa"/>
            <w:noWrap w:val="0"/>
            <w:vAlign w:val="center"/>
          </w:tcPr>
          <w:p>
            <w:pPr>
              <w:jc w:val="center"/>
              <w:rPr>
                <w:rFonts w:hint="eastAsia"/>
                <w:sz w:val="18"/>
                <w:szCs w:val="18"/>
              </w:rPr>
            </w:pPr>
            <w:r>
              <w:rPr>
                <w:rFonts w:hint="eastAsia"/>
                <w:sz w:val="18"/>
                <w:szCs w:val="18"/>
              </w:rPr>
              <w:t>700</w:t>
            </w:r>
          </w:p>
        </w:tc>
        <w:tc>
          <w:tcPr>
            <w:tcW w:w="928" w:type="dxa"/>
            <w:noWrap w:val="0"/>
            <w:vAlign w:val="center"/>
          </w:tcPr>
          <w:p>
            <w:pPr>
              <w:jc w:val="center"/>
              <w:rPr>
                <w:rFonts w:hint="eastAsia"/>
                <w:sz w:val="18"/>
                <w:szCs w:val="18"/>
              </w:rPr>
            </w:pPr>
            <w:r>
              <w:rPr>
                <w:rFonts w:hint="eastAsia"/>
                <w:sz w:val="18"/>
                <w:szCs w:val="18"/>
              </w:rPr>
              <w:t>241.92</w:t>
            </w:r>
          </w:p>
        </w:tc>
        <w:tc>
          <w:tcPr>
            <w:tcW w:w="821" w:type="dxa"/>
            <w:noWrap w:val="0"/>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noWrap w:val="0"/>
            <w:vAlign w:val="center"/>
          </w:tcPr>
          <w:p>
            <w:pPr>
              <w:jc w:val="center"/>
              <w:rPr>
                <w:rFonts w:hint="eastAsia"/>
                <w:sz w:val="18"/>
                <w:szCs w:val="18"/>
              </w:rPr>
            </w:pPr>
            <w:r>
              <w:rPr>
                <w:rFonts w:hint="eastAsia"/>
                <w:sz w:val="18"/>
                <w:szCs w:val="18"/>
              </w:rPr>
              <w:t>8</w:t>
            </w:r>
          </w:p>
        </w:tc>
        <w:tc>
          <w:tcPr>
            <w:tcW w:w="1556" w:type="dxa"/>
            <w:noWrap w:val="0"/>
            <w:vAlign w:val="center"/>
          </w:tcPr>
          <w:p>
            <w:pPr>
              <w:jc w:val="center"/>
              <w:rPr>
                <w:rFonts w:hint="eastAsia"/>
                <w:sz w:val="18"/>
                <w:szCs w:val="18"/>
              </w:rPr>
            </w:pPr>
            <w:r>
              <w:rPr>
                <w:rFonts w:hint="eastAsia"/>
                <w:sz w:val="18"/>
                <w:szCs w:val="18"/>
              </w:rPr>
              <w:t>生料均化库顶</w:t>
            </w:r>
          </w:p>
        </w:tc>
        <w:tc>
          <w:tcPr>
            <w:tcW w:w="974" w:type="dxa"/>
            <w:noWrap w:val="0"/>
            <w:vAlign w:val="center"/>
          </w:tcPr>
          <w:p>
            <w:pPr>
              <w:jc w:val="center"/>
              <w:rPr>
                <w:rFonts w:hint="eastAsia"/>
                <w:sz w:val="18"/>
                <w:szCs w:val="18"/>
              </w:rPr>
            </w:pPr>
            <w:r>
              <w:rPr>
                <w:rFonts w:hint="eastAsia"/>
                <w:sz w:val="18"/>
                <w:szCs w:val="18"/>
              </w:rPr>
              <w:t>11000×2</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jc w:val="center"/>
              <w:rPr>
                <w:rFonts w:hint="eastAsia"/>
                <w:sz w:val="18"/>
                <w:szCs w:val="18"/>
              </w:rPr>
            </w:pPr>
            <w:r>
              <w:rPr>
                <w:rFonts w:hint="eastAsia"/>
                <w:sz w:val="18"/>
                <w:szCs w:val="18"/>
              </w:rPr>
              <w:t>7440</w:t>
            </w:r>
          </w:p>
        </w:tc>
        <w:tc>
          <w:tcPr>
            <w:tcW w:w="789" w:type="dxa"/>
            <w:noWrap w:val="0"/>
            <w:vAlign w:val="center"/>
          </w:tcPr>
          <w:p>
            <w:pPr>
              <w:jc w:val="center"/>
              <w:rPr>
                <w:rFonts w:hint="eastAsia"/>
                <w:sz w:val="18"/>
                <w:szCs w:val="18"/>
              </w:rPr>
            </w:pPr>
            <w:r>
              <w:rPr>
                <w:rFonts w:hint="eastAsia"/>
                <w:sz w:val="18"/>
                <w:szCs w:val="18"/>
              </w:rPr>
              <w:t>65</w:t>
            </w:r>
          </w:p>
        </w:tc>
        <w:tc>
          <w:tcPr>
            <w:tcW w:w="789" w:type="dxa"/>
            <w:noWrap w:val="0"/>
            <w:vAlign w:val="center"/>
          </w:tcPr>
          <w:p>
            <w:pPr>
              <w:jc w:val="center"/>
              <w:rPr>
                <w:rFonts w:hint="eastAsia"/>
                <w:sz w:val="18"/>
                <w:szCs w:val="18"/>
              </w:rPr>
            </w:pPr>
            <w:r>
              <w:rPr>
                <w:rFonts w:hint="eastAsia"/>
                <w:sz w:val="18"/>
                <w:szCs w:val="18"/>
              </w:rPr>
              <w:t>0.7</w:t>
            </w:r>
          </w:p>
        </w:tc>
        <w:tc>
          <w:tcPr>
            <w:tcW w:w="783" w:type="dxa"/>
            <w:noWrap w:val="0"/>
            <w:vAlign w:val="center"/>
          </w:tcPr>
          <w:p>
            <w:pPr>
              <w:jc w:val="center"/>
              <w:rPr>
                <w:rFonts w:hint="eastAsia"/>
                <w:sz w:val="18"/>
                <w:szCs w:val="18"/>
              </w:rPr>
            </w:pPr>
            <w:r>
              <w:rPr>
                <w:rFonts w:hint="eastAsia"/>
                <w:sz w:val="18"/>
                <w:szCs w:val="18"/>
              </w:rPr>
              <w:t>40</w:t>
            </w:r>
          </w:p>
        </w:tc>
        <w:tc>
          <w:tcPr>
            <w:tcW w:w="708" w:type="dxa"/>
            <w:noWrap w:val="0"/>
            <w:vAlign w:val="center"/>
          </w:tcPr>
          <w:p>
            <w:pPr>
              <w:jc w:val="center"/>
              <w:rPr>
                <w:rFonts w:hint="eastAsia"/>
                <w:sz w:val="18"/>
                <w:szCs w:val="18"/>
              </w:rPr>
            </w:pPr>
            <w:r>
              <w:rPr>
                <w:rFonts w:hint="eastAsia"/>
                <w:sz w:val="18"/>
                <w:szCs w:val="18"/>
              </w:rPr>
              <w:t>28</w:t>
            </w:r>
          </w:p>
        </w:tc>
        <w:tc>
          <w:tcPr>
            <w:tcW w:w="1020" w:type="dxa"/>
            <w:noWrap w:val="0"/>
            <w:vAlign w:val="center"/>
          </w:tcPr>
          <w:p>
            <w:pPr>
              <w:jc w:val="center"/>
              <w:rPr>
                <w:rFonts w:hint="eastAsia"/>
                <w:sz w:val="18"/>
                <w:szCs w:val="18"/>
              </w:rPr>
            </w:pPr>
            <w:r>
              <w:rPr>
                <w:rFonts w:hint="eastAsia"/>
                <w:snapToGrid w:val="0"/>
                <w:kern w:val="0"/>
                <w:sz w:val="18"/>
                <w:szCs w:val="18"/>
              </w:rPr>
              <w:t>308</w:t>
            </w:r>
            <w:r>
              <w:rPr>
                <w:rFonts w:hint="eastAsia" w:ascii="宋体" w:hAnsi="宋体"/>
                <w:snapToGrid w:val="0"/>
                <w:kern w:val="0"/>
                <w:sz w:val="18"/>
                <w:szCs w:val="18"/>
              </w:rPr>
              <w:t>×</w:t>
            </w:r>
            <w:r>
              <w:rPr>
                <w:rFonts w:hint="eastAsia"/>
                <w:snapToGrid w:val="0"/>
                <w:kern w:val="0"/>
                <w:sz w:val="18"/>
                <w:szCs w:val="18"/>
              </w:rPr>
              <w:t>2</w:t>
            </w:r>
          </w:p>
        </w:tc>
        <w:tc>
          <w:tcPr>
            <w:tcW w:w="1122" w:type="dxa"/>
            <w:noWrap w:val="0"/>
            <w:vAlign w:val="center"/>
          </w:tcPr>
          <w:p>
            <w:pPr>
              <w:jc w:val="center"/>
              <w:rPr>
                <w:rFonts w:hint="eastAsia"/>
                <w:sz w:val="18"/>
                <w:szCs w:val="18"/>
              </w:rPr>
            </w:pPr>
            <w:r>
              <w:rPr>
                <w:rFonts w:hint="eastAsia"/>
                <w:sz w:val="18"/>
                <w:szCs w:val="18"/>
              </w:rPr>
              <w:t>2291.52</w:t>
            </w:r>
            <w:r>
              <w:rPr>
                <w:rFonts w:hint="eastAsia" w:ascii="宋体" w:hAnsi="宋体"/>
                <w:snapToGrid w:val="0"/>
                <w:kern w:val="0"/>
                <w:sz w:val="18"/>
                <w:szCs w:val="18"/>
              </w:rPr>
              <w:t>×</w:t>
            </w:r>
            <w:r>
              <w:rPr>
                <w:rFonts w:hint="eastAsia"/>
                <w:snapToGrid w:val="0"/>
                <w:kern w:val="0"/>
                <w:sz w:val="18"/>
                <w:szCs w:val="18"/>
              </w:rPr>
              <w:t>2</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99.89</w:t>
            </w:r>
          </w:p>
        </w:tc>
        <w:tc>
          <w:tcPr>
            <w:tcW w:w="731" w:type="dxa"/>
            <w:noWrap w:val="0"/>
            <w:vAlign w:val="center"/>
          </w:tcPr>
          <w:p>
            <w:pPr>
              <w:jc w:val="center"/>
              <w:rPr>
                <w:rFonts w:hint="eastAsia"/>
                <w:sz w:val="18"/>
                <w:szCs w:val="18"/>
              </w:rPr>
            </w:pPr>
            <w:r>
              <w:rPr>
                <w:rFonts w:hint="eastAsia"/>
                <w:sz w:val="18"/>
                <w:szCs w:val="18"/>
              </w:rPr>
              <w:t>30</w:t>
            </w:r>
          </w:p>
        </w:tc>
        <w:tc>
          <w:tcPr>
            <w:tcW w:w="928" w:type="dxa"/>
            <w:noWrap w:val="0"/>
            <w:vAlign w:val="center"/>
          </w:tcPr>
          <w:p>
            <w:pPr>
              <w:jc w:val="center"/>
              <w:rPr>
                <w:rFonts w:hint="eastAsia"/>
                <w:sz w:val="18"/>
                <w:szCs w:val="18"/>
              </w:rPr>
            </w:pPr>
            <w:r>
              <w:rPr>
                <w:rFonts w:hint="eastAsia"/>
                <w:sz w:val="18"/>
                <w:szCs w:val="18"/>
              </w:rPr>
              <w:t>0.33</w:t>
            </w:r>
            <w:r>
              <w:rPr>
                <w:rFonts w:hint="eastAsia" w:ascii="宋体" w:hAnsi="宋体"/>
                <w:snapToGrid w:val="0"/>
                <w:kern w:val="0"/>
                <w:sz w:val="18"/>
                <w:szCs w:val="18"/>
              </w:rPr>
              <w:t>×</w:t>
            </w:r>
            <w:r>
              <w:rPr>
                <w:rFonts w:hint="eastAsia"/>
                <w:snapToGrid w:val="0"/>
                <w:kern w:val="0"/>
                <w:sz w:val="18"/>
                <w:szCs w:val="18"/>
              </w:rPr>
              <w:t>2</w:t>
            </w:r>
          </w:p>
        </w:tc>
        <w:tc>
          <w:tcPr>
            <w:tcW w:w="821" w:type="dxa"/>
            <w:noWrap w:val="0"/>
            <w:vAlign w:val="center"/>
          </w:tcPr>
          <w:p>
            <w:pPr>
              <w:jc w:val="center"/>
              <w:rPr>
                <w:rFonts w:hint="eastAsia"/>
                <w:sz w:val="18"/>
                <w:szCs w:val="18"/>
              </w:rPr>
            </w:pPr>
            <w:r>
              <w:rPr>
                <w:rFonts w:hint="eastAsia"/>
                <w:sz w:val="18"/>
                <w:szCs w:val="18"/>
              </w:rPr>
              <w:t>2.46</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noWrap w:val="0"/>
            <w:vAlign w:val="center"/>
          </w:tcPr>
          <w:p>
            <w:pPr>
              <w:jc w:val="center"/>
              <w:rPr>
                <w:rFonts w:hint="eastAsia"/>
                <w:sz w:val="18"/>
                <w:szCs w:val="18"/>
              </w:rPr>
            </w:pPr>
            <w:r>
              <w:rPr>
                <w:rFonts w:hint="eastAsia"/>
                <w:sz w:val="18"/>
                <w:szCs w:val="18"/>
              </w:rPr>
              <w:t>9</w:t>
            </w:r>
          </w:p>
        </w:tc>
        <w:tc>
          <w:tcPr>
            <w:tcW w:w="1556" w:type="dxa"/>
            <w:noWrap w:val="0"/>
            <w:vAlign w:val="center"/>
          </w:tcPr>
          <w:p>
            <w:pPr>
              <w:jc w:val="center"/>
              <w:rPr>
                <w:rFonts w:hint="eastAsia"/>
                <w:sz w:val="18"/>
                <w:szCs w:val="18"/>
              </w:rPr>
            </w:pPr>
            <w:r>
              <w:rPr>
                <w:rFonts w:hint="eastAsia"/>
                <w:sz w:val="18"/>
                <w:szCs w:val="18"/>
              </w:rPr>
              <w:t>生料均化库底</w:t>
            </w:r>
          </w:p>
        </w:tc>
        <w:tc>
          <w:tcPr>
            <w:tcW w:w="974" w:type="dxa"/>
            <w:noWrap w:val="0"/>
            <w:vAlign w:val="center"/>
          </w:tcPr>
          <w:p>
            <w:pPr>
              <w:jc w:val="center"/>
              <w:rPr>
                <w:rFonts w:hint="eastAsia"/>
                <w:sz w:val="18"/>
                <w:szCs w:val="18"/>
              </w:rPr>
            </w:pPr>
            <w:r>
              <w:rPr>
                <w:rFonts w:hint="eastAsia"/>
                <w:sz w:val="18"/>
                <w:szCs w:val="18"/>
              </w:rPr>
              <w:t>6700×2</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jc w:val="center"/>
              <w:rPr>
                <w:rFonts w:hint="eastAsia"/>
                <w:sz w:val="18"/>
                <w:szCs w:val="18"/>
              </w:rPr>
            </w:pPr>
            <w:r>
              <w:rPr>
                <w:rFonts w:hint="eastAsia"/>
                <w:sz w:val="18"/>
                <w:szCs w:val="18"/>
              </w:rPr>
              <w:t>7440</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jc w:val="center"/>
              <w:rPr>
                <w:rFonts w:hint="eastAsia"/>
                <w:sz w:val="18"/>
                <w:szCs w:val="18"/>
              </w:rPr>
            </w:pPr>
            <w:r>
              <w:rPr>
                <w:rFonts w:hint="eastAsia"/>
                <w:sz w:val="18"/>
                <w:szCs w:val="18"/>
              </w:rPr>
              <w:t>0.45</w:t>
            </w:r>
          </w:p>
        </w:tc>
        <w:tc>
          <w:tcPr>
            <w:tcW w:w="783" w:type="dxa"/>
            <w:noWrap w:val="0"/>
            <w:vAlign w:val="center"/>
          </w:tcPr>
          <w:p>
            <w:pPr>
              <w:jc w:val="center"/>
              <w:rPr>
                <w:rFonts w:hint="eastAsia"/>
                <w:sz w:val="18"/>
                <w:szCs w:val="18"/>
              </w:rPr>
            </w:pPr>
            <w:r>
              <w:rPr>
                <w:rFonts w:hint="eastAsia"/>
                <w:sz w:val="18"/>
                <w:szCs w:val="18"/>
              </w:rPr>
              <w:t>40</w:t>
            </w:r>
          </w:p>
        </w:tc>
        <w:tc>
          <w:tcPr>
            <w:tcW w:w="708" w:type="dxa"/>
            <w:noWrap w:val="0"/>
            <w:vAlign w:val="center"/>
          </w:tcPr>
          <w:p>
            <w:pPr>
              <w:jc w:val="center"/>
              <w:rPr>
                <w:rFonts w:hint="eastAsia"/>
                <w:sz w:val="18"/>
                <w:szCs w:val="18"/>
              </w:rPr>
            </w:pPr>
            <w:r>
              <w:rPr>
                <w:rFonts w:hint="eastAsia"/>
                <w:sz w:val="18"/>
                <w:szCs w:val="18"/>
              </w:rPr>
              <w:t>28</w:t>
            </w:r>
          </w:p>
        </w:tc>
        <w:tc>
          <w:tcPr>
            <w:tcW w:w="1020" w:type="dxa"/>
            <w:noWrap w:val="0"/>
            <w:vAlign w:val="center"/>
          </w:tcPr>
          <w:p>
            <w:pPr>
              <w:jc w:val="center"/>
              <w:rPr>
                <w:rFonts w:hint="eastAsia"/>
                <w:sz w:val="18"/>
                <w:szCs w:val="18"/>
              </w:rPr>
            </w:pPr>
            <w:r>
              <w:rPr>
                <w:rFonts w:hint="eastAsia"/>
                <w:sz w:val="18"/>
                <w:szCs w:val="18"/>
              </w:rPr>
              <w:t>187.6</w:t>
            </w:r>
            <w:r>
              <w:rPr>
                <w:rFonts w:hint="eastAsia" w:ascii="宋体" w:hAnsi="宋体"/>
                <w:snapToGrid w:val="0"/>
                <w:kern w:val="0"/>
                <w:sz w:val="18"/>
                <w:szCs w:val="18"/>
              </w:rPr>
              <w:t>×</w:t>
            </w:r>
            <w:r>
              <w:rPr>
                <w:rFonts w:hint="eastAsia"/>
                <w:snapToGrid w:val="0"/>
                <w:kern w:val="0"/>
                <w:sz w:val="18"/>
                <w:szCs w:val="18"/>
              </w:rPr>
              <w:t>2</w:t>
            </w:r>
          </w:p>
        </w:tc>
        <w:tc>
          <w:tcPr>
            <w:tcW w:w="1122" w:type="dxa"/>
            <w:noWrap w:val="0"/>
            <w:vAlign w:val="center"/>
          </w:tcPr>
          <w:p>
            <w:pPr>
              <w:jc w:val="center"/>
              <w:rPr>
                <w:rFonts w:hint="eastAsia"/>
                <w:sz w:val="18"/>
                <w:szCs w:val="18"/>
              </w:rPr>
            </w:pPr>
            <w:r>
              <w:rPr>
                <w:rFonts w:hint="eastAsia"/>
                <w:sz w:val="18"/>
                <w:szCs w:val="18"/>
              </w:rPr>
              <w:t>1395.74</w:t>
            </w:r>
            <w:r>
              <w:rPr>
                <w:rFonts w:hint="eastAsia" w:ascii="宋体" w:hAnsi="宋体"/>
                <w:snapToGrid w:val="0"/>
                <w:kern w:val="0"/>
                <w:sz w:val="18"/>
                <w:szCs w:val="18"/>
              </w:rPr>
              <w:t>×</w:t>
            </w:r>
            <w:r>
              <w:rPr>
                <w:rFonts w:hint="eastAsia"/>
                <w:snapToGrid w:val="0"/>
                <w:kern w:val="0"/>
                <w:sz w:val="18"/>
                <w:szCs w:val="18"/>
              </w:rPr>
              <w:t>2</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99.89</w:t>
            </w:r>
          </w:p>
        </w:tc>
        <w:tc>
          <w:tcPr>
            <w:tcW w:w="731" w:type="dxa"/>
            <w:noWrap w:val="0"/>
            <w:vAlign w:val="center"/>
          </w:tcPr>
          <w:p>
            <w:pPr>
              <w:jc w:val="center"/>
              <w:rPr>
                <w:rFonts w:hint="eastAsia"/>
                <w:sz w:val="18"/>
                <w:szCs w:val="18"/>
              </w:rPr>
            </w:pPr>
            <w:r>
              <w:rPr>
                <w:rFonts w:hint="eastAsia"/>
                <w:sz w:val="18"/>
                <w:szCs w:val="18"/>
              </w:rPr>
              <w:t>30</w:t>
            </w:r>
          </w:p>
        </w:tc>
        <w:tc>
          <w:tcPr>
            <w:tcW w:w="928" w:type="dxa"/>
            <w:noWrap w:val="0"/>
            <w:vAlign w:val="center"/>
          </w:tcPr>
          <w:p>
            <w:pPr>
              <w:jc w:val="center"/>
              <w:rPr>
                <w:rFonts w:hint="eastAsia"/>
                <w:sz w:val="18"/>
                <w:szCs w:val="18"/>
              </w:rPr>
            </w:pPr>
            <w:r>
              <w:rPr>
                <w:rFonts w:hint="eastAsia"/>
                <w:sz w:val="18"/>
                <w:szCs w:val="18"/>
              </w:rPr>
              <w:t>0.2</w:t>
            </w:r>
            <w:r>
              <w:rPr>
                <w:rFonts w:hint="eastAsia" w:ascii="宋体" w:hAnsi="宋体"/>
                <w:snapToGrid w:val="0"/>
                <w:kern w:val="0"/>
                <w:sz w:val="18"/>
                <w:szCs w:val="18"/>
              </w:rPr>
              <w:t>×</w:t>
            </w:r>
            <w:r>
              <w:rPr>
                <w:rFonts w:hint="eastAsia"/>
                <w:snapToGrid w:val="0"/>
                <w:kern w:val="0"/>
                <w:sz w:val="18"/>
                <w:szCs w:val="18"/>
              </w:rPr>
              <w:t>2</w:t>
            </w:r>
          </w:p>
        </w:tc>
        <w:tc>
          <w:tcPr>
            <w:tcW w:w="821" w:type="dxa"/>
            <w:noWrap w:val="0"/>
            <w:vAlign w:val="center"/>
          </w:tcPr>
          <w:p>
            <w:pPr>
              <w:jc w:val="center"/>
              <w:rPr>
                <w:rFonts w:hint="eastAsia"/>
                <w:sz w:val="18"/>
                <w:szCs w:val="18"/>
              </w:rPr>
            </w:pPr>
            <w:r>
              <w:rPr>
                <w:rFonts w:hint="eastAsia"/>
                <w:sz w:val="18"/>
                <w:szCs w:val="18"/>
              </w:rPr>
              <w:t>1.49</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noWrap w:val="0"/>
            <w:vAlign w:val="center"/>
          </w:tcPr>
          <w:p>
            <w:pPr>
              <w:jc w:val="center"/>
              <w:rPr>
                <w:rFonts w:hint="eastAsia"/>
                <w:sz w:val="18"/>
                <w:szCs w:val="18"/>
              </w:rPr>
            </w:pPr>
            <w:r>
              <w:rPr>
                <w:rFonts w:hint="eastAsia"/>
                <w:sz w:val="18"/>
                <w:szCs w:val="18"/>
              </w:rPr>
              <w:t>10</w:t>
            </w:r>
          </w:p>
        </w:tc>
        <w:tc>
          <w:tcPr>
            <w:tcW w:w="1556" w:type="dxa"/>
            <w:noWrap w:val="0"/>
            <w:vAlign w:val="center"/>
          </w:tcPr>
          <w:p>
            <w:pPr>
              <w:jc w:val="center"/>
              <w:rPr>
                <w:sz w:val="18"/>
                <w:szCs w:val="18"/>
              </w:rPr>
            </w:pPr>
            <w:r>
              <w:rPr>
                <w:rFonts w:hint="eastAsia"/>
                <w:sz w:val="18"/>
                <w:szCs w:val="18"/>
              </w:rPr>
              <w:t>窑头</w:t>
            </w:r>
          </w:p>
        </w:tc>
        <w:tc>
          <w:tcPr>
            <w:tcW w:w="974" w:type="dxa"/>
            <w:noWrap w:val="0"/>
            <w:vAlign w:val="center"/>
          </w:tcPr>
          <w:p>
            <w:pPr>
              <w:snapToGrid w:val="0"/>
              <w:spacing w:line="360" w:lineRule="exact"/>
              <w:jc w:val="center"/>
              <w:rPr>
                <w:rFonts w:hint="eastAsia"/>
                <w:sz w:val="18"/>
                <w:szCs w:val="18"/>
              </w:rPr>
            </w:pPr>
            <w:r>
              <w:rPr>
                <w:rFonts w:hint="eastAsia"/>
                <w:sz w:val="18"/>
                <w:szCs w:val="18"/>
              </w:rPr>
              <w:t>280000</w:t>
            </w:r>
          </w:p>
        </w:tc>
        <w:tc>
          <w:tcPr>
            <w:tcW w:w="607" w:type="dxa"/>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noWrap w:val="0"/>
            <w:vAlign w:val="center"/>
          </w:tcPr>
          <w:p>
            <w:pPr>
              <w:snapToGrid w:val="0"/>
              <w:spacing w:line="360" w:lineRule="exact"/>
              <w:jc w:val="center"/>
              <w:rPr>
                <w:rFonts w:hint="eastAsia"/>
                <w:sz w:val="18"/>
                <w:szCs w:val="18"/>
              </w:rPr>
            </w:pPr>
            <w:r>
              <w:rPr>
                <w:rFonts w:hint="eastAsia"/>
                <w:sz w:val="18"/>
                <w:szCs w:val="18"/>
              </w:rPr>
              <w:t>7440</w:t>
            </w:r>
          </w:p>
        </w:tc>
        <w:tc>
          <w:tcPr>
            <w:tcW w:w="789" w:type="dxa"/>
            <w:noWrap w:val="0"/>
            <w:vAlign w:val="center"/>
          </w:tcPr>
          <w:p>
            <w:pPr>
              <w:jc w:val="center"/>
              <w:rPr>
                <w:sz w:val="18"/>
                <w:szCs w:val="18"/>
              </w:rPr>
            </w:pPr>
            <w:r>
              <w:rPr>
                <w:rFonts w:hint="eastAsia"/>
                <w:sz w:val="18"/>
                <w:szCs w:val="18"/>
              </w:rPr>
              <w:t>40</w:t>
            </w:r>
          </w:p>
        </w:tc>
        <w:tc>
          <w:tcPr>
            <w:tcW w:w="789" w:type="dxa"/>
            <w:noWrap w:val="0"/>
            <w:vAlign w:val="center"/>
          </w:tcPr>
          <w:p>
            <w:pPr>
              <w:snapToGrid w:val="0"/>
              <w:spacing w:line="360" w:lineRule="exact"/>
              <w:jc w:val="center"/>
              <w:rPr>
                <w:rFonts w:hint="eastAsia"/>
                <w:sz w:val="18"/>
                <w:szCs w:val="18"/>
              </w:rPr>
            </w:pPr>
            <w:r>
              <w:rPr>
                <w:rFonts w:hint="eastAsia"/>
                <w:sz w:val="18"/>
                <w:szCs w:val="18"/>
              </w:rPr>
              <w:t>2.5</w:t>
            </w:r>
          </w:p>
        </w:tc>
        <w:tc>
          <w:tcPr>
            <w:tcW w:w="783" w:type="dxa"/>
            <w:noWrap w:val="0"/>
            <w:vAlign w:val="center"/>
          </w:tcPr>
          <w:p>
            <w:pPr>
              <w:snapToGrid w:val="0"/>
              <w:spacing w:line="360" w:lineRule="exact"/>
              <w:jc w:val="center"/>
              <w:rPr>
                <w:rFonts w:hint="eastAsia"/>
                <w:sz w:val="18"/>
                <w:szCs w:val="18"/>
              </w:rPr>
            </w:pPr>
            <w:r>
              <w:rPr>
                <w:rFonts w:hint="eastAsia"/>
                <w:sz w:val="18"/>
                <w:szCs w:val="18"/>
              </w:rPr>
              <w:t>150</w:t>
            </w:r>
          </w:p>
        </w:tc>
        <w:tc>
          <w:tcPr>
            <w:tcW w:w="708" w:type="dxa"/>
            <w:noWrap w:val="0"/>
            <w:vAlign w:val="center"/>
          </w:tcPr>
          <w:p>
            <w:pPr>
              <w:snapToGrid w:val="0"/>
              <w:spacing w:line="360" w:lineRule="exact"/>
              <w:jc w:val="center"/>
              <w:rPr>
                <w:rFonts w:hint="eastAsia"/>
                <w:sz w:val="18"/>
                <w:szCs w:val="18"/>
              </w:rPr>
            </w:pPr>
            <w:r>
              <w:rPr>
                <w:rFonts w:hint="eastAsia"/>
                <w:sz w:val="18"/>
                <w:szCs w:val="18"/>
              </w:rPr>
              <w:t>48</w:t>
            </w:r>
          </w:p>
        </w:tc>
        <w:tc>
          <w:tcPr>
            <w:tcW w:w="1020" w:type="dxa"/>
            <w:noWrap w:val="0"/>
            <w:vAlign w:val="center"/>
          </w:tcPr>
          <w:p>
            <w:pPr>
              <w:snapToGrid w:val="0"/>
              <w:spacing w:line="360" w:lineRule="exact"/>
              <w:jc w:val="center"/>
              <w:rPr>
                <w:rFonts w:hint="eastAsia"/>
                <w:sz w:val="18"/>
                <w:szCs w:val="18"/>
              </w:rPr>
            </w:pPr>
            <w:r>
              <w:rPr>
                <w:rFonts w:hint="eastAsia"/>
                <w:sz w:val="18"/>
                <w:szCs w:val="18"/>
              </w:rPr>
              <w:t>13440</w:t>
            </w:r>
          </w:p>
        </w:tc>
        <w:tc>
          <w:tcPr>
            <w:tcW w:w="1122" w:type="dxa"/>
            <w:noWrap w:val="0"/>
            <w:vAlign w:val="center"/>
          </w:tcPr>
          <w:p>
            <w:pPr>
              <w:snapToGrid w:val="0"/>
              <w:spacing w:line="360" w:lineRule="exact"/>
              <w:jc w:val="center"/>
              <w:rPr>
                <w:rFonts w:hint="eastAsia"/>
                <w:sz w:val="18"/>
                <w:szCs w:val="18"/>
              </w:rPr>
            </w:pPr>
            <w:r>
              <w:rPr>
                <w:rFonts w:hint="eastAsia"/>
                <w:sz w:val="18"/>
                <w:szCs w:val="18"/>
              </w:rPr>
              <w:t>9993.6</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99.94</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napToGrid w:val="0"/>
              <w:spacing w:line="360" w:lineRule="exact"/>
              <w:jc w:val="center"/>
              <w:rPr>
                <w:rFonts w:hint="eastAsia"/>
                <w:sz w:val="18"/>
                <w:szCs w:val="18"/>
              </w:rPr>
            </w:pPr>
            <w:r>
              <w:rPr>
                <w:rFonts w:hint="eastAsia"/>
                <w:sz w:val="18"/>
                <w:szCs w:val="18"/>
              </w:rPr>
              <w:t>8.4</w:t>
            </w:r>
          </w:p>
        </w:tc>
        <w:tc>
          <w:tcPr>
            <w:tcW w:w="821" w:type="dxa"/>
            <w:noWrap w:val="0"/>
            <w:vAlign w:val="center"/>
          </w:tcPr>
          <w:p>
            <w:pPr>
              <w:snapToGrid w:val="0"/>
              <w:spacing w:line="360" w:lineRule="exact"/>
              <w:jc w:val="center"/>
              <w:rPr>
                <w:rFonts w:hint="eastAsia"/>
                <w:sz w:val="18"/>
                <w:szCs w:val="18"/>
              </w:rPr>
            </w:pPr>
            <w:r>
              <w:rPr>
                <w:rFonts w:hint="eastAsia"/>
                <w:sz w:val="18"/>
                <w:szCs w:val="18"/>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11</w:t>
            </w:r>
          </w:p>
        </w:tc>
        <w:tc>
          <w:tcPr>
            <w:tcW w:w="1556" w:type="dxa"/>
            <w:shd w:val="clear" w:color="auto" w:fill="auto"/>
            <w:noWrap w:val="0"/>
            <w:vAlign w:val="center"/>
          </w:tcPr>
          <w:p>
            <w:pPr>
              <w:jc w:val="center"/>
              <w:rPr>
                <w:sz w:val="18"/>
                <w:szCs w:val="18"/>
              </w:rPr>
            </w:pPr>
            <w:r>
              <w:rPr>
                <w:rFonts w:hint="eastAsia"/>
                <w:sz w:val="18"/>
                <w:szCs w:val="18"/>
              </w:rPr>
              <w:t>熟料库底</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12000×2</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7440</w:t>
            </w:r>
          </w:p>
        </w:tc>
        <w:tc>
          <w:tcPr>
            <w:tcW w:w="789" w:type="dxa"/>
            <w:noWrap w:val="0"/>
            <w:vAlign w:val="center"/>
          </w:tcPr>
          <w:p>
            <w:pPr>
              <w:jc w:val="center"/>
              <w:rPr>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0.6</w:t>
            </w:r>
          </w:p>
        </w:tc>
        <w:tc>
          <w:tcPr>
            <w:tcW w:w="783" w:type="dxa"/>
            <w:noWrap w:val="0"/>
            <w:vAlign w:val="center"/>
          </w:tcPr>
          <w:p>
            <w:pPr>
              <w:snapToGrid w:val="0"/>
              <w:spacing w:line="360" w:lineRule="exact"/>
              <w:jc w:val="center"/>
              <w:rPr>
                <w:rFonts w:hint="eastAsia"/>
                <w:sz w:val="18"/>
                <w:szCs w:val="18"/>
              </w:rPr>
            </w:pPr>
            <w:r>
              <w:rPr>
                <w:rFonts w:hint="eastAsia"/>
                <w:sz w:val="18"/>
                <w:szCs w:val="18"/>
              </w:rPr>
              <w:t>40</w:t>
            </w:r>
          </w:p>
        </w:tc>
        <w:tc>
          <w:tcPr>
            <w:tcW w:w="708" w:type="dxa"/>
            <w:noWrap w:val="0"/>
            <w:vAlign w:val="center"/>
          </w:tcPr>
          <w:p>
            <w:pPr>
              <w:snapToGrid w:val="0"/>
              <w:spacing w:line="360" w:lineRule="exact"/>
              <w:jc w:val="center"/>
              <w:rPr>
                <w:rFonts w:hint="eastAsia"/>
                <w:sz w:val="18"/>
                <w:szCs w:val="18"/>
              </w:rPr>
            </w:pPr>
            <w:r>
              <w:rPr>
                <w:rFonts w:hint="eastAsia"/>
                <w:sz w:val="18"/>
                <w:szCs w:val="18"/>
              </w:rPr>
              <w:t>28</w:t>
            </w:r>
          </w:p>
        </w:tc>
        <w:tc>
          <w:tcPr>
            <w:tcW w:w="1020" w:type="dxa"/>
            <w:noWrap w:val="0"/>
            <w:vAlign w:val="center"/>
          </w:tcPr>
          <w:p>
            <w:pPr>
              <w:snapToGrid w:val="0"/>
              <w:spacing w:line="360" w:lineRule="exact"/>
              <w:jc w:val="center"/>
              <w:rPr>
                <w:rFonts w:hint="eastAsia"/>
                <w:sz w:val="18"/>
                <w:szCs w:val="18"/>
              </w:rPr>
            </w:pPr>
            <w:r>
              <w:rPr>
                <w:rFonts w:hint="eastAsia"/>
                <w:sz w:val="18"/>
                <w:szCs w:val="18"/>
              </w:rPr>
              <w:t>336×2</w:t>
            </w:r>
          </w:p>
        </w:tc>
        <w:tc>
          <w:tcPr>
            <w:tcW w:w="1122" w:type="dxa"/>
            <w:noWrap w:val="0"/>
            <w:vAlign w:val="center"/>
          </w:tcPr>
          <w:p>
            <w:pPr>
              <w:snapToGrid w:val="0"/>
              <w:spacing w:line="360" w:lineRule="exact"/>
              <w:jc w:val="center"/>
              <w:rPr>
                <w:rFonts w:hint="eastAsia"/>
                <w:sz w:val="18"/>
                <w:szCs w:val="18"/>
              </w:rPr>
            </w:pPr>
            <w:r>
              <w:rPr>
                <w:rFonts w:hint="eastAsia"/>
                <w:sz w:val="18"/>
                <w:szCs w:val="18"/>
              </w:rPr>
              <w:t>2499.84×2</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99.89</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0.36</w:t>
            </w:r>
            <w:r>
              <w:rPr>
                <w:rFonts w:hint="eastAsia" w:ascii="宋体" w:hAnsi="宋体"/>
                <w:snapToGrid w:val="0"/>
                <w:kern w:val="0"/>
                <w:sz w:val="18"/>
                <w:szCs w:val="18"/>
              </w:rPr>
              <w:t>×</w:t>
            </w:r>
            <w:r>
              <w:rPr>
                <w:rFonts w:hint="eastAsia"/>
                <w:snapToGrid w:val="0"/>
                <w:kern w:val="0"/>
                <w:sz w:val="18"/>
                <w:szCs w:val="18"/>
              </w:rPr>
              <w:t>2</w:t>
            </w:r>
          </w:p>
        </w:tc>
        <w:tc>
          <w:tcPr>
            <w:tcW w:w="821" w:type="dxa"/>
            <w:noWrap w:val="0"/>
            <w:vAlign w:val="center"/>
          </w:tcPr>
          <w:p>
            <w:pPr>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12</w:t>
            </w:r>
          </w:p>
        </w:tc>
        <w:tc>
          <w:tcPr>
            <w:tcW w:w="1556" w:type="dxa"/>
            <w:shd w:val="clear" w:color="auto" w:fill="auto"/>
            <w:noWrap w:val="0"/>
            <w:vAlign w:val="center"/>
          </w:tcPr>
          <w:p>
            <w:pPr>
              <w:jc w:val="center"/>
              <w:rPr>
                <w:sz w:val="18"/>
                <w:szCs w:val="18"/>
              </w:rPr>
            </w:pPr>
            <w:r>
              <w:rPr>
                <w:rFonts w:hint="eastAsia"/>
                <w:sz w:val="18"/>
                <w:szCs w:val="18"/>
              </w:rPr>
              <w:t>熟料库顶</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12000×2</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7440</w:t>
            </w:r>
          </w:p>
        </w:tc>
        <w:tc>
          <w:tcPr>
            <w:tcW w:w="789" w:type="dxa"/>
            <w:noWrap w:val="0"/>
            <w:vAlign w:val="center"/>
          </w:tcPr>
          <w:p>
            <w:pPr>
              <w:jc w:val="center"/>
              <w:rPr>
                <w:sz w:val="18"/>
                <w:szCs w:val="18"/>
              </w:rPr>
            </w:pPr>
            <w:r>
              <w:rPr>
                <w:rFonts w:hint="eastAsia"/>
                <w:sz w:val="18"/>
                <w:szCs w:val="18"/>
              </w:rPr>
              <w:t>50</w:t>
            </w:r>
          </w:p>
        </w:tc>
        <w:tc>
          <w:tcPr>
            <w:tcW w:w="789" w:type="dxa"/>
            <w:noWrap w:val="0"/>
            <w:vAlign w:val="center"/>
          </w:tcPr>
          <w:p>
            <w:pPr>
              <w:snapToGrid w:val="0"/>
              <w:spacing w:line="360" w:lineRule="exact"/>
              <w:jc w:val="center"/>
              <w:rPr>
                <w:rFonts w:hint="eastAsia"/>
                <w:sz w:val="18"/>
                <w:szCs w:val="18"/>
              </w:rPr>
            </w:pPr>
            <w:r>
              <w:rPr>
                <w:rFonts w:hint="eastAsia"/>
                <w:sz w:val="18"/>
                <w:szCs w:val="18"/>
              </w:rPr>
              <w:t>0.6</w:t>
            </w:r>
          </w:p>
        </w:tc>
        <w:tc>
          <w:tcPr>
            <w:tcW w:w="783" w:type="dxa"/>
            <w:noWrap w:val="0"/>
            <w:vAlign w:val="center"/>
          </w:tcPr>
          <w:p>
            <w:pPr>
              <w:snapToGrid w:val="0"/>
              <w:spacing w:line="360" w:lineRule="exact"/>
              <w:jc w:val="center"/>
              <w:rPr>
                <w:rFonts w:hint="eastAsia"/>
                <w:sz w:val="18"/>
                <w:szCs w:val="18"/>
              </w:rPr>
            </w:pPr>
            <w:r>
              <w:rPr>
                <w:rFonts w:hint="eastAsia"/>
                <w:sz w:val="18"/>
                <w:szCs w:val="18"/>
              </w:rPr>
              <w:t>40</w:t>
            </w:r>
          </w:p>
        </w:tc>
        <w:tc>
          <w:tcPr>
            <w:tcW w:w="708" w:type="dxa"/>
            <w:noWrap w:val="0"/>
            <w:vAlign w:val="center"/>
          </w:tcPr>
          <w:p>
            <w:pPr>
              <w:snapToGrid w:val="0"/>
              <w:spacing w:line="360" w:lineRule="exact"/>
              <w:jc w:val="center"/>
              <w:rPr>
                <w:rFonts w:hint="eastAsia"/>
                <w:sz w:val="18"/>
                <w:szCs w:val="18"/>
              </w:rPr>
            </w:pPr>
            <w:r>
              <w:rPr>
                <w:rFonts w:hint="eastAsia"/>
                <w:sz w:val="18"/>
                <w:szCs w:val="18"/>
              </w:rPr>
              <w:t>28</w:t>
            </w:r>
          </w:p>
        </w:tc>
        <w:tc>
          <w:tcPr>
            <w:tcW w:w="1020" w:type="dxa"/>
            <w:noWrap w:val="0"/>
            <w:vAlign w:val="center"/>
          </w:tcPr>
          <w:p>
            <w:pPr>
              <w:snapToGrid w:val="0"/>
              <w:spacing w:line="360" w:lineRule="exact"/>
              <w:jc w:val="center"/>
              <w:rPr>
                <w:rFonts w:hint="eastAsia"/>
                <w:sz w:val="18"/>
                <w:szCs w:val="18"/>
              </w:rPr>
            </w:pPr>
            <w:r>
              <w:rPr>
                <w:rFonts w:hint="eastAsia"/>
                <w:sz w:val="18"/>
                <w:szCs w:val="18"/>
              </w:rPr>
              <w:t>336×2</w:t>
            </w:r>
          </w:p>
        </w:tc>
        <w:tc>
          <w:tcPr>
            <w:tcW w:w="1122" w:type="dxa"/>
            <w:noWrap w:val="0"/>
            <w:vAlign w:val="center"/>
          </w:tcPr>
          <w:p>
            <w:pPr>
              <w:snapToGrid w:val="0"/>
              <w:spacing w:line="360" w:lineRule="exact"/>
              <w:jc w:val="center"/>
              <w:rPr>
                <w:rFonts w:hint="eastAsia"/>
                <w:sz w:val="18"/>
                <w:szCs w:val="18"/>
              </w:rPr>
            </w:pPr>
            <w:r>
              <w:rPr>
                <w:rFonts w:hint="eastAsia"/>
                <w:sz w:val="18"/>
                <w:szCs w:val="18"/>
              </w:rPr>
              <w:t>2499.84×2</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sz w:val="18"/>
                <w:szCs w:val="18"/>
              </w:rPr>
            </w:pPr>
            <w:r>
              <w:rPr>
                <w:rFonts w:hint="eastAsia"/>
                <w:sz w:val="18"/>
                <w:szCs w:val="18"/>
              </w:rPr>
              <w:t>99.89</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0.36</w:t>
            </w:r>
            <w:r>
              <w:rPr>
                <w:rFonts w:hint="eastAsia" w:ascii="宋体" w:hAnsi="宋体"/>
                <w:snapToGrid w:val="0"/>
                <w:kern w:val="0"/>
                <w:sz w:val="18"/>
                <w:szCs w:val="18"/>
              </w:rPr>
              <w:t>×</w:t>
            </w:r>
            <w:r>
              <w:rPr>
                <w:rFonts w:hint="eastAsia"/>
                <w:snapToGrid w:val="0"/>
                <w:kern w:val="0"/>
                <w:sz w:val="18"/>
                <w:szCs w:val="18"/>
              </w:rPr>
              <w:t>2</w:t>
            </w:r>
          </w:p>
        </w:tc>
        <w:tc>
          <w:tcPr>
            <w:tcW w:w="821" w:type="dxa"/>
            <w:noWrap w:val="0"/>
            <w:vAlign w:val="center"/>
          </w:tcPr>
          <w:p>
            <w:pPr>
              <w:spacing w:line="360" w:lineRule="exact"/>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13</w:t>
            </w:r>
          </w:p>
        </w:tc>
        <w:tc>
          <w:tcPr>
            <w:tcW w:w="1556" w:type="dxa"/>
            <w:shd w:val="clear" w:color="auto" w:fill="auto"/>
            <w:noWrap w:val="0"/>
            <w:vAlign w:val="center"/>
          </w:tcPr>
          <w:p>
            <w:pPr>
              <w:jc w:val="center"/>
              <w:rPr>
                <w:sz w:val="18"/>
                <w:szCs w:val="18"/>
              </w:rPr>
            </w:pPr>
            <w:r>
              <w:rPr>
                <w:rFonts w:hint="eastAsia"/>
                <w:sz w:val="18"/>
                <w:szCs w:val="18"/>
              </w:rPr>
              <w:t>煤粉制备</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42000</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5444</w:t>
            </w:r>
          </w:p>
        </w:tc>
        <w:tc>
          <w:tcPr>
            <w:tcW w:w="789" w:type="dxa"/>
            <w:noWrap w:val="0"/>
            <w:vAlign w:val="center"/>
          </w:tcPr>
          <w:p>
            <w:pPr>
              <w:jc w:val="center"/>
              <w:rPr>
                <w:sz w:val="18"/>
                <w:szCs w:val="18"/>
              </w:rPr>
            </w:pPr>
            <w:r>
              <w:rPr>
                <w:rFonts w:hint="eastAsia"/>
                <w:sz w:val="18"/>
                <w:szCs w:val="18"/>
              </w:rPr>
              <w:t>40</w:t>
            </w:r>
          </w:p>
        </w:tc>
        <w:tc>
          <w:tcPr>
            <w:tcW w:w="789" w:type="dxa"/>
            <w:noWrap w:val="0"/>
            <w:vAlign w:val="center"/>
          </w:tcPr>
          <w:p>
            <w:pPr>
              <w:snapToGrid w:val="0"/>
              <w:spacing w:line="360" w:lineRule="exact"/>
              <w:jc w:val="center"/>
              <w:rPr>
                <w:rFonts w:hint="eastAsia"/>
                <w:sz w:val="18"/>
                <w:szCs w:val="18"/>
              </w:rPr>
            </w:pPr>
            <w:r>
              <w:rPr>
                <w:rFonts w:hint="eastAsia"/>
                <w:sz w:val="18"/>
                <w:szCs w:val="18"/>
              </w:rPr>
              <w:t>0.8</w:t>
            </w:r>
          </w:p>
        </w:tc>
        <w:tc>
          <w:tcPr>
            <w:tcW w:w="783" w:type="dxa"/>
            <w:noWrap w:val="0"/>
            <w:vAlign w:val="center"/>
          </w:tcPr>
          <w:p>
            <w:pPr>
              <w:snapToGrid w:val="0"/>
              <w:spacing w:line="360" w:lineRule="exact"/>
              <w:jc w:val="center"/>
              <w:rPr>
                <w:rFonts w:hint="eastAsia"/>
                <w:sz w:val="18"/>
                <w:szCs w:val="18"/>
              </w:rPr>
            </w:pPr>
            <w:r>
              <w:rPr>
                <w:rFonts w:hint="eastAsia"/>
                <w:sz w:val="18"/>
                <w:szCs w:val="18"/>
              </w:rPr>
              <w:t>75</w:t>
            </w:r>
          </w:p>
        </w:tc>
        <w:tc>
          <w:tcPr>
            <w:tcW w:w="708" w:type="dxa"/>
            <w:noWrap w:val="0"/>
            <w:vAlign w:val="center"/>
          </w:tcPr>
          <w:p>
            <w:pPr>
              <w:snapToGrid w:val="0"/>
              <w:spacing w:line="360" w:lineRule="exact"/>
              <w:jc w:val="center"/>
              <w:rPr>
                <w:rFonts w:hint="eastAsia"/>
                <w:sz w:val="18"/>
                <w:szCs w:val="18"/>
              </w:rPr>
            </w:pPr>
            <w:r>
              <w:rPr>
                <w:rFonts w:hint="eastAsia"/>
                <w:sz w:val="18"/>
                <w:szCs w:val="18"/>
              </w:rPr>
              <w:t>28</w:t>
            </w:r>
          </w:p>
        </w:tc>
        <w:tc>
          <w:tcPr>
            <w:tcW w:w="1020" w:type="dxa"/>
            <w:noWrap w:val="0"/>
            <w:vAlign w:val="center"/>
          </w:tcPr>
          <w:p>
            <w:pPr>
              <w:snapToGrid w:val="0"/>
              <w:spacing w:line="360" w:lineRule="exact"/>
              <w:jc w:val="center"/>
              <w:rPr>
                <w:rFonts w:hint="eastAsia"/>
                <w:sz w:val="18"/>
                <w:szCs w:val="18"/>
              </w:rPr>
            </w:pPr>
            <w:r>
              <w:rPr>
                <w:rFonts w:hint="eastAsia"/>
                <w:sz w:val="18"/>
                <w:szCs w:val="18"/>
              </w:rPr>
              <w:t>1176</w:t>
            </w:r>
          </w:p>
        </w:tc>
        <w:tc>
          <w:tcPr>
            <w:tcW w:w="1122" w:type="dxa"/>
            <w:noWrap w:val="0"/>
            <w:vAlign w:val="center"/>
          </w:tcPr>
          <w:p>
            <w:pPr>
              <w:snapToGrid w:val="0"/>
              <w:spacing w:line="360" w:lineRule="exact"/>
              <w:jc w:val="center"/>
              <w:rPr>
                <w:rFonts w:hint="eastAsia"/>
                <w:sz w:val="18"/>
                <w:szCs w:val="18"/>
              </w:rPr>
            </w:pPr>
            <w:r>
              <w:rPr>
                <w:rFonts w:hint="eastAsia"/>
                <w:sz w:val="18"/>
                <w:szCs w:val="18"/>
              </w:rPr>
              <w:t>6402.14</w:t>
            </w:r>
          </w:p>
        </w:tc>
        <w:tc>
          <w:tcPr>
            <w:tcW w:w="1483" w:type="dxa"/>
            <w:noWrap w:val="0"/>
            <w:vAlign w:val="center"/>
          </w:tcPr>
          <w:p>
            <w:pPr>
              <w:jc w:val="center"/>
              <w:rPr>
                <w:sz w:val="18"/>
                <w:szCs w:val="18"/>
              </w:rPr>
            </w:pPr>
            <w:r>
              <w:rPr>
                <w:rFonts w:hint="eastAsia"/>
                <w:sz w:val="18"/>
                <w:szCs w:val="18"/>
              </w:rPr>
              <w:t>防爆型袋式除尘器</w:t>
            </w:r>
          </w:p>
        </w:tc>
        <w:tc>
          <w:tcPr>
            <w:tcW w:w="786" w:type="dxa"/>
            <w:noWrap w:val="0"/>
            <w:vAlign w:val="center"/>
          </w:tcPr>
          <w:p>
            <w:pPr>
              <w:jc w:val="center"/>
              <w:rPr>
                <w:sz w:val="18"/>
                <w:szCs w:val="18"/>
              </w:rPr>
            </w:pPr>
            <w:r>
              <w:rPr>
                <w:rFonts w:hint="eastAsia"/>
                <w:sz w:val="18"/>
                <w:szCs w:val="18"/>
              </w:rPr>
              <w:t>99.89</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1.26</w:t>
            </w:r>
          </w:p>
        </w:tc>
        <w:tc>
          <w:tcPr>
            <w:tcW w:w="821" w:type="dxa"/>
            <w:noWrap w:val="0"/>
            <w:vAlign w:val="center"/>
          </w:tcPr>
          <w:p>
            <w:pPr>
              <w:spacing w:line="360" w:lineRule="exact"/>
              <w:jc w:val="center"/>
              <w:rPr>
                <w:rFonts w:hint="eastAsia"/>
                <w:sz w:val="18"/>
                <w:szCs w:val="18"/>
              </w:rPr>
            </w:pPr>
            <w:r>
              <w:rPr>
                <w:rFonts w:hint="eastAsia"/>
                <w:sz w:val="18"/>
                <w:szCs w:val="18"/>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14</w:t>
            </w:r>
          </w:p>
        </w:tc>
        <w:tc>
          <w:tcPr>
            <w:tcW w:w="1556" w:type="dxa"/>
            <w:shd w:val="clear" w:color="auto" w:fill="auto"/>
            <w:noWrap w:val="0"/>
            <w:vAlign w:val="center"/>
          </w:tcPr>
          <w:p>
            <w:pPr>
              <w:jc w:val="center"/>
              <w:rPr>
                <w:rFonts w:hint="eastAsia"/>
                <w:sz w:val="18"/>
                <w:szCs w:val="18"/>
              </w:rPr>
            </w:pPr>
            <w:r>
              <w:rPr>
                <w:rFonts w:hint="eastAsia"/>
                <w:sz w:val="18"/>
                <w:szCs w:val="18"/>
              </w:rPr>
              <w:t>水泥配料</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6700×5</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6158</w:t>
            </w:r>
          </w:p>
        </w:tc>
        <w:tc>
          <w:tcPr>
            <w:tcW w:w="789" w:type="dxa"/>
            <w:noWrap w:val="0"/>
            <w:vAlign w:val="center"/>
          </w:tcPr>
          <w:p>
            <w:pPr>
              <w:jc w:val="center"/>
              <w:rPr>
                <w:rFonts w:hint="eastAsia"/>
                <w:sz w:val="18"/>
                <w:szCs w:val="18"/>
              </w:rPr>
            </w:pPr>
            <w:r>
              <w:rPr>
                <w:rFonts w:hint="eastAsia"/>
                <w:sz w:val="18"/>
                <w:szCs w:val="18"/>
              </w:rPr>
              <w:t>30</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10</w:t>
            </w:r>
          </w:p>
        </w:tc>
        <w:tc>
          <w:tcPr>
            <w:tcW w:w="1020" w:type="dxa"/>
            <w:noWrap w:val="0"/>
            <w:vAlign w:val="center"/>
          </w:tcPr>
          <w:p>
            <w:pPr>
              <w:snapToGrid w:val="0"/>
              <w:spacing w:line="360" w:lineRule="exact"/>
              <w:jc w:val="center"/>
              <w:rPr>
                <w:rFonts w:hint="eastAsia"/>
                <w:sz w:val="18"/>
                <w:szCs w:val="18"/>
              </w:rPr>
            </w:pPr>
            <w:r>
              <w:rPr>
                <w:rFonts w:hint="eastAsia"/>
                <w:sz w:val="18"/>
                <w:szCs w:val="18"/>
              </w:rPr>
              <w:t>67×5</w:t>
            </w:r>
          </w:p>
        </w:tc>
        <w:tc>
          <w:tcPr>
            <w:tcW w:w="1122" w:type="dxa"/>
            <w:noWrap w:val="0"/>
            <w:vAlign w:val="center"/>
          </w:tcPr>
          <w:p>
            <w:pPr>
              <w:snapToGrid w:val="0"/>
              <w:spacing w:line="360" w:lineRule="exact"/>
              <w:jc w:val="center"/>
              <w:rPr>
                <w:rFonts w:hint="eastAsia"/>
                <w:sz w:val="18"/>
                <w:szCs w:val="18"/>
              </w:rPr>
            </w:pPr>
            <w:r>
              <w:rPr>
                <w:rFonts w:hint="eastAsia"/>
                <w:sz w:val="18"/>
                <w:szCs w:val="18"/>
              </w:rPr>
              <w:t>412.59×5</w:t>
            </w:r>
          </w:p>
        </w:tc>
        <w:tc>
          <w:tcPr>
            <w:tcW w:w="1483" w:type="dxa"/>
            <w:noWrap w:val="0"/>
            <w:vAlign w:val="center"/>
          </w:tcPr>
          <w:p>
            <w:pPr>
              <w:jc w:val="center"/>
              <w:rPr>
                <w:rFonts w:hint="eastAsia"/>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99.7</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0.2×5</w:t>
            </w:r>
          </w:p>
        </w:tc>
        <w:tc>
          <w:tcPr>
            <w:tcW w:w="821" w:type="dxa"/>
            <w:noWrap w:val="0"/>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15</w:t>
            </w:r>
          </w:p>
        </w:tc>
        <w:tc>
          <w:tcPr>
            <w:tcW w:w="1556" w:type="dxa"/>
            <w:shd w:val="clear" w:color="auto" w:fill="auto"/>
            <w:noWrap w:val="0"/>
            <w:vAlign w:val="center"/>
          </w:tcPr>
          <w:p>
            <w:pPr>
              <w:jc w:val="center"/>
              <w:rPr>
                <w:rFonts w:hint="eastAsia"/>
                <w:sz w:val="18"/>
                <w:szCs w:val="18"/>
              </w:rPr>
            </w:pPr>
            <w:r>
              <w:rPr>
                <w:rFonts w:hint="eastAsia"/>
                <w:sz w:val="18"/>
                <w:szCs w:val="18"/>
              </w:rPr>
              <w:t>水泥配料</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6700×5</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6158</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snapToGrid w:val="0"/>
              <w:spacing w:line="360" w:lineRule="exact"/>
              <w:jc w:val="center"/>
              <w:rPr>
                <w:rFonts w:hint="eastAsia"/>
                <w:sz w:val="18"/>
                <w:szCs w:val="18"/>
              </w:rPr>
            </w:pPr>
            <w:r>
              <w:rPr>
                <w:rFonts w:hint="eastAsia"/>
                <w:sz w:val="18"/>
                <w:szCs w:val="18"/>
              </w:rPr>
              <w:t>10</w:t>
            </w:r>
          </w:p>
        </w:tc>
        <w:tc>
          <w:tcPr>
            <w:tcW w:w="1020" w:type="dxa"/>
            <w:noWrap w:val="0"/>
            <w:vAlign w:val="center"/>
          </w:tcPr>
          <w:p>
            <w:pPr>
              <w:snapToGrid w:val="0"/>
              <w:spacing w:line="360" w:lineRule="exact"/>
              <w:jc w:val="center"/>
              <w:rPr>
                <w:rFonts w:hint="eastAsia"/>
                <w:sz w:val="18"/>
                <w:szCs w:val="18"/>
              </w:rPr>
            </w:pPr>
            <w:r>
              <w:rPr>
                <w:rFonts w:hint="eastAsia"/>
                <w:sz w:val="18"/>
                <w:szCs w:val="18"/>
              </w:rPr>
              <w:t>67×5</w:t>
            </w:r>
          </w:p>
        </w:tc>
        <w:tc>
          <w:tcPr>
            <w:tcW w:w="1122" w:type="dxa"/>
            <w:noWrap w:val="0"/>
            <w:vAlign w:val="center"/>
          </w:tcPr>
          <w:p>
            <w:pPr>
              <w:snapToGrid w:val="0"/>
              <w:spacing w:line="360" w:lineRule="exact"/>
              <w:jc w:val="center"/>
              <w:rPr>
                <w:rFonts w:hint="eastAsia"/>
                <w:sz w:val="18"/>
                <w:szCs w:val="18"/>
              </w:rPr>
            </w:pPr>
            <w:r>
              <w:rPr>
                <w:rFonts w:hint="eastAsia"/>
                <w:sz w:val="18"/>
                <w:szCs w:val="18"/>
              </w:rPr>
              <w:t>412.59×5</w:t>
            </w:r>
          </w:p>
        </w:tc>
        <w:tc>
          <w:tcPr>
            <w:tcW w:w="1483" w:type="dxa"/>
            <w:noWrap w:val="0"/>
            <w:vAlign w:val="center"/>
          </w:tcPr>
          <w:p>
            <w:pPr>
              <w:jc w:val="center"/>
              <w:rPr>
                <w:rFonts w:hint="eastAsia"/>
                <w:sz w:val="18"/>
                <w:szCs w:val="18"/>
              </w:rPr>
            </w:pPr>
            <w:r>
              <w:rPr>
                <w:rFonts w:hint="eastAsia"/>
                <w:sz w:val="18"/>
                <w:szCs w:val="18"/>
              </w:rPr>
              <w:t>脉冲袋式除尘器</w:t>
            </w:r>
          </w:p>
        </w:tc>
        <w:tc>
          <w:tcPr>
            <w:tcW w:w="786" w:type="dxa"/>
            <w:noWrap w:val="0"/>
            <w:vAlign w:val="center"/>
          </w:tcPr>
          <w:p>
            <w:pPr>
              <w:jc w:val="center"/>
              <w:rPr>
                <w:rFonts w:hint="eastAsia"/>
                <w:sz w:val="18"/>
                <w:szCs w:val="18"/>
              </w:rPr>
            </w:pPr>
            <w:r>
              <w:rPr>
                <w:rFonts w:hint="eastAsia"/>
                <w:sz w:val="18"/>
                <w:szCs w:val="18"/>
              </w:rPr>
              <w:t>99.7</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0.2×5</w:t>
            </w:r>
          </w:p>
        </w:tc>
        <w:tc>
          <w:tcPr>
            <w:tcW w:w="821" w:type="dxa"/>
            <w:noWrap w:val="0"/>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16</w:t>
            </w:r>
          </w:p>
        </w:tc>
        <w:tc>
          <w:tcPr>
            <w:tcW w:w="1556" w:type="dxa"/>
            <w:shd w:val="clear" w:color="auto" w:fill="auto"/>
            <w:noWrap w:val="0"/>
            <w:vAlign w:val="center"/>
          </w:tcPr>
          <w:p>
            <w:pPr>
              <w:jc w:val="center"/>
              <w:rPr>
                <w:rFonts w:hint="eastAsia"/>
                <w:sz w:val="18"/>
                <w:szCs w:val="18"/>
              </w:rPr>
            </w:pPr>
            <w:r>
              <w:rPr>
                <w:rFonts w:hint="eastAsia"/>
                <w:sz w:val="18"/>
                <w:szCs w:val="18"/>
              </w:rPr>
              <w:t>水泥粉磨</w:t>
            </w:r>
          </w:p>
        </w:tc>
        <w:tc>
          <w:tcPr>
            <w:tcW w:w="974"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210000</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6774</w:t>
            </w:r>
          </w:p>
        </w:tc>
        <w:tc>
          <w:tcPr>
            <w:tcW w:w="789" w:type="dxa"/>
            <w:noWrap w:val="0"/>
            <w:vAlign w:val="center"/>
          </w:tcPr>
          <w:p>
            <w:pPr>
              <w:jc w:val="center"/>
              <w:rPr>
                <w:rFonts w:hint="eastAsia"/>
                <w:sz w:val="18"/>
                <w:szCs w:val="18"/>
              </w:rPr>
            </w:pPr>
            <w:r>
              <w:rPr>
                <w:rFonts w:hint="eastAsia"/>
                <w:sz w:val="18"/>
                <w:szCs w:val="18"/>
              </w:rPr>
              <w:t>40</w:t>
            </w:r>
          </w:p>
        </w:tc>
        <w:tc>
          <w:tcPr>
            <w:tcW w:w="789" w:type="dxa"/>
            <w:noWrap w:val="0"/>
            <w:vAlign w:val="center"/>
          </w:tcPr>
          <w:p>
            <w:pPr>
              <w:snapToGrid w:val="0"/>
              <w:spacing w:line="360" w:lineRule="exact"/>
              <w:jc w:val="center"/>
              <w:rPr>
                <w:rFonts w:hint="eastAsia"/>
                <w:sz w:val="18"/>
                <w:szCs w:val="18"/>
              </w:rPr>
            </w:pPr>
            <w:r>
              <w:rPr>
                <w:rFonts w:hint="eastAsia"/>
                <w:sz w:val="18"/>
                <w:szCs w:val="18"/>
              </w:rPr>
              <w:t>1.2</w:t>
            </w:r>
          </w:p>
        </w:tc>
        <w:tc>
          <w:tcPr>
            <w:tcW w:w="783" w:type="dxa"/>
            <w:noWrap w:val="0"/>
            <w:vAlign w:val="center"/>
          </w:tcPr>
          <w:p>
            <w:pPr>
              <w:snapToGrid w:val="0"/>
              <w:spacing w:line="360" w:lineRule="exact"/>
              <w:jc w:val="center"/>
              <w:rPr>
                <w:rFonts w:hint="eastAsia"/>
                <w:sz w:val="18"/>
                <w:szCs w:val="18"/>
              </w:rPr>
            </w:pPr>
            <w:r>
              <w:rPr>
                <w:rFonts w:hint="eastAsia"/>
                <w:sz w:val="18"/>
                <w:szCs w:val="18"/>
              </w:rPr>
              <w:t>60</w:t>
            </w:r>
          </w:p>
        </w:tc>
        <w:tc>
          <w:tcPr>
            <w:tcW w:w="708" w:type="dxa"/>
            <w:noWrap w:val="0"/>
            <w:vAlign w:val="center"/>
          </w:tcPr>
          <w:p>
            <w:pPr>
              <w:snapToGrid w:val="0"/>
              <w:spacing w:line="360" w:lineRule="exact"/>
              <w:jc w:val="center"/>
              <w:rPr>
                <w:rFonts w:hint="eastAsia"/>
                <w:sz w:val="18"/>
                <w:szCs w:val="18"/>
              </w:rPr>
            </w:pPr>
            <w:r>
              <w:rPr>
                <w:rFonts w:hint="eastAsia"/>
                <w:sz w:val="18"/>
                <w:szCs w:val="18"/>
              </w:rPr>
              <w:t>28</w:t>
            </w:r>
          </w:p>
        </w:tc>
        <w:tc>
          <w:tcPr>
            <w:tcW w:w="1020" w:type="dxa"/>
            <w:noWrap w:val="0"/>
            <w:vAlign w:val="center"/>
          </w:tcPr>
          <w:p>
            <w:pPr>
              <w:snapToGrid w:val="0"/>
              <w:spacing w:line="360" w:lineRule="exact"/>
              <w:jc w:val="center"/>
              <w:rPr>
                <w:rFonts w:hint="eastAsia"/>
                <w:sz w:val="18"/>
                <w:szCs w:val="18"/>
              </w:rPr>
            </w:pPr>
            <w:r>
              <w:rPr>
                <w:rFonts w:hint="eastAsia"/>
                <w:sz w:val="18"/>
                <w:szCs w:val="18"/>
              </w:rPr>
              <w:t>5880</w:t>
            </w:r>
          </w:p>
        </w:tc>
        <w:tc>
          <w:tcPr>
            <w:tcW w:w="1122" w:type="dxa"/>
            <w:noWrap w:val="0"/>
            <w:vAlign w:val="center"/>
          </w:tcPr>
          <w:p>
            <w:pPr>
              <w:snapToGrid w:val="0"/>
              <w:spacing w:line="360" w:lineRule="exact"/>
              <w:jc w:val="center"/>
              <w:rPr>
                <w:rFonts w:hint="eastAsia"/>
                <w:sz w:val="18"/>
                <w:szCs w:val="18"/>
              </w:rPr>
            </w:pPr>
            <w:r>
              <w:rPr>
                <w:rFonts w:hint="eastAsia"/>
                <w:sz w:val="18"/>
                <w:szCs w:val="18"/>
              </w:rPr>
              <w:t>39831.12</w:t>
            </w:r>
          </w:p>
        </w:tc>
        <w:tc>
          <w:tcPr>
            <w:tcW w:w="1483" w:type="dxa"/>
            <w:noWrap w:val="0"/>
            <w:vAlign w:val="center"/>
          </w:tcPr>
          <w:p>
            <w:pPr>
              <w:jc w:val="center"/>
              <w:rPr>
                <w:rFonts w:hint="eastAsia"/>
                <w:sz w:val="18"/>
                <w:szCs w:val="18"/>
              </w:rPr>
            </w:pPr>
            <w:r>
              <w:rPr>
                <w:rFonts w:hint="eastAsia"/>
                <w:sz w:val="18"/>
                <w:szCs w:val="18"/>
              </w:rPr>
              <w:t>脉冲袋式除尘器</w:t>
            </w:r>
          </w:p>
        </w:tc>
        <w:tc>
          <w:tcPr>
            <w:tcW w:w="786" w:type="dxa"/>
            <w:noWrap w:val="0"/>
            <w:vAlign w:val="center"/>
          </w:tcPr>
          <w:p>
            <w:pPr>
              <w:jc w:val="center"/>
              <w:rPr>
                <w:sz w:val="18"/>
                <w:szCs w:val="18"/>
              </w:rPr>
            </w:pPr>
            <w:r>
              <w:rPr>
                <w:rFonts w:hint="eastAsia"/>
                <w:sz w:val="18"/>
                <w:szCs w:val="18"/>
              </w:rPr>
              <w:t>99.89</w:t>
            </w:r>
          </w:p>
        </w:tc>
        <w:tc>
          <w:tcPr>
            <w:tcW w:w="731" w:type="dxa"/>
            <w:noWrap w:val="0"/>
            <w:vAlign w:val="center"/>
          </w:tcPr>
          <w:p>
            <w:pPr>
              <w:spacing w:line="360" w:lineRule="exact"/>
              <w:jc w:val="center"/>
              <w:rPr>
                <w:rFonts w:hint="eastAsia"/>
                <w:sz w:val="18"/>
                <w:szCs w:val="18"/>
              </w:rPr>
            </w:pPr>
            <w:r>
              <w:rPr>
                <w:rFonts w:hint="eastAsia"/>
                <w:sz w:val="18"/>
                <w:szCs w:val="18"/>
              </w:rPr>
              <w:t>30</w:t>
            </w:r>
          </w:p>
        </w:tc>
        <w:tc>
          <w:tcPr>
            <w:tcW w:w="928" w:type="dxa"/>
            <w:noWrap w:val="0"/>
            <w:vAlign w:val="center"/>
          </w:tcPr>
          <w:p>
            <w:pPr>
              <w:spacing w:line="360" w:lineRule="exact"/>
              <w:jc w:val="center"/>
              <w:rPr>
                <w:rFonts w:hint="eastAsia"/>
                <w:sz w:val="18"/>
                <w:szCs w:val="18"/>
              </w:rPr>
            </w:pPr>
            <w:r>
              <w:rPr>
                <w:rFonts w:hint="eastAsia"/>
                <w:sz w:val="18"/>
                <w:szCs w:val="18"/>
              </w:rPr>
              <w:t>6.3</w:t>
            </w:r>
          </w:p>
        </w:tc>
        <w:tc>
          <w:tcPr>
            <w:tcW w:w="821" w:type="dxa"/>
            <w:noWrap w:val="0"/>
            <w:vAlign w:val="center"/>
          </w:tcPr>
          <w:p>
            <w:pPr>
              <w:spacing w:line="360" w:lineRule="exact"/>
              <w:jc w:val="center"/>
              <w:rPr>
                <w:rFonts w:hint="eastAsia"/>
                <w:sz w:val="18"/>
                <w:szCs w:val="18"/>
              </w:rPr>
            </w:pPr>
            <w:r>
              <w:rPr>
                <w:rFonts w:hint="eastAsia"/>
                <w:sz w:val="18"/>
                <w:szCs w:val="18"/>
              </w:rPr>
              <w:t>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17</w:t>
            </w:r>
          </w:p>
        </w:tc>
        <w:tc>
          <w:tcPr>
            <w:tcW w:w="1556" w:type="dxa"/>
            <w:shd w:val="clear" w:color="auto" w:fill="auto"/>
            <w:noWrap w:val="0"/>
            <w:vAlign w:val="center"/>
          </w:tcPr>
          <w:p>
            <w:pPr>
              <w:jc w:val="center"/>
              <w:rPr>
                <w:sz w:val="18"/>
                <w:szCs w:val="18"/>
              </w:rPr>
            </w:pPr>
            <w:r>
              <w:rPr>
                <w:rFonts w:hint="eastAsia"/>
                <w:sz w:val="18"/>
                <w:szCs w:val="18"/>
              </w:rPr>
              <w:t>水泥库顶</w:t>
            </w:r>
          </w:p>
        </w:tc>
        <w:tc>
          <w:tcPr>
            <w:tcW w:w="974" w:type="dxa"/>
            <w:shd w:val="clear" w:color="auto" w:fill="auto"/>
            <w:noWrap w:val="0"/>
            <w:vAlign w:val="center"/>
          </w:tcPr>
          <w:p>
            <w:pPr>
              <w:jc w:val="center"/>
              <w:rPr>
                <w:sz w:val="18"/>
                <w:szCs w:val="18"/>
              </w:rPr>
            </w:pPr>
            <w:r>
              <w:rPr>
                <w:rFonts w:hint="eastAsia"/>
                <w:sz w:val="18"/>
                <w:szCs w:val="18"/>
              </w:rPr>
              <w:t>8580×6</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jc w:val="center"/>
              <w:rPr>
                <w:rFonts w:hint="eastAsia"/>
                <w:sz w:val="18"/>
                <w:szCs w:val="18"/>
              </w:rPr>
            </w:pPr>
            <w:r>
              <w:rPr>
                <w:rFonts w:hint="eastAsia"/>
                <w:sz w:val="18"/>
                <w:szCs w:val="18"/>
              </w:rPr>
              <w:t>6875</w:t>
            </w:r>
          </w:p>
        </w:tc>
        <w:tc>
          <w:tcPr>
            <w:tcW w:w="789" w:type="dxa"/>
            <w:noWrap w:val="0"/>
            <w:vAlign w:val="center"/>
          </w:tcPr>
          <w:p>
            <w:pPr>
              <w:jc w:val="center"/>
              <w:rPr>
                <w:rFonts w:hint="eastAsia"/>
                <w:sz w:val="18"/>
                <w:szCs w:val="18"/>
              </w:rPr>
            </w:pPr>
            <w:r>
              <w:rPr>
                <w:rFonts w:hint="eastAsia"/>
                <w:sz w:val="18"/>
                <w:szCs w:val="18"/>
              </w:rPr>
              <w:t>50</w:t>
            </w:r>
          </w:p>
        </w:tc>
        <w:tc>
          <w:tcPr>
            <w:tcW w:w="789" w:type="dxa"/>
            <w:noWrap w:val="0"/>
            <w:vAlign w:val="center"/>
          </w:tcPr>
          <w:p>
            <w:pPr>
              <w:snapToGrid w:val="0"/>
              <w:spacing w:line="360" w:lineRule="exact"/>
              <w:jc w:val="center"/>
              <w:rPr>
                <w:rFonts w:hint="eastAsia"/>
                <w:sz w:val="18"/>
                <w:szCs w:val="18"/>
              </w:rPr>
            </w:pPr>
            <w:r>
              <w:rPr>
                <w:rFonts w:hint="eastAsia"/>
                <w:sz w:val="18"/>
                <w:szCs w:val="18"/>
              </w:rPr>
              <w:t>0.5</w:t>
            </w:r>
          </w:p>
        </w:tc>
        <w:tc>
          <w:tcPr>
            <w:tcW w:w="783" w:type="dxa"/>
            <w:noWrap w:val="0"/>
            <w:vAlign w:val="center"/>
          </w:tcPr>
          <w:p>
            <w:pPr>
              <w:snapToGrid w:val="0"/>
              <w:spacing w:line="360" w:lineRule="exact"/>
              <w:jc w:val="center"/>
              <w:rPr>
                <w:rFonts w:hint="eastAsia"/>
                <w:sz w:val="18"/>
                <w:szCs w:val="18"/>
              </w:rPr>
            </w:pPr>
            <w:r>
              <w:rPr>
                <w:rFonts w:hint="eastAsia"/>
                <w:sz w:val="18"/>
                <w:szCs w:val="18"/>
              </w:rPr>
              <w:t>40</w:t>
            </w:r>
          </w:p>
        </w:tc>
        <w:tc>
          <w:tcPr>
            <w:tcW w:w="708" w:type="dxa"/>
            <w:noWrap w:val="0"/>
            <w:vAlign w:val="center"/>
          </w:tcPr>
          <w:p>
            <w:pPr>
              <w:jc w:val="center"/>
              <w:rPr>
                <w:rFonts w:hint="eastAsia"/>
                <w:sz w:val="18"/>
                <w:szCs w:val="18"/>
              </w:rPr>
            </w:pPr>
            <w:r>
              <w:rPr>
                <w:rFonts w:hint="eastAsia"/>
                <w:sz w:val="18"/>
                <w:szCs w:val="18"/>
              </w:rPr>
              <w:t>28</w:t>
            </w:r>
          </w:p>
        </w:tc>
        <w:tc>
          <w:tcPr>
            <w:tcW w:w="1020" w:type="dxa"/>
            <w:noWrap w:val="0"/>
            <w:vAlign w:val="center"/>
          </w:tcPr>
          <w:p>
            <w:pPr>
              <w:jc w:val="center"/>
              <w:rPr>
                <w:rFonts w:hint="eastAsia"/>
                <w:sz w:val="18"/>
                <w:szCs w:val="18"/>
              </w:rPr>
            </w:pPr>
            <w:r>
              <w:rPr>
                <w:rFonts w:hint="eastAsia"/>
                <w:sz w:val="18"/>
                <w:szCs w:val="18"/>
              </w:rPr>
              <w:t>240.24×6</w:t>
            </w:r>
          </w:p>
        </w:tc>
        <w:tc>
          <w:tcPr>
            <w:tcW w:w="1122" w:type="dxa"/>
            <w:noWrap w:val="0"/>
            <w:vAlign w:val="center"/>
          </w:tcPr>
          <w:p>
            <w:pPr>
              <w:jc w:val="center"/>
              <w:rPr>
                <w:rFonts w:hint="eastAsia"/>
                <w:sz w:val="18"/>
                <w:szCs w:val="18"/>
              </w:rPr>
            </w:pPr>
            <w:r>
              <w:rPr>
                <w:rFonts w:hint="eastAsia"/>
                <w:sz w:val="18"/>
                <w:szCs w:val="18"/>
              </w:rPr>
              <w:t>1651.65×6</w:t>
            </w:r>
          </w:p>
        </w:tc>
        <w:tc>
          <w:tcPr>
            <w:tcW w:w="1483" w:type="dxa"/>
            <w:noWrap w:val="0"/>
            <w:vAlign w:val="center"/>
          </w:tcPr>
          <w:p>
            <w:pPr>
              <w:jc w:val="center"/>
              <w:rPr>
                <w:sz w:val="18"/>
                <w:szCs w:val="18"/>
              </w:rPr>
            </w:pPr>
            <w:r>
              <w:rPr>
                <w:rFonts w:hint="eastAsia"/>
                <w:sz w:val="18"/>
                <w:szCs w:val="18"/>
              </w:rPr>
              <w:t>脉冲袋式除尘器</w:t>
            </w:r>
          </w:p>
        </w:tc>
        <w:tc>
          <w:tcPr>
            <w:tcW w:w="786" w:type="dxa"/>
            <w:noWrap w:val="0"/>
            <w:vAlign w:val="center"/>
          </w:tcPr>
          <w:p>
            <w:pPr>
              <w:jc w:val="center"/>
              <w:rPr>
                <w:sz w:val="18"/>
                <w:szCs w:val="18"/>
              </w:rPr>
            </w:pPr>
            <w:r>
              <w:rPr>
                <w:rFonts w:hint="eastAsia"/>
                <w:sz w:val="18"/>
                <w:szCs w:val="18"/>
              </w:rPr>
              <w:t>99.89</w:t>
            </w:r>
          </w:p>
        </w:tc>
        <w:tc>
          <w:tcPr>
            <w:tcW w:w="731" w:type="dxa"/>
            <w:noWrap w:val="0"/>
            <w:vAlign w:val="center"/>
          </w:tcPr>
          <w:p>
            <w:pPr>
              <w:jc w:val="center"/>
              <w:rPr>
                <w:sz w:val="18"/>
                <w:szCs w:val="18"/>
              </w:rPr>
            </w:pPr>
            <w:r>
              <w:rPr>
                <w:rFonts w:hint="eastAsia"/>
                <w:snapToGrid w:val="0"/>
                <w:kern w:val="0"/>
                <w:sz w:val="18"/>
                <w:szCs w:val="18"/>
              </w:rPr>
              <w:t>30</w:t>
            </w:r>
          </w:p>
        </w:tc>
        <w:tc>
          <w:tcPr>
            <w:tcW w:w="928" w:type="dxa"/>
            <w:noWrap w:val="0"/>
            <w:vAlign w:val="center"/>
          </w:tcPr>
          <w:p>
            <w:pPr>
              <w:jc w:val="center"/>
              <w:rPr>
                <w:rFonts w:hint="eastAsia" w:ascii="宋体" w:hAnsi="宋体" w:cs="宋体"/>
                <w:sz w:val="18"/>
                <w:szCs w:val="18"/>
              </w:rPr>
            </w:pPr>
            <w:r>
              <w:rPr>
                <w:rFonts w:hint="eastAsia" w:ascii="宋体" w:hAnsi="宋体" w:cs="宋体"/>
                <w:sz w:val="18"/>
                <w:szCs w:val="18"/>
              </w:rPr>
              <w:t>0.26</w:t>
            </w:r>
            <w:r>
              <w:rPr>
                <w:rFonts w:hint="eastAsia"/>
                <w:sz w:val="18"/>
                <w:szCs w:val="18"/>
              </w:rPr>
              <w:t>×6</w:t>
            </w:r>
          </w:p>
        </w:tc>
        <w:tc>
          <w:tcPr>
            <w:tcW w:w="821" w:type="dxa"/>
            <w:noWrap w:val="0"/>
            <w:vAlign w:val="center"/>
          </w:tcPr>
          <w:p>
            <w:pPr>
              <w:jc w:val="center"/>
              <w:rPr>
                <w:rFonts w:ascii="宋体" w:hAnsi="宋体" w:cs="宋体"/>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18</w:t>
            </w:r>
          </w:p>
        </w:tc>
        <w:tc>
          <w:tcPr>
            <w:tcW w:w="1556" w:type="dxa"/>
            <w:shd w:val="clear" w:color="auto" w:fill="auto"/>
            <w:noWrap w:val="0"/>
            <w:vAlign w:val="center"/>
          </w:tcPr>
          <w:p>
            <w:pPr>
              <w:jc w:val="center"/>
              <w:rPr>
                <w:sz w:val="18"/>
                <w:szCs w:val="18"/>
              </w:rPr>
            </w:pPr>
            <w:r>
              <w:rPr>
                <w:rFonts w:hint="eastAsia"/>
                <w:sz w:val="18"/>
                <w:szCs w:val="18"/>
              </w:rPr>
              <w:t>水泥库底</w:t>
            </w:r>
          </w:p>
        </w:tc>
        <w:tc>
          <w:tcPr>
            <w:tcW w:w="974" w:type="dxa"/>
            <w:shd w:val="clear" w:color="auto" w:fill="auto"/>
            <w:noWrap w:val="0"/>
            <w:vAlign w:val="center"/>
          </w:tcPr>
          <w:p>
            <w:pPr>
              <w:jc w:val="center"/>
              <w:rPr>
                <w:sz w:val="18"/>
                <w:szCs w:val="18"/>
              </w:rPr>
            </w:pPr>
            <w:r>
              <w:rPr>
                <w:rFonts w:hint="eastAsia"/>
                <w:sz w:val="18"/>
                <w:szCs w:val="18"/>
              </w:rPr>
              <w:t>8580×6</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jc w:val="center"/>
              <w:rPr>
                <w:rFonts w:hint="eastAsia"/>
                <w:sz w:val="18"/>
                <w:szCs w:val="18"/>
              </w:rPr>
            </w:pPr>
            <w:r>
              <w:rPr>
                <w:rFonts w:hint="eastAsia"/>
                <w:sz w:val="18"/>
                <w:szCs w:val="18"/>
              </w:rPr>
              <w:t>6875</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0.5</w:t>
            </w:r>
          </w:p>
        </w:tc>
        <w:tc>
          <w:tcPr>
            <w:tcW w:w="783" w:type="dxa"/>
            <w:noWrap w:val="0"/>
            <w:vAlign w:val="center"/>
          </w:tcPr>
          <w:p>
            <w:pPr>
              <w:snapToGrid w:val="0"/>
              <w:spacing w:line="360" w:lineRule="exact"/>
              <w:jc w:val="center"/>
              <w:rPr>
                <w:rFonts w:hint="eastAsia"/>
                <w:sz w:val="18"/>
                <w:szCs w:val="18"/>
              </w:rPr>
            </w:pPr>
            <w:r>
              <w:rPr>
                <w:rFonts w:hint="eastAsia"/>
                <w:sz w:val="18"/>
                <w:szCs w:val="18"/>
              </w:rPr>
              <w:t>40</w:t>
            </w:r>
          </w:p>
        </w:tc>
        <w:tc>
          <w:tcPr>
            <w:tcW w:w="708" w:type="dxa"/>
            <w:noWrap w:val="0"/>
            <w:vAlign w:val="center"/>
          </w:tcPr>
          <w:p>
            <w:pPr>
              <w:jc w:val="center"/>
              <w:rPr>
                <w:rFonts w:hint="eastAsia"/>
                <w:sz w:val="18"/>
                <w:szCs w:val="18"/>
              </w:rPr>
            </w:pPr>
            <w:r>
              <w:rPr>
                <w:rFonts w:hint="eastAsia"/>
                <w:sz w:val="18"/>
                <w:szCs w:val="18"/>
              </w:rPr>
              <w:t>28</w:t>
            </w:r>
          </w:p>
        </w:tc>
        <w:tc>
          <w:tcPr>
            <w:tcW w:w="1020" w:type="dxa"/>
            <w:noWrap w:val="0"/>
            <w:vAlign w:val="center"/>
          </w:tcPr>
          <w:p>
            <w:pPr>
              <w:jc w:val="center"/>
              <w:rPr>
                <w:rFonts w:hint="eastAsia"/>
                <w:sz w:val="18"/>
                <w:szCs w:val="18"/>
              </w:rPr>
            </w:pPr>
            <w:r>
              <w:rPr>
                <w:rFonts w:hint="eastAsia"/>
                <w:sz w:val="18"/>
                <w:szCs w:val="18"/>
              </w:rPr>
              <w:t>240.24×6</w:t>
            </w:r>
          </w:p>
        </w:tc>
        <w:tc>
          <w:tcPr>
            <w:tcW w:w="1122" w:type="dxa"/>
            <w:noWrap w:val="0"/>
            <w:vAlign w:val="center"/>
          </w:tcPr>
          <w:p>
            <w:pPr>
              <w:jc w:val="center"/>
              <w:rPr>
                <w:rFonts w:hint="eastAsia"/>
                <w:sz w:val="18"/>
                <w:szCs w:val="18"/>
              </w:rPr>
            </w:pPr>
            <w:r>
              <w:rPr>
                <w:rFonts w:hint="eastAsia"/>
                <w:sz w:val="18"/>
                <w:szCs w:val="18"/>
              </w:rPr>
              <w:t>1651.65×6</w:t>
            </w:r>
          </w:p>
        </w:tc>
        <w:tc>
          <w:tcPr>
            <w:tcW w:w="1483" w:type="dxa"/>
            <w:noWrap w:val="0"/>
            <w:vAlign w:val="center"/>
          </w:tcPr>
          <w:p>
            <w:pPr>
              <w:jc w:val="center"/>
              <w:rPr>
                <w:rFonts w:hint="eastAsia"/>
                <w:sz w:val="18"/>
                <w:szCs w:val="18"/>
              </w:rPr>
            </w:pPr>
            <w:r>
              <w:rPr>
                <w:rFonts w:hint="eastAsia"/>
                <w:sz w:val="18"/>
                <w:szCs w:val="18"/>
              </w:rPr>
              <w:t>脉冲袋式除尘器</w:t>
            </w:r>
          </w:p>
        </w:tc>
        <w:tc>
          <w:tcPr>
            <w:tcW w:w="786" w:type="dxa"/>
            <w:noWrap w:val="0"/>
            <w:vAlign w:val="center"/>
          </w:tcPr>
          <w:p>
            <w:pPr>
              <w:jc w:val="center"/>
              <w:rPr>
                <w:sz w:val="18"/>
                <w:szCs w:val="18"/>
              </w:rPr>
            </w:pPr>
            <w:r>
              <w:rPr>
                <w:rFonts w:hint="eastAsia"/>
                <w:sz w:val="18"/>
                <w:szCs w:val="18"/>
              </w:rPr>
              <w:t>99.89</w:t>
            </w:r>
          </w:p>
        </w:tc>
        <w:tc>
          <w:tcPr>
            <w:tcW w:w="731" w:type="dxa"/>
            <w:noWrap w:val="0"/>
            <w:vAlign w:val="center"/>
          </w:tcPr>
          <w:p>
            <w:pPr>
              <w:jc w:val="center"/>
              <w:rPr>
                <w:rFonts w:hint="eastAsia"/>
                <w:snapToGrid w:val="0"/>
                <w:kern w:val="0"/>
                <w:sz w:val="18"/>
                <w:szCs w:val="18"/>
              </w:rPr>
            </w:pPr>
            <w:r>
              <w:rPr>
                <w:rFonts w:hint="eastAsia"/>
                <w:snapToGrid w:val="0"/>
                <w:kern w:val="0"/>
                <w:sz w:val="18"/>
                <w:szCs w:val="18"/>
              </w:rPr>
              <w:t>30</w:t>
            </w:r>
          </w:p>
        </w:tc>
        <w:tc>
          <w:tcPr>
            <w:tcW w:w="928" w:type="dxa"/>
            <w:noWrap w:val="0"/>
            <w:vAlign w:val="center"/>
          </w:tcPr>
          <w:p>
            <w:pPr>
              <w:jc w:val="center"/>
              <w:rPr>
                <w:rFonts w:hint="eastAsia" w:ascii="宋体" w:hAnsi="宋体" w:cs="宋体"/>
                <w:sz w:val="18"/>
                <w:szCs w:val="18"/>
              </w:rPr>
            </w:pPr>
            <w:r>
              <w:rPr>
                <w:rFonts w:hint="eastAsia" w:ascii="宋体" w:hAnsi="宋体" w:cs="宋体"/>
                <w:sz w:val="18"/>
                <w:szCs w:val="18"/>
              </w:rPr>
              <w:t>0.26</w:t>
            </w:r>
            <w:r>
              <w:rPr>
                <w:rFonts w:hint="eastAsia"/>
                <w:sz w:val="18"/>
                <w:szCs w:val="18"/>
              </w:rPr>
              <w:t>×6</w:t>
            </w:r>
          </w:p>
        </w:tc>
        <w:tc>
          <w:tcPr>
            <w:tcW w:w="821" w:type="dxa"/>
            <w:noWrap w:val="0"/>
            <w:vAlign w:val="center"/>
          </w:tcPr>
          <w:p>
            <w:pPr>
              <w:jc w:val="center"/>
              <w:rPr>
                <w:rFonts w:hint="eastAsia"/>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19</w:t>
            </w:r>
          </w:p>
        </w:tc>
        <w:tc>
          <w:tcPr>
            <w:tcW w:w="1556" w:type="dxa"/>
            <w:shd w:val="clear" w:color="auto" w:fill="auto"/>
            <w:noWrap w:val="0"/>
            <w:vAlign w:val="center"/>
          </w:tcPr>
          <w:p>
            <w:pPr>
              <w:jc w:val="center"/>
              <w:rPr>
                <w:rFonts w:hint="eastAsia"/>
                <w:sz w:val="18"/>
                <w:szCs w:val="18"/>
              </w:rPr>
            </w:pPr>
            <w:r>
              <w:rPr>
                <w:rFonts w:hint="eastAsia"/>
                <w:sz w:val="18"/>
                <w:szCs w:val="18"/>
              </w:rPr>
              <w:t>水泥散装</w:t>
            </w:r>
          </w:p>
        </w:tc>
        <w:tc>
          <w:tcPr>
            <w:tcW w:w="974" w:type="dxa"/>
            <w:shd w:val="clear" w:color="auto" w:fill="auto"/>
            <w:noWrap w:val="0"/>
            <w:vAlign w:val="center"/>
          </w:tcPr>
          <w:p>
            <w:pPr>
              <w:jc w:val="center"/>
              <w:rPr>
                <w:rFonts w:hint="eastAsia"/>
                <w:sz w:val="18"/>
                <w:szCs w:val="18"/>
              </w:rPr>
            </w:pPr>
            <w:r>
              <w:rPr>
                <w:rFonts w:hint="eastAsia"/>
                <w:sz w:val="18"/>
                <w:szCs w:val="18"/>
              </w:rPr>
              <w:t>1600×2</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jc w:val="center"/>
              <w:rPr>
                <w:rFonts w:hint="eastAsia"/>
                <w:sz w:val="18"/>
                <w:szCs w:val="18"/>
              </w:rPr>
            </w:pPr>
            <w:r>
              <w:rPr>
                <w:rFonts w:hint="eastAsia"/>
                <w:sz w:val="18"/>
                <w:szCs w:val="18"/>
              </w:rPr>
              <w:t>3300</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jc w:val="center"/>
              <w:rPr>
                <w:rFonts w:hint="eastAsia"/>
                <w:sz w:val="18"/>
                <w:szCs w:val="18"/>
              </w:rPr>
            </w:pPr>
            <w:r>
              <w:rPr>
                <w:rFonts w:hint="eastAsia"/>
                <w:sz w:val="18"/>
                <w:szCs w:val="18"/>
              </w:rPr>
              <w:t>20</w:t>
            </w:r>
          </w:p>
        </w:tc>
        <w:tc>
          <w:tcPr>
            <w:tcW w:w="1020" w:type="dxa"/>
            <w:noWrap w:val="0"/>
            <w:vAlign w:val="center"/>
          </w:tcPr>
          <w:p>
            <w:pPr>
              <w:jc w:val="center"/>
              <w:rPr>
                <w:rFonts w:hint="eastAsia"/>
                <w:sz w:val="18"/>
                <w:szCs w:val="18"/>
              </w:rPr>
            </w:pPr>
            <w:r>
              <w:rPr>
                <w:rFonts w:hint="eastAsia"/>
                <w:sz w:val="18"/>
                <w:szCs w:val="18"/>
              </w:rPr>
              <w:t>32×2</w:t>
            </w:r>
          </w:p>
        </w:tc>
        <w:tc>
          <w:tcPr>
            <w:tcW w:w="1122" w:type="dxa"/>
            <w:noWrap w:val="0"/>
            <w:vAlign w:val="center"/>
          </w:tcPr>
          <w:p>
            <w:pPr>
              <w:jc w:val="center"/>
              <w:rPr>
                <w:rFonts w:hint="eastAsia"/>
                <w:sz w:val="18"/>
                <w:szCs w:val="18"/>
              </w:rPr>
            </w:pPr>
            <w:r>
              <w:rPr>
                <w:rFonts w:hint="eastAsia"/>
                <w:sz w:val="18"/>
                <w:szCs w:val="18"/>
              </w:rPr>
              <w:t>105.6×2</w:t>
            </w:r>
          </w:p>
        </w:tc>
        <w:tc>
          <w:tcPr>
            <w:tcW w:w="1483" w:type="dxa"/>
            <w:noWrap w:val="0"/>
            <w:vAlign w:val="center"/>
          </w:tcPr>
          <w:p>
            <w:pPr>
              <w:jc w:val="center"/>
              <w:rPr>
                <w:rFonts w:hint="eastAsia"/>
                <w:sz w:val="18"/>
                <w:szCs w:val="18"/>
              </w:rPr>
            </w:pPr>
            <w:r>
              <w:rPr>
                <w:rFonts w:hint="eastAsia"/>
                <w:sz w:val="18"/>
                <w:szCs w:val="18"/>
              </w:rPr>
              <w:t>单机布袋除尘器</w:t>
            </w:r>
          </w:p>
        </w:tc>
        <w:tc>
          <w:tcPr>
            <w:tcW w:w="786" w:type="dxa"/>
            <w:noWrap w:val="0"/>
            <w:vAlign w:val="center"/>
          </w:tcPr>
          <w:p>
            <w:pPr>
              <w:jc w:val="center"/>
              <w:rPr>
                <w:rFonts w:ascii="宋体" w:hAnsi="宋体" w:cs="宋体"/>
                <w:sz w:val="18"/>
                <w:szCs w:val="18"/>
              </w:rPr>
            </w:pPr>
            <w:r>
              <w:rPr>
                <w:rFonts w:hint="eastAsia" w:ascii="宋体" w:hAnsi="宋体" w:cs="宋体"/>
                <w:sz w:val="18"/>
                <w:szCs w:val="18"/>
              </w:rPr>
              <w:t>99.85</w:t>
            </w:r>
          </w:p>
        </w:tc>
        <w:tc>
          <w:tcPr>
            <w:tcW w:w="731" w:type="dxa"/>
            <w:noWrap w:val="0"/>
            <w:vAlign w:val="center"/>
          </w:tcPr>
          <w:p>
            <w:pPr>
              <w:jc w:val="center"/>
              <w:rPr>
                <w:rFonts w:hint="eastAsia"/>
                <w:snapToGrid w:val="0"/>
                <w:kern w:val="0"/>
                <w:sz w:val="18"/>
                <w:szCs w:val="18"/>
              </w:rPr>
            </w:pPr>
            <w:r>
              <w:rPr>
                <w:rFonts w:hint="eastAsia"/>
                <w:snapToGrid w:val="0"/>
                <w:kern w:val="0"/>
                <w:sz w:val="18"/>
                <w:szCs w:val="18"/>
              </w:rPr>
              <w:t>30</w:t>
            </w:r>
          </w:p>
        </w:tc>
        <w:tc>
          <w:tcPr>
            <w:tcW w:w="928" w:type="dxa"/>
            <w:noWrap w:val="0"/>
            <w:vAlign w:val="center"/>
          </w:tcPr>
          <w:p>
            <w:pPr>
              <w:jc w:val="center"/>
              <w:rPr>
                <w:rFonts w:hint="eastAsia"/>
                <w:sz w:val="18"/>
                <w:szCs w:val="18"/>
              </w:rPr>
            </w:pPr>
            <w:r>
              <w:rPr>
                <w:rFonts w:hint="eastAsia"/>
                <w:sz w:val="18"/>
                <w:szCs w:val="18"/>
              </w:rPr>
              <w:t>0.048×2</w:t>
            </w:r>
          </w:p>
        </w:tc>
        <w:tc>
          <w:tcPr>
            <w:tcW w:w="821" w:type="dxa"/>
            <w:noWrap w:val="0"/>
            <w:vAlign w:val="center"/>
          </w:tcPr>
          <w:p>
            <w:pPr>
              <w:jc w:val="center"/>
              <w:rPr>
                <w:rFonts w:hint="eastAsia"/>
                <w:sz w:val="18"/>
                <w:szCs w:val="18"/>
              </w:rPr>
            </w:pPr>
            <w:r>
              <w:rPr>
                <w:rFonts w:hint="eastAsia"/>
                <w:sz w:val="18"/>
                <w:szCs w:val="18"/>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588" w:type="dxa"/>
            <w:shd w:val="clear" w:color="auto" w:fill="auto"/>
            <w:noWrap w:val="0"/>
            <w:vAlign w:val="center"/>
          </w:tcPr>
          <w:p>
            <w:pPr>
              <w:jc w:val="center"/>
              <w:rPr>
                <w:rFonts w:hint="eastAsia"/>
                <w:sz w:val="18"/>
                <w:szCs w:val="18"/>
              </w:rPr>
            </w:pPr>
            <w:r>
              <w:rPr>
                <w:rFonts w:hint="eastAsia"/>
                <w:sz w:val="18"/>
                <w:szCs w:val="18"/>
              </w:rPr>
              <w:t>20</w:t>
            </w:r>
          </w:p>
        </w:tc>
        <w:tc>
          <w:tcPr>
            <w:tcW w:w="1556" w:type="dxa"/>
            <w:shd w:val="clear" w:color="auto" w:fill="auto"/>
            <w:noWrap w:val="0"/>
            <w:vAlign w:val="center"/>
          </w:tcPr>
          <w:p>
            <w:pPr>
              <w:jc w:val="center"/>
              <w:rPr>
                <w:rFonts w:hint="eastAsia"/>
                <w:sz w:val="18"/>
                <w:szCs w:val="18"/>
              </w:rPr>
            </w:pPr>
            <w:r>
              <w:rPr>
                <w:rFonts w:hint="eastAsia"/>
                <w:sz w:val="18"/>
                <w:szCs w:val="18"/>
              </w:rPr>
              <w:t>水泥包装</w:t>
            </w:r>
          </w:p>
        </w:tc>
        <w:tc>
          <w:tcPr>
            <w:tcW w:w="974" w:type="dxa"/>
            <w:shd w:val="clear" w:color="auto" w:fill="auto"/>
            <w:noWrap w:val="0"/>
            <w:vAlign w:val="center"/>
          </w:tcPr>
          <w:p>
            <w:pPr>
              <w:jc w:val="center"/>
              <w:rPr>
                <w:rFonts w:hint="eastAsia"/>
                <w:sz w:val="18"/>
                <w:szCs w:val="18"/>
              </w:rPr>
            </w:pPr>
            <w:r>
              <w:rPr>
                <w:rFonts w:hint="eastAsia"/>
                <w:sz w:val="18"/>
                <w:szCs w:val="18"/>
              </w:rPr>
              <w:t>6700×4</w:t>
            </w:r>
          </w:p>
        </w:tc>
        <w:tc>
          <w:tcPr>
            <w:tcW w:w="607" w:type="dxa"/>
            <w:shd w:val="clear" w:color="auto" w:fill="auto"/>
            <w:noWrap w:val="0"/>
            <w:vAlign w:val="center"/>
          </w:tcPr>
          <w:p>
            <w:pPr>
              <w:snapToGrid w:val="0"/>
              <w:spacing w:line="360" w:lineRule="exact"/>
              <w:jc w:val="center"/>
              <w:rPr>
                <w:rFonts w:hint="eastAsia"/>
                <w:sz w:val="18"/>
                <w:szCs w:val="18"/>
              </w:rPr>
            </w:pPr>
            <w:r>
              <w:rPr>
                <w:rFonts w:hint="eastAsia"/>
                <w:sz w:val="18"/>
                <w:szCs w:val="18"/>
              </w:rPr>
              <w:t>粉尘</w:t>
            </w:r>
          </w:p>
        </w:tc>
        <w:tc>
          <w:tcPr>
            <w:tcW w:w="769" w:type="dxa"/>
            <w:shd w:val="clear" w:color="auto" w:fill="auto"/>
            <w:noWrap w:val="0"/>
            <w:vAlign w:val="center"/>
          </w:tcPr>
          <w:p>
            <w:pPr>
              <w:jc w:val="center"/>
              <w:rPr>
                <w:rFonts w:hint="eastAsia"/>
                <w:sz w:val="18"/>
                <w:szCs w:val="18"/>
              </w:rPr>
            </w:pPr>
            <w:r>
              <w:rPr>
                <w:rFonts w:hint="eastAsia"/>
                <w:sz w:val="18"/>
                <w:szCs w:val="18"/>
              </w:rPr>
              <w:t>4263</w:t>
            </w:r>
          </w:p>
        </w:tc>
        <w:tc>
          <w:tcPr>
            <w:tcW w:w="789" w:type="dxa"/>
            <w:noWrap w:val="0"/>
            <w:vAlign w:val="center"/>
          </w:tcPr>
          <w:p>
            <w:pPr>
              <w:jc w:val="center"/>
              <w:rPr>
                <w:rFonts w:hint="eastAsia"/>
                <w:sz w:val="18"/>
                <w:szCs w:val="18"/>
              </w:rPr>
            </w:pPr>
            <w:r>
              <w:rPr>
                <w:rFonts w:hint="eastAsia"/>
                <w:sz w:val="18"/>
                <w:szCs w:val="18"/>
              </w:rPr>
              <w:t>15</w:t>
            </w:r>
          </w:p>
        </w:tc>
        <w:tc>
          <w:tcPr>
            <w:tcW w:w="789" w:type="dxa"/>
            <w:noWrap w:val="0"/>
            <w:vAlign w:val="center"/>
          </w:tcPr>
          <w:p>
            <w:pPr>
              <w:snapToGrid w:val="0"/>
              <w:spacing w:line="360" w:lineRule="exact"/>
              <w:jc w:val="center"/>
              <w:rPr>
                <w:rFonts w:hint="eastAsia"/>
                <w:sz w:val="18"/>
                <w:szCs w:val="18"/>
              </w:rPr>
            </w:pPr>
            <w:r>
              <w:rPr>
                <w:rFonts w:hint="eastAsia"/>
                <w:sz w:val="18"/>
                <w:szCs w:val="18"/>
              </w:rPr>
              <w:t>0.45</w:t>
            </w:r>
          </w:p>
        </w:tc>
        <w:tc>
          <w:tcPr>
            <w:tcW w:w="783" w:type="dxa"/>
            <w:noWrap w:val="0"/>
            <w:vAlign w:val="center"/>
          </w:tcPr>
          <w:p>
            <w:pPr>
              <w:snapToGrid w:val="0"/>
              <w:spacing w:line="360" w:lineRule="exact"/>
              <w:jc w:val="center"/>
              <w:rPr>
                <w:rFonts w:hint="eastAsia"/>
                <w:sz w:val="18"/>
                <w:szCs w:val="18"/>
              </w:rPr>
            </w:pPr>
            <w:r>
              <w:rPr>
                <w:rFonts w:hint="eastAsia"/>
                <w:sz w:val="18"/>
                <w:szCs w:val="18"/>
              </w:rPr>
              <w:t>20</w:t>
            </w:r>
          </w:p>
        </w:tc>
        <w:tc>
          <w:tcPr>
            <w:tcW w:w="708" w:type="dxa"/>
            <w:noWrap w:val="0"/>
            <w:vAlign w:val="center"/>
          </w:tcPr>
          <w:p>
            <w:pPr>
              <w:jc w:val="center"/>
              <w:rPr>
                <w:rFonts w:hint="eastAsia"/>
                <w:sz w:val="18"/>
                <w:szCs w:val="18"/>
              </w:rPr>
            </w:pPr>
            <w:r>
              <w:rPr>
                <w:rFonts w:hint="eastAsia"/>
                <w:sz w:val="18"/>
                <w:szCs w:val="18"/>
              </w:rPr>
              <w:t>20</w:t>
            </w:r>
          </w:p>
        </w:tc>
        <w:tc>
          <w:tcPr>
            <w:tcW w:w="1020" w:type="dxa"/>
            <w:noWrap w:val="0"/>
            <w:vAlign w:val="center"/>
          </w:tcPr>
          <w:p>
            <w:pPr>
              <w:jc w:val="center"/>
              <w:rPr>
                <w:rFonts w:hint="eastAsia"/>
                <w:sz w:val="18"/>
                <w:szCs w:val="18"/>
              </w:rPr>
            </w:pPr>
            <w:r>
              <w:rPr>
                <w:rFonts w:hint="eastAsia"/>
                <w:sz w:val="18"/>
                <w:szCs w:val="18"/>
              </w:rPr>
              <w:t>134×4</w:t>
            </w:r>
          </w:p>
        </w:tc>
        <w:tc>
          <w:tcPr>
            <w:tcW w:w="1122" w:type="dxa"/>
            <w:noWrap w:val="0"/>
            <w:vAlign w:val="center"/>
          </w:tcPr>
          <w:p>
            <w:pPr>
              <w:jc w:val="center"/>
              <w:rPr>
                <w:rFonts w:hint="eastAsia"/>
                <w:sz w:val="18"/>
                <w:szCs w:val="18"/>
              </w:rPr>
            </w:pPr>
            <w:r>
              <w:rPr>
                <w:rFonts w:hint="eastAsia"/>
                <w:sz w:val="18"/>
                <w:szCs w:val="18"/>
              </w:rPr>
              <w:t>571.24×4</w:t>
            </w:r>
          </w:p>
        </w:tc>
        <w:tc>
          <w:tcPr>
            <w:tcW w:w="1483" w:type="dxa"/>
            <w:noWrap w:val="0"/>
            <w:vAlign w:val="center"/>
          </w:tcPr>
          <w:p>
            <w:pPr>
              <w:jc w:val="center"/>
              <w:rPr>
                <w:rFonts w:hint="eastAsia"/>
                <w:sz w:val="18"/>
                <w:szCs w:val="18"/>
              </w:rPr>
            </w:pPr>
            <w:r>
              <w:rPr>
                <w:rFonts w:hint="eastAsia"/>
                <w:sz w:val="18"/>
                <w:szCs w:val="18"/>
              </w:rPr>
              <w:t>脉冲袋式除尘器</w:t>
            </w:r>
          </w:p>
        </w:tc>
        <w:tc>
          <w:tcPr>
            <w:tcW w:w="786" w:type="dxa"/>
            <w:noWrap w:val="0"/>
            <w:vAlign w:val="center"/>
          </w:tcPr>
          <w:p>
            <w:pPr>
              <w:jc w:val="center"/>
              <w:rPr>
                <w:rFonts w:ascii="宋体" w:hAnsi="宋体" w:cs="宋体"/>
                <w:sz w:val="18"/>
                <w:szCs w:val="18"/>
              </w:rPr>
            </w:pPr>
            <w:r>
              <w:rPr>
                <w:rFonts w:hint="eastAsia" w:ascii="宋体" w:hAnsi="宋体" w:cs="宋体"/>
                <w:sz w:val="18"/>
                <w:szCs w:val="18"/>
              </w:rPr>
              <w:t>99.85</w:t>
            </w:r>
          </w:p>
        </w:tc>
        <w:tc>
          <w:tcPr>
            <w:tcW w:w="731" w:type="dxa"/>
            <w:noWrap w:val="0"/>
            <w:vAlign w:val="center"/>
          </w:tcPr>
          <w:p>
            <w:pPr>
              <w:jc w:val="center"/>
              <w:rPr>
                <w:rFonts w:hint="eastAsia"/>
                <w:snapToGrid w:val="0"/>
                <w:kern w:val="0"/>
                <w:sz w:val="18"/>
                <w:szCs w:val="18"/>
              </w:rPr>
            </w:pPr>
            <w:r>
              <w:rPr>
                <w:rFonts w:hint="eastAsia"/>
                <w:snapToGrid w:val="0"/>
                <w:kern w:val="0"/>
                <w:sz w:val="18"/>
                <w:szCs w:val="18"/>
              </w:rPr>
              <w:t>30</w:t>
            </w:r>
          </w:p>
        </w:tc>
        <w:tc>
          <w:tcPr>
            <w:tcW w:w="928" w:type="dxa"/>
            <w:noWrap w:val="0"/>
            <w:vAlign w:val="center"/>
          </w:tcPr>
          <w:p>
            <w:pPr>
              <w:jc w:val="center"/>
              <w:rPr>
                <w:rFonts w:hint="eastAsia"/>
                <w:sz w:val="18"/>
                <w:szCs w:val="18"/>
              </w:rPr>
            </w:pPr>
            <w:r>
              <w:rPr>
                <w:rFonts w:hint="eastAsia"/>
                <w:sz w:val="18"/>
                <w:szCs w:val="18"/>
              </w:rPr>
              <w:t>0.2×4</w:t>
            </w:r>
          </w:p>
        </w:tc>
        <w:tc>
          <w:tcPr>
            <w:tcW w:w="821" w:type="dxa"/>
            <w:noWrap w:val="0"/>
            <w:vAlign w:val="center"/>
          </w:tcPr>
          <w:p>
            <w:pPr>
              <w:jc w:val="center"/>
              <w:rPr>
                <w:rFonts w:hint="eastAsia"/>
                <w:sz w:val="18"/>
                <w:szCs w:val="18"/>
              </w:rPr>
            </w:pPr>
            <w:r>
              <w:rPr>
                <w:rFonts w:hint="eastAsia"/>
                <w:sz w:val="18"/>
                <w:szCs w:val="18"/>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2144" w:type="dxa"/>
            <w:gridSpan w:val="2"/>
            <w:vMerge w:val="restart"/>
            <w:shd w:val="clear" w:color="auto" w:fill="auto"/>
            <w:noWrap w:val="0"/>
            <w:vAlign w:val="center"/>
          </w:tcPr>
          <w:p>
            <w:pPr>
              <w:jc w:val="center"/>
              <w:rPr>
                <w:rFonts w:hint="eastAsia"/>
                <w:sz w:val="18"/>
                <w:szCs w:val="18"/>
              </w:rPr>
            </w:pPr>
            <w:r>
              <w:rPr>
                <w:rFonts w:hint="eastAsia"/>
                <w:sz w:val="18"/>
                <w:szCs w:val="18"/>
                <w:lang w:val="de-DE"/>
              </w:rPr>
              <w:t>合计</w:t>
            </w:r>
          </w:p>
        </w:tc>
        <w:tc>
          <w:tcPr>
            <w:tcW w:w="974" w:type="dxa"/>
            <w:vMerge w:val="restart"/>
            <w:shd w:val="clear" w:color="auto" w:fill="auto"/>
            <w:noWrap w:val="0"/>
            <w:vAlign w:val="center"/>
          </w:tcPr>
          <w:p>
            <w:pPr>
              <w:jc w:val="center"/>
              <w:rPr>
                <w:rFonts w:hint="eastAsia"/>
                <w:sz w:val="18"/>
                <w:szCs w:val="18"/>
              </w:rPr>
            </w:pPr>
            <w:r>
              <w:rPr>
                <w:rFonts w:hint="eastAsia"/>
                <w:sz w:val="18"/>
                <w:szCs w:val="18"/>
              </w:rPr>
              <w:t>1312780</w:t>
            </w:r>
          </w:p>
        </w:tc>
        <w:tc>
          <w:tcPr>
            <w:tcW w:w="607" w:type="dxa"/>
            <w:shd w:val="clear" w:color="auto" w:fill="auto"/>
            <w:noWrap w:val="0"/>
            <w:vAlign w:val="center"/>
          </w:tcPr>
          <w:p>
            <w:pPr>
              <w:spacing w:line="200" w:lineRule="exact"/>
              <w:rPr>
                <w:rFonts w:hint="eastAsia"/>
                <w:sz w:val="18"/>
                <w:szCs w:val="18"/>
                <w:lang w:val="de-DE"/>
              </w:rPr>
            </w:pPr>
            <w:r>
              <w:rPr>
                <w:rFonts w:hint="eastAsia"/>
                <w:sz w:val="18"/>
                <w:szCs w:val="18"/>
                <w:lang w:val="de-DE"/>
              </w:rPr>
              <w:t>烟尘</w:t>
            </w:r>
          </w:p>
        </w:tc>
        <w:tc>
          <w:tcPr>
            <w:tcW w:w="769" w:type="dxa"/>
            <w:shd w:val="clear" w:color="auto" w:fill="auto"/>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3"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08"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1020" w:type="dxa"/>
            <w:noWrap w:val="0"/>
            <w:vAlign w:val="center"/>
          </w:tcPr>
          <w:p>
            <w:pPr>
              <w:jc w:val="center"/>
              <w:rPr>
                <w:rFonts w:hint="eastAsia"/>
                <w:sz w:val="18"/>
                <w:szCs w:val="18"/>
              </w:rPr>
            </w:pPr>
            <w:r>
              <w:rPr>
                <w:rFonts w:hint="eastAsia"/>
                <w:sz w:val="18"/>
                <w:szCs w:val="18"/>
              </w:rPr>
              <w:t>10368</w:t>
            </w:r>
          </w:p>
        </w:tc>
        <w:tc>
          <w:tcPr>
            <w:tcW w:w="1122" w:type="dxa"/>
            <w:noWrap w:val="0"/>
            <w:vAlign w:val="center"/>
          </w:tcPr>
          <w:p>
            <w:pPr>
              <w:snapToGrid w:val="0"/>
              <w:spacing w:line="360" w:lineRule="exact"/>
              <w:jc w:val="center"/>
              <w:rPr>
                <w:rFonts w:hint="eastAsia"/>
                <w:sz w:val="18"/>
                <w:szCs w:val="18"/>
              </w:rPr>
            </w:pPr>
            <w:r>
              <w:rPr>
                <w:rFonts w:hint="eastAsia"/>
                <w:sz w:val="18"/>
                <w:szCs w:val="18"/>
              </w:rPr>
              <w:t>77137.92</w:t>
            </w:r>
          </w:p>
        </w:tc>
        <w:tc>
          <w:tcPr>
            <w:tcW w:w="2269" w:type="dxa"/>
            <w:gridSpan w:val="2"/>
            <w:noWrap w:val="0"/>
            <w:vAlign w:val="center"/>
          </w:tcPr>
          <w:p>
            <w:pPr>
              <w:spacing w:line="200" w:lineRule="exact"/>
              <w:jc w:val="center"/>
              <w:rPr>
                <w:rFonts w:hint="eastAsia"/>
                <w:sz w:val="18"/>
                <w:szCs w:val="18"/>
                <w:lang w:val="de-DE"/>
              </w:rPr>
            </w:pPr>
            <w:r>
              <w:rPr>
                <w:rFonts w:hint="eastAsia"/>
                <w:sz w:val="18"/>
                <w:szCs w:val="18"/>
                <w:lang w:val="de-DE"/>
              </w:rPr>
              <w:t>/</w:t>
            </w:r>
          </w:p>
        </w:tc>
        <w:tc>
          <w:tcPr>
            <w:tcW w:w="731"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928" w:type="dxa"/>
            <w:noWrap w:val="0"/>
            <w:vAlign w:val="center"/>
          </w:tcPr>
          <w:p>
            <w:pPr>
              <w:jc w:val="center"/>
              <w:rPr>
                <w:rFonts w:hint="eastAsia"/>
                <w:sz w:val="18"/>
                <w:szCs w:val="18"/>
              </w:rPr>
            </w:pPr>
            <w:r>
              <w:rPr>
                <w:rFonts w:hint="eastAsia"/>
                <w:sz w:val="18"/>
                <w:szCs w:val="18"/>
              </w:rPr>
              <w:t>10.37</w:t>
            </w:r>
          </w:p>
        </w:tc>
        <w:tc>
          <w:tcPr>
            <w:tcW w:w="821" w:type="dxa"/>
            <w:noWrap w:val="0"/>
            <w:vAlign w:val="center"/>
          </w:tcPr>
          <w:p>
            <w:pPr>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2144" w:type="dxa"/>
            <w:gridSpan w:val="2"/>
            <w:vMerge w:val="continue"/>
            <w:shd w:val="clear" w:color="auto" w:fill="auto"/>
            <w:noWrap w:val="0"/>
            <w:vAlign w:val="center"/>
          </w:tcPr>
          <w:p>
            <w:pPr>
              <w:jc w:val="center"/>
              <w:rPr>
                <w:rFonts w:hint="eastAsia"/>
                <w:sz w:val="18"/>
                <w:szCs w:val="18"/>
              </w:rPr>
            </w:pPr>
          </w:p>
        </w:tc>
        <w:tc>
          <w:tcPr>
            <w:tcW w:w="974" w:type="dxa"/>
            <w:vMerge w:val="continue"/>
            <w:shd w:val="clear" w:color="auto" w:fill="auto"/>
            <w:noWrap w:val="0"/>
            <w:vAlign w:val="center"/>
          </w:tcPr>
          <w:p>
            <w:pPr>
              <w:jc w:val="center"/>
              <w:rPr>
                <w:rFonts w:hint="eastAsia"/>
                <w:sz w:val="18"/>
                <w:szCs w:val="18"/>
              </w:rPr>
            </w:pPr>
          </w:p>
        </w:tc>
        <w:tc>
          <w:tcPr>
            <w:tcW w:w="607" w:type="dxa"/>
            <w:shd w:val="clear" w:color="auto" w:fill="auto"/>
            <w:noWrap w:val="0"/>
            <w:vAlign w:val="center"/>
          </w:tcPr>
          <w:p>
            <w:pPr>
              <w:spacing w:line="200" w:lineRule="exact"/>
              <w:rPr>
                <w:rFonts w:hint="eastAsia"/>
                <w:sz w:val="18"/>
                <w:szCs w:val="18"/>
                <w:lang w:val="de-DE"/>
              </w:rPr>
            </w:pPr>
            <w:r>
              <w:rPr>
                <w:rFonts w:hint="eastAsia"/>
                <w:sz w:val="18"/>
                <w:szCs w:val="18"/>
                <w:lang w:val="de-DE"/>
              </w:rPr>
              <w:t>粉尘</w:t>
            </w:r>
          </w:p>
        </w:tc>
        <w:tc>
          <w:tcPr>
            <w:tcW w:w="769" w:type="dxa"/>
            <w:shd w:val="clear" w:color="auto" w:fill="auto"/>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3"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08"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1020" w:type="dxa"/>
            <w:noWrap w:val="0"/>
            <w:vAlign w:val="center"/>
          </w:tcPr>
          <w:p>
            <w:pPr>
              <w:jc w:val="center"/>
              <w:rPr>
                <w:rFonts w:hint="eastAsia"/>
                <w:sz w:val="21"/>
                <w:szCs w:val="21"/>
              </w:rPr>
            </w:pPr>
            <w:r>
              <w:rPr>
                <w:rFonts w:hint="eastAsia"/>
                <w:sz w:val="21"/>
                <w:szCs w:val="21"/>
              </w:rPr>
              <w:t>29077.28</w:t>
            </w:r>
          </w:p>
        </w:tc>
        <w:tc>
          <w:tcPr>
            <w:tcW w:w="1122" w:type="dxa"/>
            <w:noWrap w:val="0"/>
            <w:vAlign w:val="center"/>
          </w:tcPr>
          <w:p>
            <w:pPr>
              <w:snapToGrid w:val="0"/>
              <w:spacing w:line="360" w:lineRule="exact"/>
              <w:jc w:val="center"/>
              <w:rPr>
                <w:rFonts w:hint="eastAsia"/>
                <w:sz w:val="18"/>
                <w:szCs w:val="18"/>
              </w:rPr>
            </w:pPr>
            <w:r>
              <w:rPr>
                <w:rFonts w:hint="eastAsia"/>
                <w:sz w:val="18"/>
                <w:szCs w:val="18"/>
              </w:rPr>
              <w:t>106608.6</w:t>
            </w:r>
          </w:p>
        </w:tc>
        <w:tc>
          <w:tcPr>
            <w:tcW w:w="2269" w:type="dxa"/>
            <w:gridSpan w:val="2"/>
            <w:noWrap w:val="0"/>
            <w:vAlign w:val="center"/>
          </w:tcPr>
          <w:p>
            <w:pPr>
              <w:spacing w:line="200" w:lineRule="exact"/>
              <w:jc w:val="center"/>
              <w:rPr>
                <w:rFonts w:hint="eastAsia"/>
                <w:sz w:val="18"/>
                <w:szCs w:val="18"/>
                <w:lang w:val="de-DE"/>
              </w:rPr>
            </w:pPr>
            <w:r>
              <w:rPr>
                <w:rFonts w:hint="eastAsia"/>
                <w:sz w:val="18"/>
                <w:szCs w:val="18"/>
                <w:lang w:val="de-DE"/>
              </w:rPr>
              <w:t>/</w:t>
            </w:r>
          </w:p>
        </w:tc>
        <w:tc>
          <w:tcPr>
            <w:tcW w:w="731"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928" w:type="dxa"/>
            <w:noWrap w:val="0"/>
            <w:vAlign w:val="center"/>
          </w:tcPr>
          <w:p>
            <w:pPr>
              <w:jc w:val="center"/>
              <w:rPr>
                <w:rFonts w:hint="eastAsia"/>
                <w:sz w:val="18"/>
                <w:szCs w:val="18"/>
              </w:rPr>
            </w:pPr>
            <w:r>
              <w:rPr>
                <w:rFonts w:hint="eastAsia"/>
                <w:sz w:val="18"/>
                <w:szCs w:val="18"/>
              </w:rPr>
              <w:t>29.11</w:t>
            </w:r>
          </w:p>
        </w:tc>
        <w:tc>
          <w:tcPr>
            <w:tcW w:w="821" w:type="dxa"/>
            <w:noWrap w:val="0"/>
            <w:vAlign w:val="center"/>
          </w:tcPr>
          <w:p>
            <w:pPr>
              <w:snapToGrid w:val="0"/>
              <w:spacing w:line="360" w:lineRule="exact"/>
              <w:jc w:val="center"/>
              <w:rPr>
                <w:rFonts w:hint="eastAsia"/>
                <w:sz w:val="18"/>
                <w:szCs w:val="18"/>
              </w:rPr>
            </w:pPr>
            <w:r>
              <w:rPr>
                <w:rFonts w:hint="eastAsia"/>
                <w:sz w:val="18"/>
                <w:szCs w:val="18"/>
              </w:rPr>
              <w:t>184.22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2144" w:type="dxa"/>
            <w:gridSpan w:val="2"/>
            <w:vMerge w:val="continue"/>
            <w:shd w:val="clear" w:color="auto" w:fill="auto"/>
            <w:noWrap w:val="0"/>
            <w:vAlign w:val="center"/>
          </w:tcPr>
          <w:p>
            <w:pPr>
              <w:jc w:val="center"/>
              <w:rPr>
                <w:rFonts w:hint="eastAsia"/>
                <w:sz w:val="18"/>
                <w:szCs w:val="18"/>
              </w:rPr>
            </w:pPr>
          </w:p>
        </w:tc>
        <w:tc>
          <w:tcPr>
            <w:tcW w:w="974" w:type="dxa"/>
            <w:vMerge w:val="continue"/>
            <w:shd w:val="clear" w:color="auto" w:fill="auto"/>
            <w:noWrap w:val="0"/>
            <w:vAlign w:val="center"/>
          </w:tcPr>
          <w:p>
            <w:pPr>
              <w:jc w:val="center"/>
              <w:rPr>
                <w:rFonts w:hint="eastAsia"/>
                <w:sz w:val="18"/>
                <w:szCs w:val="18"/>
              </w:rPr>
            </w:pPr>
          </w:p>
        </w:tc>
        <w:tc>
          <w:tcPr>
            <w:tcW w:w="607" w:type="dxa"/>
            <w:shd w:val="clear" w:color="auto" w:fill="auto"/>
            <w:noWrap w:val="0"/>
            <w:vAlign w:val="center"/>
          </w:tcPr>
          <w:p>
            <w:pPr>
              <w:spacing w:line="200" w:lineRule="exact"/>
              <w:ind w:firstLine="67"/>
              <w:jc w:val="center"/>
              <w:rPr>
                <w:rFonts w:hint="eastAsia"/>
                <w:sz w:val="18"/>
                <w:szCs w:val="18"/>
                <w:lang w:val="de-DE"/>
              </w:rPr>
            </w:pPr>
            <w:r>
              <w:rPr>
                <w:rFonts w:hint="eastAsia"/>
                <w:sz w:val="18"/>
                <w:szCs w:val="18"/>
              </w:rPr>
              <w:t>SO</w:t>
            </w:r>
            <w:r>
              <w:rPr>
                <w:rFonts w:hint="eastAsia"/>
                <w:sz w:val="18"/>
                <w:szCs w:val="18"/>
                <w:vertAlign w:val="subscript"/>
              </w:rPr>
              <w:t>2</w:t>
            </w:r>
          </w:p>
        </w:tc>
        <w:tc>
          <w:tcPr>
            <w:tcW w:w="769" w:type="dxa"/>
            <w:shd w:val="clear" w:color="auto" w:fill="auto"/>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3"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708"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1020" w:type="dxa"/>
            <w:noWrap w:val="0"/>
            <w:vAlign w:val="center"/>
          </w:tcPr>
          <w:p>
            <w:pPr>
              <w:jc w:val="center"/>
              <w:rPr>
                <w:rFonts w:hint="eastAsia"/>
                <w:sz w:val="18"/>
                <w:szCs w:val="18"/>
              </w:rPr>
            </w:pPr>
            <w:r>
              <w:rPr>
                <w:rFonts w:hint="eastAsia"/>
                <w:sz w:val="18"/>
                <w:szCs w:val="18"/>
              </w:rPr>
              <w:t>32.19</w:t>
            </w:r>
          </w:p>
        </w:tc>
        <w:tc>
          <w:tcPr>
            <w:tcW w:w="1122" w:type="dxa"/>
            <w:noWrap w:val="0"/>
            <w:vAlign w:val="center"/>
          </w:tcPr>
          <w:p>
            <w:pPr>
              <w:jc w:val="center"/>
              <w:rPr>
                <w:rFonts w:hint="eastAsia"/>
                <w:sz w:val="18"/>
                <w:szCs w:val="18"/>
              </w:rPr>
            </w:pPr>
            <w:r>
              <w:rPr>
                <w:rFonts w:hint="eastAsia"/>
                <w:sz w:val="18"/>
                <w:szCs w:val="18"/>
              </w:rPr>
              <w:t>239.5</w:t>
            </w:r>
          </w:p>
        </w:tc>
        <w:tc>
          <w:tcPr>
            <w:tcW w:w="2269" w:type="dxa"/>
            <w:gridSpan w:val="2"/>
            <w:noWrap w:val="0"/>
            <w:vAlign w:val="center"/>
          </w:tcPr>
          <w:p>
            <w:pPr>
              <w:spacing w:line="200" w:lineRule="exact"/>
              <w:jc w:val="center"/>
              <w:rPr>
                <w:rFonts w:hint="eastAsia"/>
                <w:sz w:val="18"/>
                <w:szCs w:val="18"/>
                <w:lang w:val="de-DE"/>
              </w:rPr>
            </w:pPr>
            <w:r>
              <w:rPr>
                <w:rFonts w:hint="eastAsia"/>
                <w:sz w:val="18"/>
                <w:szCs w:val="18"/>
                <w:lang w:val="de-DE"/>
              </w:rPr>
              <w:t>/</w:t>
            </w:r>
          </w:p>
        </w:tc>
        <w:tc>
          <w:tcPr>
            <w:tcW w:w="731" w:type="dxa"/>
            <w:noWrap w:val="0"/>
            <w:vAlign w:val="center"/>
          </w:tcPr>
          <w:p>
            <w:pPr>
              <w:spacing w:line="200" w:lineRule="exact"/>
              <w:jc w:val="center"/>
              <w:rPr>
                <w:rFonts w:hint="eastAsia"/>
                <w:sz w:val="18"/>
                <w:szCs w:val="18"/>
                <w:lang w:val="de-DE"/>
              </w:rPr>
            </w:pPr>
            <w:r>
              <w:rPr>
                <w:rFonts w:hint="eastAsia"/>
                <w:sz w:val="18"/>
                <w:szCs w:val="18"/>
                <w:lang w:val="de-DE"/>
              </w:rPr>
              <w:t>/</w:t>
            </w:r>
          </w:p>
        </w:tc>
        <w:tc>
          <w:tcPr>
            <w:tcW w:w="928" w:type="dxa"/>
            <w:noWrap w:val="0"/>
            <w:vAlign w:val="center"/>
          </w:tcPr>
          <w:p>
            <w:pPr>
              <w:jc w:val="center"/>
              <w:rPr>
                <w:rFonts w:hint="eastAsia"/>
                <w:sz w:val="18"/>
                <w:szCs w:val="18"/>
              </w:rPr>
            </w:pPr>
            <w:r>
              <w:rPr>
                <w:rFonts w:hint="eastAsia"/>
                <w:sz w:val="18"/>
                <w:szCs w:val="18"/>
              </w:rPr>
              <w:t>32.19</w:t>
            </w:r>
          </w:p>
        </w:tc>
        <w:tc>
          <w:tcPr>
            <w:tcW w:w="821" w:type="dxa"/>
            <w:noWrap w:val="0"/>
            <w:vAlign w:val="center"/>
          </w:tcPr>
          <w:p>
            <w:pPr>
              <w:jc w:val="center"/>
              <w:rPr>
                <w:rFonts w:hint="eastAsia"/>
                <w:sz w:val="18"/>
                <w:szCs w:val="18"/>
              </w:rPr>
            </w:pPr>
            <w:r>
              <w:rPr>
                <w:rFonts w:hint="eastAsia"/>
                <w:sz w:val="18"/>
                <w:szCs w:val="18"/>
              </w:rPr>
              <w:t>239.5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2144" w:type="dxa"/>
            <w:gridSpan w:val="2"/>
            <w:vMerge w:val="continue"/>
            <w:tcBorders>
              <w:bottom w:val="single" w:color="auto" w:sz="4" w:space="0"/>
            </w:tcBorders>
            <w:shd w:val="clear" w:color="auto" w:fill="auto"/>
            <w:noWrap w:val="0"/>
            <w:vAlign w:val="center"/>
          </w:tcPr>
          <w:p>
            <w:pPr>
              <w:jc w:val="center"/>
              <w:rPr>
                <w:rFonts w:hint="eastAsia"/>
                <w:sz w:val="18"/>
                <w:szCs w:val="18"/>
              </w:rPr>
            </w:pPr>
          </w:p>
        </w:tc>
        <w:tc>
          <w:tcPr>
            <w:tcW w:w="974" w:type="dxa"/>
            <w:vMerge w:val="continue"/>
            <w:tcBorders>
              <w:bottom w:val="single" w:color="auto" w:sz="4" w:space="0"/>
            </w:tcBorders>
            <w:shd w:val="clear" w:color="auto" w:fill="auto"/>
            <w:noWrap w:val="0"/>
            <w:vAlign w:val="center"/>
          </w:tcPr>
          <w:p>
            <w:pPr>
              <w:jc w:val="center"/>
              <w:rPr>
                <w:rFonts w:hint="eastAsia"/>
                <w:sz w:val="18"/>
                <w:szCs w:val="18"/>
              </w:rPr>
            </w:pPr>
          </w:p>
        </w:tc>
        <w:tc>
          <w:tcPr>
            <w:tcW w:w="607" w:type="dxa"/>
            <w:tcBorders>
              <w:bottom w:val="single" w:color="auto" w:sz="4" w:space="0"/>
            </w:tcBorders>
            <w:shd w:val="clear" w:color="auto" w:fill="auto"/>
            <w:noWrap w:val="0"/>
            <w:vAlign w:val="center"/>
          </w:tcPr>
          <w:p>
            <w:pPr>
              <w:spacing w:line="200" w:lineRule="exact"/>
              <w:ind w:firstLine="67"/>
              <w:jc w:val="center"/>
              <w:rPr>
                <w:rFonts w:hint="eastAsia"/>
                <w:sz w:val="18"/>
                <w:szCs w:val="18"/>
                <w:lang w:val="de-DE"/>
              </w:rPr>
            </w:pPr>
            <w:r>
              <w:rPr>
                <w:rFonts w:hint="eastAsia"/>
                <w:sz w:val="18"/>
                <w:szCs w:val="18"/>
                <w:lang w:val="de-DE"/>
              </w:rPr>
              <w:t>NO</w:t>
            </w:r>
            <w:r>
              <w:rPr>
                <w:rFonts w:hint="eastAsia"/>
                <w:sz w:val="18"/>
                <w:szCs w:val="18"/>
                <w:vertAlign w:val="subscript"/>
                <w:lang w:val="de-DE"/>
              </w:rPr>
              <w:t>2</w:t>
            </w:r>
          </w:p>
        </w:tc>
        <w:tc>
          <w:tcPr>
            <w:tcW w:w="769" w:type="dxa"/>
            <w:tcBorders>
              <w:bottom w:val="single" w:color="auto" w:sz="4" w:space="0"/>
            </w:tcBorders>
            <w:shd w:val="clear" w:color="auto" w:fill="auto"/>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3"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08"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1020" w:type="dxa"/>
            <w:tcBorders>
              <w:bottom w:val="single" w:color="auto" w:sz="4" w:space="0"/>
            </w:tcBorders>
            <w:noWrap w:val="0"/>
            <w:vAlign w:val="center"/>
          </w:tcPr>
          <w:p>
            <w:pPr>
              <w:jc w:val="center"/>
              <w:rPr>
                <w:rFonts w:hint="eastAsia"/>
                <w:sz w:val="18"/>
                <w:szCs w:val="18"/>
              </w:rPr>
            </w:pPr>
            <w:r>
              <w:rPr>
                <w:rFonts w:hint="eastAsia"/>
                <w:sz w:val="18"/>
                <w:szCs w:val="18"/>
              </w:rPr>
              <w:t>241.92</w:t>
            </w:r>
          </w:p>
        </w:tc>
        <w:tc>
          <w:tcPr>
            <w:tcW w:w="1122" w:type="dxa"/>
            <w:tcBorders>
              <w:bottom w:val="single" w:color="auto" w:sz="4" w:space="0"/>
            </w:tcBorders>
            <w:noWrap w:val="0"/>
            <w:vAlign w:val="center"/>
          </w:tcPr>
          <w:p>
            <w:pPr>
              <w:jc w:val="center"/>
              <w:rPr>
                <w:rFonts w:hint="eastAsia"/>
                <w:sz w:val="18"/>
                <w:szCs w:val="18"/>
              </w:rPr>
            </w:pPr>
            <w:r>
              <w:rPr>
                <w:rFonts w:hint="eastAsia"/>
                <w:sz w:val="18"/>
                <w:szCs w:val="18"/>
              </w:rPr>
              <w:t>1799.88</w:t>
            </w:r>
          </w:p>
        </w:tc>
        <w:tc>
          <w:tcPr>
            <w:tcW w:w="2269" w:type="dxa"/>
            <w:gridSpan w:val="2"/>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31"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928" w:type="dxa"/>
            <w:tcBorders>
              <w:bottom w:val="single" w:color="auto" w:sz="4" w:space="0"/>
            </w:tcBorders>
            <w:noWrap w:val="0"/>
            <w:vAlign w:val="center"/>
          </w:tcPr>
          <w:p>
            <w:pPr>
              <w:jc w:val="center"/>
              <w:rPr>
                <w:rFonts w:hint="eastAsia"/>
                <w:sz w:val="18"/>
                <w:szCs w:val="18"/>
              </w:rPr>
            </w:pPr>
            <w:r>
              <w:rPr>
                <w:rFonts w:hint="eastAsia"/>
                <w:sz w:val="18"/>
                <w:szCs w:val="18"/>
              </w:rPr>
              <w:t>241.92</w:t>
            </w:r>
          </w:p>
        </w:tc>
        <w:tc>
          <w:tcPr>
            <w:tcW w:w="821" w:type="dxa"/>
            <w:tcBorders>
              <w:bottom w:val="single" w:color="auto" w:sz="4" w:space="0"/>
            </w:tcBorders>
            <w:noWrap w:val="0"/>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2144" w:type="dxa"/>
            <w:gridSpan w:val="2"/>
            <w:tcBorders>
              <w:bottom w:val="single" w:color="auto" w:sz="4" w:space="0"/>
            </w:tcBorders>
            <w:shd w:val="clear" w:color="auto" w:fill="auto"/>
            <w:noWrap w:val="0"/>
            <w:vAlign w:val="center"/>
          </w:tcPr>
          <w:p>
            <w:pPr>
              <w:spacing w:line="200" w:lineRule="exact"/>
              <w:jc w:val="center"/>
              <w:rPr>
                <w:rFonts w:hint="eastAsia"/>
                <w:sz w:val="18"/>
                <w:szCs w:val="18"/>
              </w:rPr>
            </w:pPr>
            <w:r>
              <w:rPr>
                <w:rFonts w:hint="eastAsia"/>
                <w:sz w:val="18"/>
                <w:szCs w:val="18"/>
              </w:rPr>
              <w:t>无组织排放量合计</w:t>
            </w:r>
          </w:p>
        </w:tc>
        <w:tc>
          <w:tcPr>
            <w:tcW w:w="974" w:type="dxa"/>
            <w:tcBorders>
              <w:bottom w:val="single" w:color="auto" w:sz="4" w:space="0"/>
            </w:tcBorders>
            <w:shd w:val="clear" w:color="auto" w:fill="auto"/>
            <w:noWrap w:val="0"/>
            <w:vAlign w:val="center"/>
          </w:tcPr>
          <w:p>
            <w:pPr>
              <w:jc w:val="center"/>
              <w:rPr>
                <w:rFonts w:hint="eastAsia"/>
                <w:sz w:val="18"/>
                <w:szCs w:val="18"/>
              </w:rPr>
            </w:pPr>
            <w:r>
              <w:rPr>
                <w:rFonts w:hint="eastAsia"/>
                <w:sz w:val="18"/>
                <w:szCs w:val="18"/>
              </w:rPr>
              <w:t>/</w:t>
            </w:r>
          </w:p>
        </w:tc>
        <w:tc>
          <w:tcPr>
            <w:tcW w:w="607" w:type="dxa"/>
            <w:tcBorders>
              <w:bottom w:val="single" w:color="auto" w:sz="4" w:space="0"/>
            </w:tcBorders>
            <w:shd w:val="clear" w:color="auto" w:fill="auto"/>
            <w:noWrap w:val="0"/>
            <w:vAlign w:val="center"/>
          </w:tcPr>
          <w:p>
            <w:pPr>
              <w:spacing w:line="200" w:lineRule="exact"/>
              <w:rPr>
                <w:rFonts w:hint="eastAsia"/>
                <w:sz w:val="18"/>
                <w:szCs w:val="18"/>
                <w:lang w:val="de-DE"/>
              </w:rPr>
            </w:pPr>
            <w:r>
              <w:rPr>
                <w:rFonts w:hint="eastAsia"/>
                <w:sz w:val="18"/>
                <w:szCs w:val="18"/>
                <w:lang w:val="de-DE"/>
              </w:rPr>
              <w:t>粉尘</w:t>
            </w:r>
          </w:p>
        </w:tc>
        <w:tc>
          <w:tcPr>
            <w:tcW w:w="769" w:type="dxa"/>
            <w:tcBorders>
              <w:bottom w:val="single" w:color="auto" w:sz="4" w:space="0"/>
            </w:tcBorders>
            <w:shd w:val="clear" w:color="auto" w:fill="auto"/>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9"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83"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08"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1020" w:type="dxa"/>
            <w:tcBorders>
              <w:bottom w:val="single" w:color="auto" w:sz="4" w:space="0"/>
            </w:tcBorders>
            <w:noWrap w:val="0"/>
            <w:vAlign w:val="center"/>
          </w:tcPr>
          <w:p>
            <w:pPr>
              <w:jc w:val="center"/>
              <w:rPr>
                <w:rFonts w:hint="eastAsia"/>
                <w:sz w:val="18"/>
                <w:szCs w:val="18"/>
              </w:rPr>
            </w:pPr>
          </w:p>
        </w:tc>
        <w:tc>
          <w:tcPr>
            <w:tcW w:w="1122" w:type="dxa"/>
            <w:tcBorders>
              <w:bottom w:val="single" w:color="auto" w:sz="4" w:space="0"/>
            </w:tcBorders>
            <w:noWrap w:val="0"/>
            <w:vAlign w:val="center"/>
          </w:tcPr>
          <w:p>
            <w:pPr>
              <w:jc w:val="center"/>
              <w:rPr>
                <w:rFonts w:hint="eastAsia"/>
                <w:sz w:val="18"/>
                <w:szCs w:val="18"/>
              </w:rPr>
            </w:pPr>
            <w:r>
              <w:rPr>
                <w:rFonts w:hint="eastAsia"/>
                <w:sz w:val="18"/>
                <w:szCs w:val="18"/>
              </w:rPr>
              <w:t>28.73</w:t>
            </w:r>
          </w:p>
        </w:tc>
        <w:tc>
          <w:tcPr>
            <w:tcW w:w="2269" w:type="dxa"/>
            <w:gridSpan w:val="2"/>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731" w:type="dxa"/>
            <w:tcBorders>
              <w:bottom w:val="single" w:color="auto" w:sz="4" w:space="0"/>
            </w:tcBorders>
            <w:noWrap w:val="0"/>
            <w:vAlign w:val="center"/>
          </w:tcPr>
          <w:p>
            <w:pPr>
              <w:spacing w:line="200" w:lineRule="exact"/>
              <w:jc w:val="center"/>
              <w:rPr>
                <w:rFonts w:hint="eastAsia"/>
                <w:sz w:val="18"/>
                <w:szCs w:val="18"/>
                <w:lang w:val="de-DE"/>
              </w:rPr>
            </w:pPr>
            <w:r>
              <w:rPr>
                <w:rFonts w:hint="eastAsia"/>
                <w:sz w:val="18"/>
                <w:szCs w:val="18"/>
                <w:lang w:val="de-DE"/>
              </w:rPr>
              <w:t>/</w:t>
            </w:r>
          </w:p>
        </w:tc>
        <w:tc>
          <w:tcPr>
            <w:tcW w:w="928" w:type="dxa"/>
            <w:tcBorders>
              <w:bottom w:val="single" w:color="auto" w:sz="4" w:space="0"/>
            </w:tcBorders>
            <w:noWrap w:val="0"/>
            <w:vAlign w:val="center"/>
          </w:tcPr>
          <w:p>
            <w:pPr>
              <w:jc w:val="center"/>
              <w:rPr>
                <w:rFonts w:hint="eastAsia"/>
                <w:sz w:val="18"/>
                <w:szCs w:val="18"/>
              </w:rPr>
            </w:pPr>
          </w:p>
        </w:tc>
        <w:tc>
          <w:tcPr>
            <w:tcW w:w="821" w:type="dxa"/>
            <w:tcBorders>
              <w:bottom w:val="single" w:color="auto" w:sz="4" w:space="0"/>
            </w:tcBorders>
            <w:noWrap w:val="0"/>
            <w:vAlign w:val="center"/>
          </w:tcPr>
          <w:p>
            <w:pPr>
              <w:jc w:val="center"/>
              <w:rPr>
                <w:rFonts w:hint="eastAsia"/>
                <w:sz w:val="18"/>
                <w:szCs w:val="18"/>
              </w:rPr>
            </w:pPr>
            <w:r>
              <w:rPr>
                <w:rFonts w:hint="eastAsia"/>
                <w:sz w:val="18"/>
                <w:szCs w:val="18"/>
              </w:rPr>
              <w:t>28.73</w:t>
            </w:r>
          </w:p>
        </w:tc>
      </w:tr>
    </w:tbl>
    <w:p>
      <w:pPr>
        <w:widowControl/>
        <w:jc w:val="center"/>
        <w:rPr>
          <w:rFonts w:hint="eastAsia"/>
          <w:b/>
        </w:rPr>
      </w:pPr>
    </w:p>
    <w:p>
      <w:pPr>
        <w:spacing w:line="460" w:lineRule="exact"/>
        <w:ind w:firstLine="422" w:firstLineChars="200"/>
        <w:rPr>
          <w:rFonts w:hint="eastAsia"/>
          <w:b/>
        </w:rPr>
      </w:pPr>
    </w:p>
    <w:p>
      <w:pPr>
        <w:widowControl/>
        <w:jc w:val="center"/>
        <w:rPr>
          <w:rFonts w:hint="eastAsia"/>
          <w:b/>
        </w:rPr>
      </w:pPr>
    </w:p>
    <w:p>
      <w:pPr>
        <w:widowControl/>
        <w:jc w:val="center"/>
        <w:rPr>
          <w:rFonts w:hint="eastAsia"/>
          <w:b/>
        </w:rPr>
      </w:pPr>
    </w:p>
    <w:p>
      <w:pPr>
        <w:widowControl/>
        <w:jc w:val="center"/>
        <w:rPr>
          <w:rFonts w:hint="eastAsia"/>
          <w:b/>
        </w:rPr>
      </w:pPr>
    </w:p>
    <w:p>
      <w:pPr>
        <w:widowControl/>
        <w:jc w:val="center"/>
        <w:rPr>
          <w:rFonts w:hint="eastAsia"/>
          <w:b/>
        </w:rPr>
      </w:pPr>
    </w:p>
    <w:p>
      <w:pPr>
        <w:widowControl/>
        <w:jc w:val="center"/>
        <w:rPr>
          <w:b/>
        </w:rPr>
        <w:sectPr>
          <w:pgSz w:w="16838" w:h="11906" w:orient="landscape"/>
          <w:pgMar w:top="1247" w:right="1418" w:bottom="1797" w:left="1418" w:header="851" w:footer="992" w:gutter="0"/>
          <w:paperSrc w:first="20070" w:other="20070"/>
          <w:cols w:space="425" w:num="1"/>
          <w:titlePg/>
          <w:docGrid w:linePitch="312" w:charSpace="0"/>
        </w:sectPr>
      </w:pPr>
    </w:p>
    <w:p>
      <w:pPr>
        <w:spacing w:line="360" w:lineRule="auto"/>
        <w:outlineLvl w:val="2"/>
        <w:rPr>
          <w:rFonts w:hint="eastAsia"/>
          <w:b/>
          <w:bCs/>
          <w:szCs w:val="20"/>
        </w:rPr>
      </w:pPr>
      <w:r>
        <w:rPr>
          <w:rFonts w:hint="eastAsia"/>
          <w:b/>
          <w:bCs/>
          <w:szCs w:val="20"/>
        </w:rPr>
        <w:t>3.2.4.2废水</w:t>
      </w:r>
    </w:p>
    <w:p>
      <w:pPr>
        <w:spacing w:line="360" w:lineRule="auto"/>
        <w:ind w:firstLine="420" w:firstLineChars="200"/>
        <w:rPr>
          <w:rFonts w:hint="eastAsia" w:ascii="宋体" w:hAnsi="宋体"/>
        </w:rPr>
      </w:pPr>
      <w:r>
        <w:rPr>
          <w:rFonts w:hint="eastAsia"/>
        </w:rPr>
        <w:t>由图3.2可见，技改项目水泥生产的</w:t>
      </w:r>
      <w:r>
        <w:rPr>
          <w:rFonts w:hint="eastAsia" w:ascii="宋体" w:hAnsi="宋体"/>
          <w:snapToGrid w:val="0"/>
        </w:rPr>
        <w:t>废水污染源种类主要为清净下水和生产生活废水，其中清净下水包括</w:t>
      </w:r>
      <w:r>
        <w:rPr>
          <w:rFonts w:hint="eastAsia" w:ascii="宋体" w:hAnsi="宋体"/>
        </w:rPr>
        <w:t>循环冷却系统排污水、余热锅炉排污水，</w:t>
      </w:r>
      <w:r>
        <w:rPr>
          <w:rFonts w:hint="eastAsia" w:ascii="宋体" w:hAnsi="宋体"/>
          <w:snapToGrid w:val="0"/>
        </w:rPr>
        <w:t>生产生活废水包括净水站泥浆废水、</w:t>
      </w:r>
      <w:r>
        <w:rPr>
          <w:rFonts w:hint="eastAsia" w:ascii="宋体" w:hAnsi="宋体"/>
        </w:rPr>
        <w:t>脱盐水站树脂再生废水和</w:t>
      </w:r>
      <w:r>
        <w:rPr>
          <w:rFonts w:hint="eastAsia"/>
        </w:rPr>
        <w:t>生活</w:t>
      </w:r>
      <w:r>
        <w:rPr>
          <w:rFonts w:hint="eastAsia" w:ascii="宋体" w:hAnsi="宋体"/>
        </w:rPr>
        <w:t>、辅助设施排水（包括生活废水、化验室废水）。</w:t>
      </w:r>
    </w:p>
    <w:p>
      <w:pPr>
        <w:spacing w:line="360" w:lineRule="auto"/>
        <w:ind w:left="480"/>
        <w:rPr>
          <w:rFonts w:hint="eastAsia" w:ascii="宋体" w:hAnsi="宋体"/>
          <w:snapToGrid w:val="0"/>
        </w:rPr>
      </w:pPr>
      <w:r>
        <w:rPr>
          <w:rFonts w:hint="eastAsia" w:ascii="宋体" w:hAnsi="宋体"/>
          <w:snapToGrid w:val="0"/>
        </w:rPr>
        <w:t>（1）清净下水</w:t>
      </w:r>
    </w:p>
    <w:p>
      <w:pPr>
        <w:spacing w:line="360" w:lineRule="auto"/>
        <w:ind w:firstLine="482"/>
        <w:rPr>
          <w:rFonts w:hint="eastAsia"/>
        </w:rPr>
      </w:pPr>
      <w:r>
        <w:rPr>
          <w:rFonts w:hint="eastAsia" w:ascii="宋体" w:hAnsi="宋体"/>
        </w:rPr>
        <w:t>循环冷却系统排污水量为425</w:t>
      </w:r>
      <w:r>
        <w:t>m</w:t>
      </w:r>
      <w:r>
        <w:rPr>
          <w:vertAlign w:val="superscript"/>
        </w:rPr>
        <w:t>3</w:t>
      </w:r>
      <w:r>
        <w:t>/</w:t>
      </w:r>
      <w:r>
        <w:rPr>
          <w:rFonts w:hint="eastAsia"/>
        </w:rPr>
        <w:t>d，</w:t>
      </w:r>
      <w:r>
        <w:rPr>
          <w:rFonts w:hint="eastAsia" w:ascii="宋体" w:hAnsi="宋体"/>
        </w:rPr>
        <w:t>余热锅炉排污水量12</w:t>
      </w:r>
      <w:r>
        <w:t>m</w:t>
      </w:r>
      <w:r>
        <w:rPr>
          <w:vertAlign w:val="superscript"/>
        </w:rPr>
        <w:t>3</w:t>
      </w:r>
      <w:r>
        <w:t>/</w:t>
      </w:r>
      <w:r>
        <w:rPr>
          <w:rFonts w:hint="eastAsia"/>
        </w:rPr>
        <w:t>d，这些排水的污染物较简单（主要为SS），排放量较小，故将其作为清下水，用重力流直接输送至雨水管网排放。</w:t>
      </w:r>
    </w:p>
    <w:p>
      <w:pPr>
        <w:spacing w:line="360" w:lineRule="auto"/>
        <w:ind w:left="480"/>
        <w:rPr>
          <w:rFonts w:hint="eastAsia" w:ascii="宋体" w:hAnsi="宋体"/>
          <w:snapToGrid w:val="0"/>
        </w:rPr>
      </w:pPr>
      <w:r>
        <w:rPr>
          <w:rFonts w:hint="eastAsia"/>
        </w:rPr>
        <w:t>（2）</w:t>
      </w:r>
      <w:r>
        <w:rPr>
          <w:rFonts w:hint="eastAsia" w:ascii="宋体" w:hAnsi="宋体"/>
          <w:snapToGrid w:val="0"/>
        </w:rPr>
        <w:t>生产生活废水</w:t>
      </w:r>
    </w:p>
    <w:p>
      <w:pPr>
        <w:spacing w:line="360" w:lineRule="auto"/>
        <w:ind w:firstLine="482"/>
        <w:rPr>
          <w:rFonts w:hint="eastAsia"/>
        </w:rPr>
      </w:pPr>
      <w:r>
        <w:rPr>
          <w:rFonts w:hint="eastAsia" w:ascii="宋体" w:hAnsi="宋体"/>
        </w:rPr>
        <w:t>余热电站化学水处理系统排水（10</w:t>
      </w:r>
      <w:r>
        <w:rPr>
          <w:rFonts w:ascii="宋体" w:hAnsi="宋体"/>
        </w:rPr>
        <w:t xml:space="preserve"> m</w:t>
      </w:r>
      <w:r>
        <w:rPr>
          <w:rFonts w:ascii="宋体" w:hAnsi="宋体"/>
          <w:vertAlign w:val="superscript"/>
        </w:rPr>
        <w:t>3</w:t>
      </w:r>
      <w:r>
        <w:rPr>
          <w:rFonts w:ascii="宋体" w:hAnsi="宋体"/>
        </w:rPr>
        <w:t>/d</w:t>
      </w:r>
      <w:r>
        <w:rPr>
          <w:rFonts w:hint="eastAsia" w:ascii="宋体" w:hAnsi="宋体"/>
        </w:rPr>
        <w:t xml:space="preserve"> </w:t>
      </w:r>
      <w:r>
        <w:rPr>
          <w:rFonts w:ascii="宋体" w:hAnsi="宋体"/>
        </w:rPr>
        <w:t>）</w:t>
      </w:r>
      <w:r>
        <w:rPr>
          <w:rFonts w:hint="eastAsia" w:ascii="宋体" w:hAnsi="宋体"/>
        </w:rPr>
        <w:t>经中和处理后与生活污水(24.6</w:t>
      </w:r>
      <w:r>
        <w:rPr>
          <w:rFonts w:ascii="宋体" w:hAnsi="宋体"/>
        </w:rPr>
        <w:t>m</w:t>
      </w:r>
      <w:r>
        <w:rPr>
          <w:rFonts w:ascii="宋体" w:hAnsi="宋体"/>
          <w:vertAlign w:val="superscript"/>
        </w:rPr>
        <w:t>3</w:t>
      </w:r>
      <w:r>
        <w:rPr>
          <w:rFonts w:ascii="宋体" w:hAnsi="宋体"/>
        </w:rPr>
        <w:t>/d</w:t>
      </w:r>
      <w:r>
        <w:rPr>
          <w:rFonts w:hint="eastAsia" w:ascii="宋体" w:hAnsi="宋体"/>
        </w:rPr>
        <w:t>)、化验室污水(18</w:t>
      </w:r>
      <w:r>
        <w:rPr>
          <w:rFonts w:ascii="宋体" w:hAnsi="宋体"/>
        </w:rPr>
        <w:t>m</w:t>
      </w:r>
      <w:r>
        <w:rPr>
          <w:rFonts w:ascii="宋体" w:hAnsi="宋体"/>
          <w:vertAlign w:val="superscript"/>
        </w:rPr>
        <w:t>3</w:t>
      </w:r>
      <w:r>
        <w:rPr>
          <w:rFonts w:ascii="宋体" w:hAnsi="宋体"/>
        </w:rPr>
        <w:t>/d</w:t>
      </w:r>
      <w:r>
        <w:rPr>
          <w:rFonts w:hint="eastAsia" w:ascii="宋体" w:hAnsi="宋体"/>
        </w:rPr>
        <w:t>)进入污水处理站，经处理满足《污水综合排放标准》一级标准排入北侧的无名小沟。</w:t>
      </w:r>
    </w:p>
    <w:p>
      <w:pPr>
        <w:spacing w:line="360" w:lineRule="auto"/>
        <w:ind w:firstLine="482"/>
        <w:rPr>
          <w:rFonts w:hint="eastAsia"/>
        </w:rPr>
      </w:pPr>
      <w:r>
        <w:rPr>
          <w:rFonts w:hint="eastAsia"/>
        </w:rPr>
        <w:t>技改项目生产生活废水产生、治理、排放情况见表3-13。</w:t>
      </w:r>
    </w:p>
    <w:p>
      <w:pPr>
        <w:spacing w:line="480" w:lineRule="exact"/>
        <w:jc w:val="center"/>
        <w:rPr>
          <w:rFonts w:hint="eastAsia" w:ascii="宋体" w:hAnsi="宋体"/>
          <w:b/>
          <w:bCs/>
        </w:rPr>
      </w:pPr>
      <w:r>
        <w:rPr>
          <w:rFonts w:hint="eastAsia" w:ascii="宋体" w:hAnsi="宋体"/>
          <w:b/>
        </w:rPr>
        <w:t>表3-13 技改项目</w:t>
      </w:r>
      <w:r>
        <w:rPr>
          <w:rFonts w:hint="eastAsia" w:ascii="宋体" w:hAnsi="宋体"/>
          <w:b/>
          <w:bCs/>
        </w:rPr>
        <w:t>废水污染排放统计</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5"/>
        <w:gridCol w:w="1926"/>
        <w:gridCol w:w="1423"/>
        <w:gridCol w:w="1423"/>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075" w:type="dxa"/>
            <w:noWrap w:val="0"/>
            <w:vAlign w:val="top"/>
          </w:tcPr>
          <w:p>
            <w:pPr>
              <w:spacing w:line="360" w:lineRule="exact"/>
              <w:rPr>
                <w:sz w:val="21"/>
                <w:szCs w:val="21"/>
              </w:rPr>
            </w:pPr>
            <w:r>
              <w:rPr>
                <w:sz w:val="21"/>
                <w:szCs w:val="21"/>
              </w:rPr>
              <w:t>废水来源及产生量（万m</w:t>
            </w:r>
            <w:r>
              <w:rPr>
                <w:sz w:val="21"/>
                <w:szCs w:val="21"/>
                <w:vertAlign w:val="superscript"/>
              </w:rPr>
              <w:t>3</w:t>
            </w:r>
            <w:r>
              <w:rPr>
                <w:sz w:val="21"/>
                <w:szCs w:val="21"/>
              </w:rPr>
              <w:t>/a）</w:t>
            </w:r>
          </w:p>
        </w:tc>
        <w:tc>
          <w:tcPr>
            <w:tcW w:w="1926" w:type="dxa"/>
            <w:noWrap w:val="0"/>
            <w:vAlign w:val="top"/>
          </w:tcPr>
          <w:p>
            <w:pPr>
              <w:spacing w:line="360" w:lineRule="exact"/>
              <w:rPr>
                <w:sz w:val="21"/>
                <w:szCs w:val="21"/>
              </w:rPr>
            </w:pPr>
            <w:r>
              <w:rPr>
                <w:sz w:val="21"/>
                <w:szCs w:val="21"/>
              </w:rPr>
              <w:t>污染物</w:t>
            </w:r>
          </w:p>
        </w:tc>
        <w:tc>
          <w:tcPr>
            <w:tcW w:w="1423" w:type="dxa"/>
            <w:noWrap w:val="0"/>
            <w:vAlign w:val="top"/>
          </w:tcPr>
          <w:p>
            <w:pPr>
              <w:spacing w:line="360" w:lineRule="exact"/>
              <w:rPr>
                <w:sz w:val="21"/>
                <w:szCs w:val="21"/>
              </w:rPr>
            </w:pPr>
            <w:r>
              <w:rPr>
                <w:sz w:val="21"/>
                <w:szCs w:val="21"/>
              </w:rPr>
              <w:t>COD</w:t>
            </w:r>
          </w:p>
        </w:tc>
        <w:tc>
          <w:tcPr>
            <w:tcW w:w="1423" w:type="dxa"/>
            <w:noWrap w:val="0"/>
            <w:vAlign w:val="top"/>
          </w:tcPr>
          <w:p>
            <w:pPr>
              <w:spacing w:line="360" w:lineRule="exact"/>
              <w:rPr>
                <w:sz w:val="21"/>
                <w:szCs w:val="21"/>
              </w:rPr>
            </w:pPr>
            <w:r>
              <w:rPr>
                <w:sz w:val="21"/>
                <w:szCs w:val="21"/>
              </w:rPr>
              <w:t>NH</w:t>
            </w:r>
            <w:r>
              <w:rPr>
                <w:sz w:val="21"/>
                <w:szCs w:val="21"/>
                <w:vertAlign w:val="subscript"/>
              </w:rPr>
              <w:t>3</w:t>
            </w:r>
            <w:r>
              <w:rPr>
                <w:sz w:val="21"/>
                <w:szCs w:val="21"/>
              </w:rPr>
              <w:t>-N</w:t>
            </w:r>
          </w:p>
        </w:tc>
        <w:tc>
          <w:tcPr>
            <w:tcW w:w="1439" w:type="dxa"/>
            <w:noWrap w:val="0"/>
            <w:vAlign w:val="top"/>
          </w:tcPr>
          <w:p>
            <w:pPr>
              <w:spacing w:line="360" w:lineRule="exact"/>
              <w:rPr>
                <w:sz w:val="21"/>
                <w:szCs w:val="21"/>
              </w:rPr>
            </w:pPr>
            <w:r>
              <w:rPr>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3075" w:type="dxa"/>
            <w:noWrap w:val="0"/>
            <w:vAlign w:val="top"/>
          </w:tcPr>
          <w:p>
            <w:pPr>
              <w:spacing w:line="360" w:lineRule="exact"/>
              <w:rPr>
                <w:sz w:val="21"/>
                <w:szCs w:val="21"/>
              </w:rPr>
            </w:pPr>
            <w:r>
              <w:rPr>
                <w:sz w:val="21"/>
                <w:szCs w:val="21"/>
              </w:rPr>
              <w:t>清净下水（13.547）</w:t>
            </w:r>
          </w:p>
        </w:tc>
        <w:tc>
          <w:tcPr>
            <w:tcW w:w="1926" w:type="dxa"/>
            <w:noWrap w:val="0"/>
            <w:vAlign w:val="top"/>
          </w:tcPr>
          <w:p>
            <w:pPr>
              <w:spacing w:line="360" w:lineRule="exact"/>
              <w:rPr>
                <w:sz w:val="21"/>
                <w:szCs w:val="21"/>
              </w:rPr>
            </w:pPr>
          </w:p>
        </w:tc>
        <w:tc>
          <w:tcPr>
            <w:tcW w:w="1423" w:type="dxa"/>
            <w:noWrap w:val="0"/>
            <w:vAlign w:val="top"/>
          </w:tcPr>
          <w:p>
            <w:pPr>
              <w:spacing w:line="360" w:lineRule="exact"/>
              <w:rPr>
                <w:sz w:val="21"/>
                <w:szCs w:val="21"/>
              </w:rPr>
            </w:pPr>
            <w:r>
              <w:rPr>
                <w:sz w:val="21"/>
                <w:szCs w:val="21"/>
              </w:rPr>
              <w:t>/</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restart"/>
            <w:noWrap w:val="0"/>
            <w:vAlign w:val="top"/>
          </w:tcPr>
          <w:p>
            <w:pPr>
              <w:spacing w:line="360" w:lineRule="exact"/>
              <w:rPr>
                <w:sz w:val="21"/>
                <w:szCs w:val="21"/>
              </w:rPr>
            </w:pPr>
            <w:r>
              <w:rPr>
                <w:sz w:val="21"/>
                <w:szCs w:val="21"/>
              </w:rPr>
              <w:t>生活污水（0.7626）</w:t>
            </w:r>
          </w:p>
        </w:tc>
        <w:tc>
          <w:tcPr>
            <w:tcW w:w="1926" w:type="dxa"/>
            <w:noWrap w:val="0"/>
            <w:vAlign w:val="top"/>
          </w:tcPr>
          <w:p>
            <w:pPr>
              <w:spacing w:line="360" w:lineRule="exact"/>
              <w:rPr>
                <w:sz w:val="21"/>
                <w:szCs w:val="21"/>
              </w:rPr>
            </w:pPr>
            <w:r>
              <w:rPr>
                <w:sz w:val="21"/>
                <w:szCs w:val="21"/>
              </w:rPr>
              <w:t>产生浓度,mg/l</w:t>
            </w:r>
          </w:p>
        </w:tc>
        <w:tc>
          <w:tcPr>
            <w:tcW w:w="1423" w:type="dxa"/>
            <w:noWrap w:val="0"/>
            <w:vAlign w:val="top"/>
          </w:tcPr>
          <w:p>
            <w:pPr>
              <w:spacing w:line="360" w:lineRule="exact"/>
              <w:rPr>
                <w:sz w:val="21"/>
                <w:szCs w:val="21"/>
              </w:rPr>
            </w:pPr>
            <w:r>
              <w:rPr>
                <w:sz w:val="21"/>
                <w:szCs w:val="21"/>
              </w:rPr>
              <w:t>350</w:t>
            </w:r>
          </w:p>
        </w:tc>
        <w:tc>
          <w:tcPr>
            <w:tcW w:w="1423" w:type="dxa"/>
            <w:noWrap w:val="0"/>
            <w:vAlign w:val="top"/>
          </w:tcPr>
          <w:p>
            <w:pPr>
              <w:spacing w:line="360" w:lineRule="exact"/>
              <w:rPr>
                <w:sz w:val="21"/>
                <w:szCs w:val="21"/>
              </w:rPr>
            </w:pPr>
            <w:r>
              <w:rPr>
                <w:sz w:val="21"/>
                <w:szCs w:val="21"/>
              </w:rPr>
              <w:t>30</w:t>
            </w:r>
          </w:p>
        </w:tc>
        <w:tc>
          <w:tcPr>
            <w:tcW w:w="1439" w:type="dxa"/>
            <w:noWrap w:val="0"/>
            <w:vAlign w:val="top"/>
          </w:tcPr>
          <w:p>
            <w:pPr>
              <w:spacing w:line="360" w:lineRule="exact"/>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产生量,t/a</w:t>
            </w:r>
          </w:p>
        </w:tc>
        <w:tc>
          <w:tcPr>
            <w:tcW w:w="1423" w:type="dxa"/>
            <w:noWrap w:val="0"/>
            <w:vAlign w:val="top"/>
          </w:tcPr>
          <w:p>
            <w:pPr>
              <w:spacing w:line="360" w:lineRule="exact"/>
              <w:rPr>
                <w:sz w:val="21"/>
                <w:szCs w:val="21"/>
              </w:rPr>
            </w:pPr>
            <w:r>
              <w:rPr>
                <w:sz w:val="21"/>
                <w:szCs w:val="21"/>
              </w:rPr>
              <w:t>2.67</w:t>
            </w:r>
          </w:p>
        </w:tc>
        <w:tc>
          <w:tcPr>
            <w:tcW w:w="1423" w:type="dxa"/>
            <w:noWrap w:val="0"/>
            <w:vAlign w:val="top"/>
          </w:tcPr>
          <w:p>
            <w:pPr>
              <w:spacing w:line="360" w:lineRule="exact"/>
              <w:rPr>
                <w:sz w:val="21"/>
                <w:szCs w:val="21"/>
              </w:rPr>
            </w:pPr>
            <w:r>
              <w:rPr>
                <w:sz w:val="21"/>
                <w:szCs w:val="21"/>
              </w:rPr>
              <w:t>0.23</w:t>
            </w:r>
          </w:p>
        </w:tc>
        <w:tc>
          <w:tcPr>
            <w:tcW w:w="1439" w:type="dxa"/>
            <w:noWrap w:val="0"/>
            <w:vAlign w:val="top"/>
          </w:tcPr>
          <w:p>
            <w:pPr>
              <w:spacing w:line="360" w:lineRule="exact"/>
              <w:rPr>
                <w:sz w:val="21"/>
                <w:szCs w:val="21"/>
              </w:rPr>
            </w:pPr>
            <w:r>
              <w:rPr>
                <w:sz w:val="21"/>
                <w:szCs w:val="21"/>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排放浓度,mg/l</w:t>
            </w:r>
          </w:p>
        </w:tc>
        <w:tc>
          <w:tcPr>
            <w:tcW w:w="1423" w:type="dxa"/>
            <w:noWrap w:val="0"/>
            <w:vAlign w:val="top"/>
          </w:tcPr>
          <w:p>
            <w:pPr>
              <w:spacing w:line="360" w:lineRule="exact"/>
              <w:rPr>
                <w:sz w:val="21"/>
                <w:szCs w:val="21"/>
              </w:rPr>
            </w:pPr>
            <w:r>
              <w:rPr>
                <w:sz w:val="21"/>
                <w:szCs w:val="21"/>
              </w:rPr>
              <w:t>100</w:t>
            </w:r>
          </w:p>
        </w:tc>
        <w:tc>
          <w:tcPr>
            <w:tcW w:w="1423" w:type="dxa"/>
            <w:noWrap w:val="0"/>
            <w:vAlign w:val="top"/>
          </w:tcPr>
          <w:p>
            <w:pPr>
              <w:spacing w:line="360" w:lineRule="exact"/>
              <w:rPr>
                <w:sz w:val="21"/>
                <w:szCs w:val="21"/>
              </w:rPr>
            </w:pPr>
            <w:r>
              <w:rPr>
                <w:sz w:val="21"/>
                <w:szCs w:val="21"/>
              </w:rPr>
              <w:t>15</w:t>
            </w:r>
          </w:p>
        </w:tc>
        <w:tc>
          <w:tcPr>
            <w:tcW w:w="1439" w:type="dxa"/>
            <w:noWrap w:val="0"/>
            <w:vAlign w:val="top"/>
          </w:tcPr>
          <w:p>
            <w:pPr>
              <w:spacing w:line="360" w:lineRule="exact"/>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排放量,t/a</w:t>
            </w:r>
          </w:p>
        </w:tc>
        <w:tc>
          <w:tcPr>
            <w:tcW w:w="1423" w:type="dxa"/>
            <w:noWrap w:val="0"/>
            <w:vAlign w:val="top"/>
          </w:tcPr>
          <w:p>
            <w:pPr>
              <w:spacing w:line="360" w:lineRule="exact"/>
              <w:rPr>
                <w:sz w:val="21"/>
                <w:szCs w:val="21"/>
              </w:rPr>
            </w:pPr>
            <w:r>
              <w:rPr>
                <w:sz w:val="21"/>
                <w:szCs w:val="21"/>
              </w:rPr>
              <w:t>0.76</w:t>
            </w:r>
          </w:p>
        </w:tc>
        <w:tc>
          <w:tcPr>
            <w:tcW w:w="1423" w:type="dxa"/>
            <w:noWrap w:val="0"/>
            <w:vAlign w:val="top"/>
          </w:tcPr>
          <w:p>
            <w:pPr>
              <w:spacing w:line="360" w:lineRule="exact"/>
              <w:rPr>
                <w:sz w:val="21"/>
                <w:szCs w:val="21"/>
              </w:rPr>
            </w:pPr>
            <w:r>
              <w:rPr>
                <w:sz w:val="21"/>
                <w:szCs w:val="21"/>
              </w:rPr>
              <w:t>0.11</w:t>
            </w:r>
          </w:p>
        </w:tc>
        <w:tc>
          <w:tcPr>
            <w:tcW w:w="1439" w:type="dxa"/>
            <w:noWrap w:val="0"/>
            <w:vAlign w:val="top"/>
          </w:tcPr>
          <w:p>
            <w:pPr>
              <w:spacing w:line="360" w:lineRule="exact"/>
              <w:rPr>
                <w:sz w:val="21"/>
                <w:szCs w:val="21"/>
              </w:rPr>
            </w:pPr>
            <w:r>
              <w:rPr>
                <w:sz w:val="21"/>
                <w:szCs w:val="21"/>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restart"/>
            <w:noWrap w:val="0"/>
            <w:vAlign w:val="top"/>
          </w:tcPr>
          <w:p>
            <w:pPr>
              <w:spacing w:line="360" w:lineRule="exact"/>
              <w:rPr>
                <w:sz w:val="21"/>
                <w:szCs w:val="21"/>
              </w:rPr>
            </w:pPr>
            <w:r>
              <w:rPr>
                <w:sz w:val="21"/>
                <w:szCs w:val="21"/>
              </w:rPr>
              <w:t>化验室废水（0.558）</w:t>
            </w:r>
          </w:p>
        </w:tc>
        <w:tc>
          <w:tcPr>
            <w:tcW w:w="1926" w:type="dxa"/>
            <w:noWrap w:val="0"/>
            <w:vAlign w:val="top"/>
          </w:tcPr>
          <w:p>
            <w:pPr>
              <w:spacing w:line="360" w:lineRule="exact"/>
              <w:rPr>
                <w:sz w:val="21"/>
                <w:szCs w:val="21"/>
              </w:rPr>
            </w:pPr>
            <w:r>
              <w:rPr>
                <w:sz w:val="21"/>
                <w:szCs w:val="21"/>
              </w:rPr>
              <w:t>产生浓度,mg/l</w:t>
            </w:r>
          </w:p>
        </w:tc>
        <w:tc>
          <w:tcPr>
            <w:tcW w:w="1423" w:type="dxa"/>
            <w:noWrap w:val="0"/>
            <w:vAlign w:val="top"/>
          </w:tcPr>
          <w:p>
            <w:pPr>
              <w:spacing w:line="360" w:lineRule="exact"/>
              <w:rPr>
                <w:sz w:val="21"/>
                <w:szCs w:val="21"/>
              </w:rPr>
            </w:pPr>
            <w:r>
              <w:rPr>
                <w:sz w:val="21"/>
                <w:szCs w:val="21"/>
              </w:rPr>
              <w:t>200</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产生量,t/a</w:t>
            </w:r>
          </w:p>
        </w:tc>
        <w:tc>
          <w:tcPr>
            <w:tcW w:w="1423" w:type="dxa"/>
            <w:noWrap w:val="0"/>
            <w:vAlign w:val="top"/>
          </w:tcPr>
          <w:p>
            <w:pPr>
              <w:spacing w:line="360" w:lineRule="exact"/>
              <w:rPr>
                <w:sz w:val="21"/>
                <w:szCs w:val="21"/>
              </w:rPr>
            </w:pPr>
            <w:r>
              <w:rPr>
                <w:sz w:val="21"/>
                <w:szCs w:val="21"/>
              </w:rPr>
              <w:t>1.12</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排放浓度,mg/l</w:t>
            </w:r>
          </w:p>
        </w:tc>
        <w:tc>
          <w:tcPr>
            <w:tcW w:w="1423" w:type="dxa"/>
            <w:noWrap w:val="0"/>
            <w:vAlign w:val="top"/>
          </w:tcPr>
          <w:p>
            <w:pPr>
              <w:spacing w:line="360" w:lineRule="exact"/>
              <w:rPr>
                <w:sz w:val="21"/>
                <w:szCs w:val="21"/>
              </w:rPr>
            </w:pPr>
            <w:r>
              <w:rPr>
                <w:sz w:val="21"/>
                <w:szCs w:val="21"/>
              </w:rPr>
              <w:t>100</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排放量,t/a</w:t>
            </w:r>
          </w:p>
        </w:tc>
        <w:tc>
          <w:tcPr>
            <w:tcW w:w="1423" w:type="dxa"/>
            <w:noWrap w:val="0"/>
            <w:vAlign w:val="top"/>
          </w:tcPr>
          <w:p>
            <w:pPr>
              <w:spacing w:line="360" w:lineRule="exact"/>
              <w:rPr>
                <w:sz w:val="21"/>
                <w:szCs w:val="21"/>
              </w:rPr>
            </w:pPr>
            <w:r>
              <w:rPr>
                <w:sz w:val="21"/>
                <w:szCs w:val="21"/>
              </w:rPr>
              <w:t>0.56</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restart"/>
            <w:noWrap w:val="0"/>
            <w:vAlign w:val="top"/>
          </w:tcPr>
          <w:p>
            <w:pPr>
              <w:spacing w:line="360" w:lineRule="exact"/>
              <w:rPr>
                <w:sz w:val="21"/>
                <w:szCs w:val="21"/>
              </w:rPr>
            </w:pPr>
            <w:r>
              <w:rPr>
                <w:sz w:val="21"/>
                <w:szCs w:val="21"/>
              </w:rPr>
              <w:t>化学水处理系统废水（0.31）</w:t>
            </w:r>
          </w:p>
        </w:tc>
        <w:tc>
          <w:tcPr>
            <w:tcW w:w="1926" w:type="dxa"/>
            <w:noWrap w:val="0"/>
            <w:vAlign w:val="top"/>
          </w:tcPr>
          <w:p>
            <w:pPr>
              <w:spacing w:line="360" w:lineRule="exact"/>
              <w:rPr>
                <w:sz w:val="21"/>
                <w:szCs w:val="21"/>
              </w:rPr>
            </w:pPr>
            <w:r>
              <w:rPr>
                <w:sz w:val="21"/>
                <w:szCs w:val="21"/>
              </w:rPr>
              <w:t>产生浓度,mg/l</w:t>
            </w:r>
          </w:p>
        </w:tc>
        <w:tc>
          <w:tcPr>
            <w:tcW w:w="1423" w:type="dxa"/>
            <w:noWrap w:val="0"/>
            <w:vAlign w:val="top"/>
          </w:tcPr>
          <w:p>
            <w:pPr>
              <w:spacing w:line="360" w:lineRule="exact"/>
              <w:rPr>
                <w:sz w:val="21"/>
                <w:szCs w:val="21"/>
              </w:rPr>
            </w:pPr>
            <w:r>
              <w:rPr>
                <w:sz w:val="21"/>
                <w:szCs w:val="21"/>
              </w:rPr>
              <w:t>150</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产生量,t/a</w:t>
            </w:r>
          </w:p>
        </w:tc>
        <w:tc>
          <w:tcPr>
            <w:tcW w:w="1423" w:type="dxa"/>
            <w:noWrap w:val="0"/>
            <w:vAlign w:val="top"/>
          </w:tcPr>
          <w:p>
            <w:pPr>
              <w:spacing w:line="360" w:lineRule="exact"/>
              <w:rPr>
                <w:sz w:val="21"/>
                <w:szCs w:val="21"/>
              </w:rPr>
            </w:pPr>
            <w:r>
              <w:rPr>
                <w:sz w:val="21"/>
                <w:szCs w:val="21"/>
              </w:rPr>
              <w:t>0.46</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排放浓度,mg/l</w:t>
            </w:r>
          </w:p>
        </w:tc>
        <w:tc>
          <w:tcPr>
            <w:tcW w:w="1423" w:type="dxa"/>
            <w:noWrap w:val="0"/>
            <w:vAlign w:val="top"/>
          </w:tcPr>
          <w:p>
            <w:pPr>
              <w:spacing w:line="360" w:lineRule="exact"/>
              <w:rPr>
                <w:sz w:val="21"/>
                <w:szCs w:val="21"/>
              </w:rPr>
            </w:pPr>
            <w:r>
              <w:rPr>
                <w:sz w:val="21"/>
                <w:szCs w:val="21"/>
              </w:rPr>
              <w:t>100</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vMerge w:val="continue"/>
            <w:noWrap w:val="0"/>
            <w:vAlign w:val="top"/>
          </w:tcPr>
          <w:p>
            <w:pPr>
              <w:spacing w:line="360" w:lineRule="exact"/>
              <w:rPr>
                <w:sz w:val="21"/>
                <w:szCs w:val="21"/>
              </w:rPr>
            </w:pPr>
          </w:p>
        </w:tc>
        <w:tc>
          <w:tcPr>
            <w:tcW w:w="1926" w:type="dxa"/>
            <w:noWrap w:val="0"/>
            <w:vAlign w:val="top"/>
          </w:tcPr>
          <w:p>
            <w:pPr>
              <w:spacing w:line="360" w:lineRule="exact"/>
              <w:rPr>
                <w:sz w:val="21"/>
                <w:szCs w:val="21"/>
              </w:rPr>
            </w:pPr>
            <w:r>
              <w:rPr>
                <w:sz w:val="21"/>
                <w:szCs w:val="21"/>
              </w:rPr>
              <w:t>排放量,t/a</w:t>
            </w:r>
          </w:p>
        </w:tc>
        <w:tc>
          <w:tcPr>
            <w:tcW w:w="1423" w:type="dxa"/>
            <w:noWrap w:val="0"/>
            <w:vAlign w:val="top"/>
          </w:tcPr>
          <w:p>
            <w:pPr>
              <w:spacing w:line="360" w:lineRule="exact"/>
              <w:rPr>
                <w:sz w:val="21"/>
                <w:szCs w:val="21"/>
              </w:rPr>
            </w:pPr>
            <w:r>
              <w:rPr>
                <w:sz w:val="21"/>
                <w:szCs w:val="21"/>
              </w:rPr>
              <w:t>0.31</w:t>
            </w:r>
          </w:p>
        </w:tc>
        <w:tc>
          <w:tcPr>
            <w:tcW w:w="1423" w:type="dxa"/>
            <w:noWrap w:val="0"/>
            <w:vAlign w:val="top"/>
          </w:tcPr>
          <w:p>
            <w:pPr>
              <w:spacing w:line="360" w:lineRule="exact"/>
              <w:rPr>
                <w:sz w:val="21"/>
                <w:szCs w:val="21"/>
              </w:rPr>
            </w:pPr>
            <w:r>
              <w:rPr>
                <w:sz w:val="21"/>
                <w:szCs w:val="21"/>
              </w:rPr>
              <w:t>/</w:t>
            </w:r>
          </w:p>
        </w:tc>
        <w:tc>
          <w:tcPr>
            <w:tcW w:w="1439" w:type="dxa"/>
            <w:noWrap w:val="0"/>
            <w:vAlign w:val="top"/>
          </w:tcPr>
          <w:p>
            <w:pPr>
              <w:spacing w:line="36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5" w:type="dxa"/>
            <w:noWrap w:val="0"/>
            <w:vAlign w:val="top"/>
          </w:tcPr>
          <w:p>
            <w:pPr>
              <w:spacing w:line="360" w:lineRule="exact"/>
              <w:rPr>
                <w:sz w:val="21"/>
                <w:szCs w:val="21"/>
              </w:rPr>
            </w:pPr>
            <w:r>
              <w:rPr>
                <w:sz w:val="21"/>
                <w:szCs w:val="21"/>
              </w:rPr>
              <w:t>合计（1.6306）</w:t>
            </w:r>
          </w:p>
        </w:tc>
        <w:tc>
          <w:tcPr>
            <w:tcW w:w="1926" w:type="dxa"/>
            <w:noWrap w:val="0"/>
            <w:vAlign w:val="top"/>
          </w:tcPr>
          <w:p>
            <w:pPr>
              <w:spacing w:line="360" w:lineRule="exact"/>
              <w:rPr>
                <w:sz w:val="21"/>
                <w:szCs w:val="21"/>
              </w:rPr>
            </w:pPr>
            <w:r>
              <w:rPr>
                <w:sz w:val="21"/>
                <w:szCs w:val="21"/>
              </w:rPr>
              <w:t>排放量,t/a</w:t>
            </w:r>
          </w:p>
        </w:tc>
        <w:tc>
          <w:tcPr>
            <w:tcW w:w="1423" w:type="dxa"/>
            <w:noWrap w:val="0"/>
            <w:vAlign w:val="top"/>
          </w:tcPr>
          <w:p>
            <w:pPr>
              <w:spacing w:line="360" w:lineRule="exact"/>
              <w:rPr>
                <w:sz w:val="21"/>
                <w:szCs w:val="21"/>
              </w:rPr>
            </w:pPr>
            <w:r>
              <w:rPr>
                <w:sz w:val="21"/>
                <w:szCs w:val="21"/>
              </w:rPr>
              <w:t>1.63</w:t>
            </w:r>
          </w:p>
        </w:tc>
        <w:tc>
          <w:tcPr>
            <w:tcW w:w="1423" w:type="dxa"/>
            <w:noWrap w:val="0"/>
            <w:vAlign w:val="top"/>
          </w:tcPr>
          <w:p>
            <w:pPr>
              <w:spacing w:line="360" w:lineRule="exact"/>
              <w:rPr>
                <w:sz w:val="21"/>
                <w:szCs w:val="21"/>
              </w:rPr>
            </w:pPr>
            <w:r>
              <w:rPr>
                <w:sz w:val="21"/>
                <w:szCs w:val="21"/>
              </w:rPr>
              <w:t>0.11</w:t>
            </w:r>
          </w:p>
        </w:tc>
        <w:tc>
          <w:tcPr>
            <w:tcW w:w="1439" w:type="dxa"/>
            <w:noWrap w:val="0"/>
            <w:vAlign w:val="top"/>
          </w:tcPr>
          <w:p>
            <w:pPr>
              <w:spacing w:line="360" w:lineRule="exact"/>
              <w:rPr>
                <w:sz w:val="21"/>
                <w:szCs w:val="21"/>
              </w:rPr>
            </w:pPr>
            <w:r>
              <w:rPr>
                <w:sz w:val="21"/>
                <w:szCs w:val="21"/>
              </w:rPr>
              <w:t>0.92</w:t>
            </w:r>
          </w:p>
        </w:tc>
      </w:tr>
    </w:tbl>
    <w:p>
      <w:pPr>
        <w:spacing w:line="360" w:lineRule="auto"/>
        <w:ind w:firstLine="482"/>
        <w:rPr>
          <w:rFonts w:hint="eastAsia"/>
        </w:rPr>
      </w:pPr>
    </w:p>
    <w:p>
      <w:pPr>
        <w:spacing w:line="360" w:lineRule="auto"/>
        <w:outlineLvl w:val="2"/>
        <w:rPr>
          <w:rFonts w:hint="eastAsia"/>
          <w:b/>
          <w:bCs/>
          <w:szCs w:val="20"/>
        </w:rPr>
      </w:pPr>
      <w:r>
        <w:rPr>
          <w:rFonts w:hint="eastAsia"/>
          <w:b/>
          <w:bCs/>
          <w:szCs w:val="20"/>
        </w:rPr>
        <w:t>3.2.4.3固体废物</w:t>
      </w:r>
    </w:p>
    <w:p>
      <w:pPr>
        <w:spacing w:line="360" w:lineRule="auto"/>
        <w:ind w:firstLine="420" w:firstLineChars="200"/>
        <w:rPr>
          <w:rFonts w:hint="eastAsia"/>
        </w:rPr>
      </w:pPr>
      <w:r>
        <w:rPr>
          <w:rFonts w:hint="eastAsia"/>
        </w:rPr>
        <w:t>技改项目水泥生产的固体废物种类主要为除尘灰、污水处理站污泥和职工生活垃圾。</w:t>
      </w:r>
    </w:p>
    <w:p>
      <w:pPr>
        <w:widowControl/>
        <w:spacing w:line="360" w:lineRule="auto"/>
        <w:ind w:firstLine="420" w:firstLineChars="200"/>
        <w:rPr>
          <w:rFonts w:hint="eastAsia"/>
        </w:rPr>
      </w:pPr>
      <w:r>
        <w:rPr>
          <w:rFonts w:hint="eastAsia"/>
        </w:rPr>
        <w:t>（1）除尘灰</w:t>
      </w:r>
    </w:p>
    <w:p>
      <w:pPr>
        <w:spacing w:line="460" w:lineRule="exact"/>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产生量183485.15</w:t>
      </w:r>
      <w:r>
        <w:rPr>
          <w:rFonts w:ascii="宋体" w:hAnsi="宋体"/>
        </w:rPr>
        <w:t xml:space="preserve"> t/a</w:t>
      </w:r>
      <w:r>
        <w:rPr>
          <w:rFonts w:hint="eastAsia" w:ascii="宋体" w:hAnsi="宋体"/>
        </w:rPr>
        <w:t>。</w:t>
      </w:r>
      <w:r>
        <w:rPr>
          <w:rFonts w:hint="eastAsia"/>
        </w:rPr>
        <w:t>采取收集后作生产原料回用或产品外售利用，不排放</w:t>
      </w:r>
      <w:r>
        <w:rPr>
          <w:rFonts w:hint="eastAsia" w:ascii="宋体" w:hAnsi="宋体"/>
        </w:rPr>
        <w:t>。</w:t>
      </w:r>
    </w:p>
    <w:p>
      <w:pPr>
        <w:spacing w:line="460" w:lineRule="exact"/>
        <w:ind w:firstLine="420" w:firstLineChars="200"/>
        <w:rPr>
          <w:rFonts w:hint="eastAsia"/>
        </w:rPr>
      </w:pPr>
      <w:r>
        <w:rPr>
          <w:rFonts w:hint="eastAsia" w:ascii="宋体" w:hAnsi="宋体"/>
        </w:rPr>
        <w:t>（2）</w:t>
      </w:r>
      <w:r>
        <w:rPr>
          <w:rFonts w:hint="eastAsia"/>
        </w:rPr>
        <w:t>污水处理污泥</w:t>
      </w:r>
    </w:p>
    <w:p>
      <w:pPr>
        <w:spacing w:line="460" w:lineRule="exact"/>
        <w:ind w:firstLine="420" w:firstLineChars="200"/>
        <w:rPr>
          <w:rFonts w:hint="eastAsia"/>
        </w:rPr>
      </w:pPr>
      <w:r>
        <w:rPr>
          <w:rFonts w:hint="eastAsia"/>
        </w:rPr>
        <w:t>生活污水采取生化工艺处理时，产生污泥，</w:t>
      </w:r>
      <w:r>
        <w:rPr>
          <w:rFonts w:hint="eastAsia" w:ascii="宋体" w:hAnsi="宋体"/>
        </w:rPr>
        <w:t>产生量8.82</w:t>
      </w:r>
      <w:r>
        <w:rPr>
          <w:rFonts w:ascii="宋体" w:hAnsi="宋体"/>
        </w:rPr>
        <w:t>t/a</w:t>
      </w:r>
      <w:r>
        <w:rPr>
          <w:rFonts w:hint="eastAsia" w:ascii="宋体" w:hAnsi="宋体"/>
        </w:rPr>
        <w:t>(含水90％)。</w:t>
      </w:r>
      <w:r>
        <w:rPr>
          <w:rFonts w:hint="eastAsia"/>
        </w:rPr>
        <w:t>由于该污泥的成分与粘土类似，故可直接送水泥回转窑作水泥原料煅烧，不排放。</w:t>
      </w:r>
    </w:p>
    <w:p>
      <w:pPr>
        <w:spacing w:line="460" w:lineRule="exact"/>
        <w:ind w:firstLine="420" w:firstLineChars="200"/>
        <w:rPr>
          <w:rFonts w:hint="eastAsia" w:ascii="宋体" w:hAnsi="宋体"/>
        </w:rPr>
      </w:pPr>
      <w:r>
        <w:rPr>
          <w:rFonts w:hint="eastAsia" w:ascii="宋体" w:hAnsi="宋体"/>
        </w:rPr>
        <w:t>（4）生活垃圾</w:t>
      </w:r>
    </w:p>
    <w:p>
      <w:pPr>
        <w:spacing w:line="460" w:lineRule="exact"/>
        <w:ind w:firstLine="420" w:firstLineChars="200"/>
        <w:rPr>
          <w:rFonts w:hint="eastAsia"/>
        </w:rPr>
      </w:pPr>
      <w:r>
        <w:rPr>
          <w:rFonts w:hint="eastAsia"/>
        </w:rPr>
        <w:t>全厂职工生活产生生活垃圾，产生</w:t>
      </w:r>
      <w:r>
        <w:rPr>
          <w:rFonts w:hint="eastAsia" w:ascii="宋体" w:hAnsi="宋体"/>
        </w:rPr>
        <w:t>量</w:t>
      </w:r>
      <w:r>
        <w:rPr>
          <w:rFonts w:hint="eastAsia"/>
        </w:rPr>
        <w:t>42.3</w:t>
      </w:r>
      <w:r>
        <w:rPr>
          <w:rFonts w:ascii="宋体" w:hAnsi="宋体"/>
        </w:rPr>
        <w:t>t/a</w:t>
      </w:r>
      <w:r>
        <w:rPr>
          <w:rFonts w:hint="eastAsia" w:ascii="宋体" w:hAnsi="宋体"/>
        </w:rPr>
        <w:t>。</w:t>
      </w:r>
      <w:r>
        <w:rPr>
          <w:rFonts w:hint="eastAsia"/>
        </w:rPr>
        <w:t>采取在厂区内设生活垃圾转运站，集中收集后，由青木关镇环卫部门送城市垃圾处理场卫生填埋。</w:t>
      </w:r>
    </w:p>
    <w:p>
      <w:pPr>
        <w:spacing w:line="460" w:lineRule="exact"/>
        <w:ind w:firstLine="420" w:firstLineChars="200"/>
        <w:rPr>
          <w:rFonts w:hint="eastAsia"/>
        </w:rPr>
      </w:pPr>
      <w:r>
        <w:rPr>
          <w:rFonts w:hint="eastAsia"/>
        </w:rPr>
        <w:t>技改项目固体废物产生、处置情况见表3-14。</w:t>
      </w:r>
    </w:p>
    <w:p>
      <w:pPr>
        <w:spacing w:line="460" w:lineRule="exact"/>
        <w:jc w:val="center"/>
        <w:rPr>
          <w:rFonts w:hint="eastAsia"/>
          <w:b/>
        </w:rPr>
      </w:pPr>
      <w:r>
        <w:rPr>
          <w:rFonts w:hint="eastAsia"/>
          <w:b/>
        </w:rPr>
        <w:t xml:space="preserve">表3-14 </w:t>
      </w:r>
      <w:r>
        <w:rPr>
          <w:b/>
        </w:rPr>
        <w:t xml:space="preserve"> </w:t>
      </w:r>
      <w:r>
        <w:rPr>
          <w:rFonts w:hint="eastAsia"/>
          <w:b/>
        </w:rPr>
        <w:t xml:space="preserve">  技改项目固体废物产生及处置情况一览表</w:t>
      </w:r>
    </w:p>
    <w:tbl>
      <w:tblPr>
        <w:tblStyle w:val="20"/>
        <w:tblW w:w="787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913"/>
        <w:gridCol w:w="1849"/>
        <w:gridCol w:w="1440"/>
        <w:gridCol w:w="26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13" w:type="dxa"/>
            <w:noWrap w:val="0"/>
            <w:vAlign w:val="center"/>
          </w:tcPr>
          <w:p>
            <w:pPr>
              <w:spacing w:line="320" w:lineRule="atLeast"/>
              <w:jc w:val="center"/>
              <w:rPr>
                <w:rFonts w:hint="eastAsia"/>
                <w:sz w:val="21"/>
                <w:szCs w:val="21"/>
              </w:rPr>
            </w:pPr>
            <w:r>
              <w:rPr>
                <w:rFonts w:hint="eastAsia"/>
                <w:sz w:val="21"/>
                <w:szCs w:val="21"/>
              </w:rPr>
              <w:t>固体废物类型</w:t>
            </w:r>
          </w:p>
        </w:tc>
        <w:tc>
          <w:tcPr>
            <w:tcW w:w="1849" w:type="dxa"/>
            <w:noWrap w:val="0"/>
            <w:vAlign w:val="center"/>
          </w:tcPr>
          <w:p>
            <w:pPr>
              <w:spacing w:line="320" w:lineRule="atLeast"/>
              <w:ind w:firstLine="540"/>
              <w:jc w:val="center"/>
              <w:rPr>
                <w:rFonts w:hint="eastAsia"/>
                <w:sz w:val="21"/>
                <w:szCs w:val="21"/>
              </w:rPr>
            </w:pPr>
            <w:r>
              <w:rPr>
                <w:rFonts w:hint="eastAsia"/>
                <w:sz w:val="21"/>
                <w:szCs w:val="21"/>
              </w:rPr>
              <w:t>产生量（</w:t>
            </w:r>
            <w:r>
              <w:rPr>
                <w:sz w:val="21"/>
                <w:szCs w:val="21"/>
              </w:rPr>
              <w:t>t/a</w:t>
            </w:r>
            <w:r>
              <w:rPr>
                <w:rFonts w:hint="eastAsia"/>
                <w:sz w:val="21"/>
                <w:szCs w:val="21"/>
              </w:rPr>
              <w:t>）</w:t>
            </w:r>
          </w:p>
        </w:tc>
        <w:tc>
          <w:tcPr>
            <w:tcW w:w="1440" w:type="dxa"/>
            <w:noWrap w:val="0"/>
            <w:vAlign w:val="center"/>
          </w:tcPr>
          <w:p>
            <w:pPr>
              <w:spacing w:line="320" w:lineRule="atLeast"/>
              <w:ind w:firstLine="210" w:firstLineChars="100"/>
              <w:jc w:val="center"/>
              <w:rPr>
                <w:rFonts w:hint="eastAsia"/>
                <w:sz w:val="21"/>
                <w:szCs w:val="21"/>
              </w:rPr>
            </w:pPr>
            <w:r>
              <w:rPr>
                <w:rFonts w:hint="eastAsia"/>
                <w:sz w:val="21"/>
                <w:szCs w:val="21"/>
              </w:rPr>
              <w:t>性质</w:t>
            </w:r>
          </w:p>
        </w:tc>
        <w:tc>
          <w:tcPr>
            <w:tcW w:w="2676" w:type="dxa"/>
            <w:noWrap w:val="0"/>
            <w:vAlign w:val="center"/>
          </w:tcPr>
          <w:p>
            <w:pPr>
              <w:spacing w:line="320" w:lineRule="atLeast"/>
              <w:jc w:val="center"/>
              <w:rPr>
                <w:rFonts w:hint="eastAsia"/>
                <w:sz w:val="21"/>
                <w:szCs w:val="21"/>
              </w:rPr>
            </w:pPr>
            <w:r>
              <w:rPr>
                <w:rFonts w:hint="eastAsia"/>
                <w:sz w:val="21"/>
                <w:szCs w:val="21"/>
              </w:rPr>
              <w:t>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13" w:type="dxa"/>
            <w:noWrap w:val="0"/>
            <w:vAlign w:val="center"/>
          </w:tcPr>
          <w:p>
            <w:pPr>
              <w:spacing w:line="320" w:lineRule="atLeast"/>
              <w:jc w:val="center"/>
              <w:rPr>
                <w:rFonts w:hint="eastAsia"/>
                <w:sz w:val="21"/>
                <w:szCs w:val="21"/>
              </w:rPr>
            </w:pPr>
            <w:r>
              <w:rPr>
                <w:rFonts w:hint="eastAsia"/>
                <w:sz w:val="21"/>
                <w:szCs w:val="21"/>
              </w:rPr>
              <w:t>除尘灰</w:t>
            </w:r>
          </w:p>
        </w:tc>
        <w:tc>
          <w:tcPr>
            <w:tcW w:w="1849" w:type="dxa"/>
            <w:noWrap w:val="0"/>
            <w:vAlign w:val="center"/>
          </w:tcPr>
          <w:p>
            <w:pPr>
              <w:spacing w:line="320" w:lineRule="atLeast"/>
              <w:jc w:val="center"/>
              <w:rPr>
                <w:rFonts w:hint="eastAsia"/>
                <w:sz w:val="21"/>
                <w:szCs w:val="21"/>
              </w:rPr>
            </w:pPr>
            <w:r>
              <w:rPr>
                <w:rFonts w:hint="eastAsia"/>
                <w:sz w:val="21"/>
                <w:szCs w:val="21"/>
              </w:rPr>
              <w:t>183485.15</w:t>
            </w:r>
          </w:p>
        </w:tc>
        <w:tc>
          <w:tcPr>
            <w:tcW w:w="1440" w:type="dxa"/>
            <w:noWrap w:val="0"/>
            <w:vAlign w:val="center"/>
          </w:tcPr>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noWrap w:val="0"/>
            <w:vAlign w:val="center"/>
          </w:tcPr>
          <w:p>
            <w:pPr>
              <w:spacing w:line="320" w:lineRule="atLeast"/>
              <w:rPr>
                <w:rFonts w:hint="eastAsia"/>
                <w:sz w:val="21"/>
                <w:szCs w:val="21"/>
              </w:rPr>
            </w:pPr>
            <w:r>
              <w:rPr>
                <w:rFonts w:hint="eastAsia"/>
                <w:sz w:val="21"/>
                <w:szCs w:val="21"/>
              </w:rPr>
              <w:t>收集后作生产原料回用，不排放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13" w:type="dxa"/>
            <w:shd w:val="clear" w:color="auto" w:fill="auto"/>
            <w:noWrap w:val="0"/>
            <w:vAlign w:val="center"/>
          </w:tcPr>
          <w:p>
            <w:pPr>
              <w:spacing w:line="320" w:lineRule="atLeast"/>
              <w:jc w:val="center"/>
              <w:rPr>
                <w:rFonts w:hint="eastAsia"/>
                <w:sz w:val="21"/>
                <w:szCs w:val="21"/>
              </w:rPr>
            </w:pPr>
            <w:r>
              <w:rPr>
                <w:rFonts w:hint="eastAsia"/>
                <w:sz w:val="21"/>
                <w:szCs w:val="21"/>
              </w:rPr>
              <w:t>污水处理污泥</w:t>
            </w:r>
          </w:p>
        </w:tc>
        <w:tc>
          <w:tcPr>
            <w:tcW w:w="1849" w:type="dxa"/>
            <w:shd w:val="clear" w:color="auto" w:fill="auto"/>
            <w:noWrap w:val="0"/>
            <w:vAlign w:val="center"/>
          </w:tcPr>
          <w:p>
            <w:pPr>
              <w:spacing w:line="320" w:lineRule="atLeast"/>
              <w:jc w:val="center"/>
              <w:rPr>
                <w:rFonts w:hint="eastAsia"/>
                <w:sz w:val="21"/>
                <w:szCs w:val="21"/>
              </w:rPr>
            </w:pPr>
            <w:r>
              <w:rPr>
                <w:rFonts w:hint="eastAsia"/>
                <w:sz w:val="21"/>
                <w:szCs w:val="21"/>
              </w:rPr>
              <w:t>8.82（含水90％）</w:t>
            </w:r>
          </w:p>
        </w:tc>
        <w:tc>
          <w:tcPr>
            <w:tcW w:w="1440" w:type="dxa"/>
            <w:shd w:val="clear" w:color="auto" w:fill="auto"/>
            <w:noWrap w:val="0"/>
            <w:vAlign w:val="center"/>
          </w:tcPr>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shd w:val="clear" w:color="auto" w:fill="auto"/>
            <w:noWrap w:val="0"/>
            <w:vAlign w:val="center"/>
          </w:tcPr>
          <w:p>
            <w:pPr>
              <w:spacing w:line="320" w:lineRule="atLeast"/>
              <w:rPr>
                <w:rFonts w:hint="eastAsia"/>
                <w:sz w:val="21"/>
                <w:szCs w:val="21"/>
              </w:rPr>
            </w:pPr>
            <w:r>
              <w:rPr>
                <w:rFonts w:hint="eastAsia"/>
                <w:sz w:val="21"/>
                <w:szCs w:val="21"/>
              </w:rPr>
              <w:t>直接送水泥回转窑作水泥原料煅烧，不排放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913" w:type="dxa"/>
            <w:noWrap w:val="0"/>
            <w:vAlign w:val="center"/>
          </w:tcPr>
          <w:p>
            <w:pPr>
              <w:spacing w:line="320" w:lineRule="atLeast"/>
              <w:jc w:val="center"/>
              <w:rPr>
                <w:rFonts w:hint="eastAsia"/>
                <w:sz w:val="21"/>
                <w:szCs w:val="21"/>
              </w:rPr>
            </w:pPr>
            <w:r>
              <w:rPr>
                <w:rFonts w:hint="eastAsia"/>
                <w:sz w:val="21"/>
                <w:szCs w:val="21"/>
              </w:rPr>
              <w:t>生活垃圾</w:t>
            </w:r>
          </w:p>
        </w:tc>
        <w:tc>
          <w:tcPr>
            <w:tcW w:w="1849" w:type="dxa"/>
            <w:noWrap w:val="0"/>
            <w:vAlign w:val="center"/>
          </w:tcPr>
          <w:p>
            <w:pPr>
              <w:spacing w:line="320" w:lineRule="atLeast"/>
              <w:jc w:val="center"/>
              <w:rPr>
                <w:rFonts w:hint="eastAsia"/>
                <w:sz w:val="21"/>
                <w:szCs w:val="21"/>
              </w:rPr>
            </w:pPr>
            <w:r>
              <w:rPr>
                <w:rFonts w:hint="eastAsia"/>
                <w:sz w:val="21"/>
                <w:szCs w:val="21"/>
              </w:rPr>
              <w:t>42.3</w:t>
            </w:r>
          </w:p>
        </w:tc>
        <w:tc>
          <w:tcPr>
            <w:tcW w:w="1440" w:type="dxa"/>
            <w:noWrap w:val="0"/>
            <w:vAlign w:val="center"/>
          </w:tcPr>
          <w:p>
            <w:pPr>
              <w:spacing w:line="320" w:lineRule="atLeast"/>
              <w:jc w:val="center"/>
              <w:rPr>
                <w:rFonts w:hint="eastAsia"/>
                <w:sz w:val="21"/>
                <w:szCs w:val="21"/>
              </w:rPr>
            </w:pPr>
          </w:p>
          <w:p>
            <w:pPr>
              <w:spacing w:line="320" w:lineRule="atLeast"/>
              <w:jc w:val="center"/>
              <w:rPr>
                <w:rFonts w:hint="eastAsia"/>
                <w:sz w:val="21"/>
                <w:szCs w:val="21"/>
              </w:rPr>
            </w:pPr>
            <w:r>
              <w:rPr>
                <w:rFonts w:hint="eastAsia"/>
                <w:sz w:val="21"/>
                <w:szCs w:val="21"/>
              </w:rPr>
              <w:t>一般</w:t>
            </w:r>
          </w:p>
          <w:p>
            <w:pPr>
              <w:spacing w:line="320" w:lineRule="atLeast"/>
              <w:jc w:val="center"/>
              <w:rPr>
                <w:rFonts w:hint="eastAsia"/>
                <w:sz w:val="21"/>
                <w:szCs w:val="21"/>
              </w:rPr>
            </w:pPr>
            <w:r>
              <w:rPr>
                <w:rFonts w:hint="eastAsia"/>
                <w:sz w:val="21"/>
                <w:szCs w:val="21"/>
              </w:rPr>
              <w:t>固废</w:t>
            </w:r>
          </w:p>
        </w:tc>
        <w:tc>
          <w:tcPr>
            <w:tcW w:w="2676" w:type="dxa"/>
            <w:noWrap w:val="0"/>
            <w:vAlign w:val="center"/>
          </w:tcPr>
          <w:p>
            <w:pPr>
              <w:spacing w:line="320" w:lineRule="atLeast"/>
              <w:rPr>
                <w:rFonts w:hint="eastAsia"/>
                <w:sz w:val="21"/>
                <w:szCs w:val="21"/>
              </w:rPr>
            </w:pPr>
            <w:r>
              <w:rPr>
                <w:rFonts w:hint="eastAsia"/>
                <w:sz w:val="21"/>
                <w:szCs w:val="21"/>
              </w:rPr>
              <w:t>在厂区内设生活垃圾转运站，集中收集后，由青木关镇环卫部门送城市垃圾处理场卫生填埋，不排放</w:t>
            </w:r>
          </w:p>
        </w:tc>
      </w:tr>
    </w:tbl>
    <w:p>
      <w:pPr>
        <w:spacing w:line="360" w:lineRule="auto"/>
        <w:outlineLvl w:val="2"/>
        <w:rPr>
          <w:rFonts w:hint="eastAsia"/>
          <w:b/>
          <w:bCs/>
          <w:szCs w:val="20"/>
        </w:rPr>
      </w:pPr>
    </w:p>
    <w:p>
      <w:pPr>
        <w:spacing w:line="360" w:lineRule="auto"/>
        <w:outlineLvl w:val="2"/>
        <w:rPr>
          <w:rFonts w:hint="eastAsia"/>
          <w:b/>
          <w:bCs/>
          <w:szCs w:val="20"/>
        </w:rPr>
      </w:pPr>
      <w:r>
        <w:rPr>
          <w:rFonts w:hint="eastAsia"/>
          <w:b/>
          <w:bCs/>
          <w:szCs w:val="20"/>
        </w:rPr>
        <w:t>3.2.4.4噪声</w:t>
      </w:r>
    </w:p>
    <w:p>
      <w:pPr>
        <w:spacing w:line="360" w:lineRule="auto"/>
        <w:ind w:firstLine="516"/>
        <w:rPr>
          <w:rFonts w:hint="eastAsia"/>
        </w:rPr>
      </w:pPr>
      <w:r>
        <w:t>在水泥生产中，噪声对环境的影响仅次于粉尘。</w:t>
      </w:r>
      <w:r>
        <w:rPr>
          <w:rFonts w:hint="eastAsia"/>
        </w:rPr>
        <w:t>技改项目</w:t>
      </w:r>
      <w:r>
        <w:t>主要噪声</w:t>
      </w:r>
      <w:r>
        <w:rPr>
          <w:rFonts w:hint="eastAsia"/>
        </w:rPr>
        <w:t>源</w:t>
      </w:r>
      <w:r>
        <w:t>有破碎机、生料磨机、水泥磨机、煤磨机、高压离心风机、罗茨风机、空压机、大功率电机等设备产生的机械噪声、气动噪声和电磁声，声值一般在85~105dB(A)。项目部分设备安装在室内，车间墙壁有一定的隔声作用；场地主要噪声源水泥磨及循环风机、电机均安装在车间内，并利用地形、挡墙等隔声</w:t>
      </w:r>
      <w:r>
        <w:rPr>
          <w:rFonts w:hint="eastAsia"/>
        </w:rPr>
        <w:t>等综合措施，使噪声值降低15-30</w:t>
      </w:r>
      <w:r>
        <w:t>dB</w:t>
      </w:r>
      <w:r>
        <w:rPr>
          <w:rFonts w:hint="eastAsia"/>
        </w:rPr>
        <w:t>，控制在85</w:t>
      </w:r>
      <w:r>
        <w:t>dB</w:t>
      </w:r>
      <w:r>
        <w:rPr>
          <w:rFonts w:hint="eastAsia"/>
        </w:rPr>
        <w:t>及以下。</w:t>
      </w:r>
    </w:p>
    <w:p>
      <w:pPr>
        <w:spacing w:before="24" w:beforeLines="10" w:after="24" w:afterLines="10" w:line="360" w:lineRule="auto"/>
        <w:ind w:firstLine="420" w:firstLineChars="200"/>
        <w:rPr>
          <w:rFonts w:hint="eastAsia"/>
        </w:rPr>
      </w:pPr>
      <w:r>
        <w:rPr>
          <w:rFonts w:hint="eastAsia"/>
        </w:rPr>
        <w:t>技改项目噪声治理前后声值情况见表3-15。</w:t>
      </w: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b/>
        </w:rPr>
      </w:pPr>
    </w:p>
    <w:p>
      <w:pPr>
        <w:spacing w:line="440" w:lineRule="exact"/>
        <w:ind w:firstLine="480"/>
        <w:jc w:val="center"/>
        <w:rPr>
          <w:rFonts w:hint="eastAsia"/>
        </w:rPr>
      </w:pPr>
      <w:r>
        <w:rPr>
          <w:rFonts w:hint="eastAsia"/>
          <w:b/>
        </w:rPr>
        <w:t xml:space="preserve">表3-15  技改项目主要噪声设备及噪声  </w:t>
      </w:r>
      <w:r>
        <w:rPr>
          <w:rFonts w:hint="eastAsia"/>
        </w:rPr>
        <w:t xml:space="preserve"> </w:t>
      </w:r>
      <w:r>
        <w:t xml:space="preserve">   </w:t>
      </w:r>
      <w:r>
        <w:rPr>
          <w:rFonts w:hint="eastAsia"/>
        </w:rPr>
        <w:t>单位：</w:t>
      </w:r>
      <w:r>
        <w:t>d</w:t>
      </w:r>
      <w:r>
        <w:rPr>
          <w:rFonts w:hint="eastAsia"/>
        </w:rPr>
        <w:t>B</w:t>
      </w:r>
    </w:p>
    <w:tbl>
      <w:tblPr>
        <w:tblStyle w:val="20"/>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84"/>
        <w:gridCol w:w="1094"/>
        <w:gridCol w:w="849"/>
        <w:gridCol w:w="953"/>
        <w:gridCol w:w="2770"/>
        <w:gridCol w:w="436"/>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blHeader/>
        </w:trPr>
        <w:tc>
          <w:tcPr>
            <w:tcW w:w="451" w:type="dxa"/>
            <w:noWrap w:val="0"/>
            <w:vAlign w:val="center"/>
          </w:tcPr>
          <w:p>
            <w:pPr>
              <w:pStyle w:val="11"/>
              <w:jc w:val="center"/>
              <w:rPr>
                <w:rFonts w:ascii="Times New Roman" w:hAnsi="Times New Roman"/>
                <w:sz w:val="21"/>
                <w:szCs w:val="21"/>
              </w:rPr>
            </w:pPr>
            <w:r>
              <w:rPr>
                <w:rFonts w:ascii="Times New Roman" w:hAnsi="Times New Roman"/>
                <w:sz w:val="21"/>
                <w:szCs w:val="21"/>
              </w:rPr>
              <w:t>序号</w:t>
            </w:r>
          </w:p>
        </w:tc>
        <w:tc>
          <w:tcPr>
            <w:tcW w:w="1978" w:type="dxa"/>
            <w:gridSpan w:val="2"/>
            <w:noWrap w:val="0"/>
            <w:vAlign w:val="center"/>
          </w:tcPr>
          <w:p>
            <w:pPr>
              <w:pStyle w:val="11"/>
              <w:jc w:val="center"/>
              <w:rPr>
                <w:rFonts w:ascii="Times New Roman" w:hAnsi="Times New Roman"/>
                <w:sz w:val="21"/>
                <w:szCs w:val="21"/>
              </w:rPr>
            </w:pPr>
            <w:r>
              <w:rPr>
                <w:rFonts w:ascii="Times New Roman" w:hAnsi="Times New Roman"/>
                <w:sz w:val="21"/>
                <w:szCs w:val="21"/>
              </w:rPr>
              <w:t>设备名称及地点</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数量（台）</w:t>
            </w:r>
          </w:p>
        </w:tc>
        <w:tc>
          <w:tcPr>
            <w:tcW w:w="953" w:type="dxa"/>
            <w:noWrap w:val="0"/>
            <w:vAlign w:val="center"/>
          </w:tcPr>
          <w:p>
            <w:pPr>
              <w:pStyle w:val="11"/>
              <w:jc w:val="center"/>
              <w:rPr>
                <w:rFonts w:hint="eastAsia" w:ascii="Times New Roman" w:hAnsi="Times New Roman"/>
                <w:sz w:val="21"/>
                <w:szCs w:val="21"/>
              </w:rPr>
            </w:pPr>
            <w:r>
              <w:rPr>
                <w:rFonts w:ascii="Times New Roman" w:hAnsi="Times New Roman"/>
                <w:sz w:val="21"/>
                <w:szCs w:val="21"/>
              </w:rPr>
              <w:t>声源</w:t>
            </w:r>
          </w:p>
          <w:p>
            <w:pPr>
              <w:pStyle w:val="11"/>
              <w:jc w:val="center"/>
              <w:rPr>
                <w:rFonts w:ascii="Times New Roman" w:hAnsi="Times New Roman"/>
                <w:sz w:val="21"/>
                <w:szCs w:val="21"/>
              </w:rPr>
            </w:pPr>
            <w:r>
              <w:rPr>
                <w:rFonts w:ascii="Times New Roman" w:hAnsi="Times New Roman"/>
                <w:sz w:val="21"/>
                <w:szCs w:val="21"/>
              </w:rPr>
              <w:t>强度</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防  治  措  施</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隔声量</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对外噪声影响值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51" w:type="dxa"/>
            <w:vMerge w:val="restart"/>
            <w:noWrap w:val="0"/>
            <w:vAlign w:val="center"/>
          </w:tcPr>
          <w:p>
            <w:pPr>
              <w:pStyle w:val="7"/>
              <w:spacing w:line="240" w:lineRule="auto"/>
              <w:rPr>
                <w:sz w:val="21"/>
                <w:szCs w:val="21"/>
              </w:rPr>
            </w:pPr>
            <w:r>
              <w:rPr>
                <w:sz w:val="21"/>
                <w:szCs w:val="21"/>
              </w:rPr>
              <w:t>1</w:t>
            </w:r>
          </w:p>
        </w:tc>
        <w:tc>
          <w:tcPr>
            <w:tcW w:w="884" w:type="dxa"/>
            <w:vMerge w:val="restart"/>
            <w:noWrap w:val="0"/>
            <w:vAlign w:val="center"/>
          </w:tcPr>
          <w:p>
            <w:pPr>
              <w:pStyle w:val="7"/>
              <w:spacing w:line="240" w:lineRule="auto"/>
              <w:rPr>
                <w:sz w:val="21"/>
                <w:szCs w:val="21"/>
              </w:rPr>
            </w:pPr>
            <w:r>
              <w:rPr>
                <w:sz w:val="21"/>
                <w:szCs w:val="21"/>
              </w:rPr>
              <w:t>石灰石破碎车间</w:t>
            </w:r>
          </w:p>
        </w:tc>
        <w:tc>
          <w:tcPr>
            <w:tcW w:w="1094" w:type="dxa"/>
            <w:noWrap w:val="0"/>
            <w:vAlign w:val="center"/>
          </w:tcPr>
          <w:p>
            <w:pPr>
              <w:jc w:val="center"/>
              <w:rPr>
                <w:sz w:val="21"/>
                <w:szCs w:val="21"/>
              </w:rPr>
            </w:pPr>
            <w:r>
              <w:rPr>
                <w:sz w:val="21"/>
                <w:szCs w:val="21"/>
              </w:rPr>
              <w:t>破碎机</w:t>
            </w:r>
          </w:p>
        </w:tc>
        <w:tc>
          <w:tcPr>
            <w:tcW w:w="849" w:type="dxa"/>
            <w:noWrap w:val="0"/>
            <w:vAlign w:val="center"/>
          </w:tcPr>
          <w:p>
            <w:pPr>
              <w:pStyle w:val="7"/>
              <w:spacing w:line="240" w:lineRule="auto"/>
              <w:rPr>
                <w:sz w:val="21"/>
                <w:szCs w:val="21"/>
              </w:rPr>
            </w:pPr>
            <w:r>
              <w:rPr>
                <w:sz w:val="21"/>
                <w:szCs w:val="21"/>
              </w:rPr>
              <w:t>1</w:t>
            </w:r>
          </w:p>
        </w:tc>
        <w:tc>
          <w:tcPr>
            <w:tcW w:w="953" w:type="dxa"/>
            <w:noWrap w:val="0"/>
            <w:vAlign w:val="center"/>
          </w:tcPr>
          <w:p>
            <w:pPr>
              <w:jc w:val="center"/>
              <w:rPr>
                <w:sz w:val="21"/>
                <w:szCs w:val="21"/>
              </w:rPr>
            </w:pPr>
            <w:r>
              <w:rPr>
                <w:sz w:val="21"/>
                <w:szCs w:val="21"/>
              </w:rPr>
              <w:t>95~100</w:t>
            </w:r>
          </w:p>
        </w:tc>
        <w:tc>
          <w:tcPr>
            <w:tcW w:w="2770" w:type="dxa"/>
            <w:noWrap w:val="0"/>
            <w:vAlign w:val="center"/>
          </w:tcPr>
          <w:p>
            <w:pPr>
              <w:pStyle w:val="14"/>
              <w:widowControl/>
              <w:tabs>
                <w:tab w:val="clear" w:pos="4153"/>
                <w:tab w:val="clear" w:pos="8306"/>
              </w:tabs>
              <w:snapToGrid/>
              <w:jc w:val="center"/>
              <w:rPr>
                <w:kern w:val="0"/>
                <w:sz w:val="21"/>
                <w:szCs w:val="21"/>
              </w:rPr>
            </w:pPr>
            <w:r>
              <w:rPr>
                <w:kern w:val="0"/>
                <w:sz w:val="21"/>
                <w:szCs w:val="21"/>
              </w:rPr>
              <w:t>优化总图，半封闭式车间，破碎机安装在地坑内，减振</w:t>
            </w:r>
          </w:p>
        </w:tc>
        <w:tc>
          <w:tcPr>
            <w:tcW w:w="436" w:type="dxa"/>
            <w:noWrap w:val="0"/>
            <w:vAlign w:val="center"/>
          </w:tcPr>
          <w:p>
            <w:pPr>
              <w:pStyle w:val="7"/>
              <w:spacing w:line="240" w:lineRule="auto"/>
              <w:rPr>
                <w:sz w:val="21"/>
                <w:szCs w:val="21"/>
              </w:rPr>
            </w:pPr>
            <w:r>
              <w:rPr>
                <w:rFonts w:hint="eastAsia"/>
                <w:sz w:val="21"/>
                <w:szCs w:val="21"/>
              </w:rPr>
              <w:t>18</w:t>
            </w:r>
          </w:p>
        </w:tc>
        <w:tc>
          <w:tcPr>
            <w:tcW w:w="852" w:type="dxa"/>
            <w:noWrap w:val="0"/>
            <w:vAlign w:val="center"/>
          </w:tcPr>
          <w:p>
            <w:pPr>
              <w:pStyle w:val="7"/>
              <w:spacing w:line="240" w:lineRule="auto"/>
              <w:rPr>
                <w:rFonts w:hint="eastAsia"/>
                <w:sz w:val="21"/>
                <w:szCs w:val="21"/>
              </w:rPr>
            </w:pPr>
            <w:r>
              <w:rPr>
                <w:sz w:val="21"/>
                <w:szCs w:val="21"/>
              </w:rPr>
              <w:t>＜8</w:t>
            </w: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51" w:type="dxa"/>
            <w:vMerge w:val="continue"/>
            <w:noWrap w:val="0"/>
            <w:vAlign w:val="center"/>
          </w:tcPr>
          <w:p>
            <w:pPr>
              <w:pStyle w:val="7"/>
              <w:spacing w:line="240" w:lineRule="auto"/>
              <w:rPr>
                <w:sz w:val="21"/>
                <w:szCs w:val="21"/>
              </w:rPr>
            </w:pPr>
          </w:p>
        </w:tc>
        <w:tc>
          <w:tcPr>
            <w:tcW w:w="884" w:type="dxa"/>
            <w:vMerge w:val="continue"/>
            <w:noWrap w:val="0"/>
            <w:vAlign w:val="center"/>
          </w:tcPr>
          <w:p>
            <w:pPr>
              <w:pStyle w:val="7"/>
              <w:spacing w:line="240" w:lineRule="auto"/>
              <w:rPr>
                <w:sz w:val="21"/>
                <w:szCs w:val="21"/>
              </w:rPr>
            </w:pPr>
          </w:p>
        </w:tc>
        <w:tc>
          <w:tcPr>
            <w:tcW w:w="1094" w:type="dxa"/>
            <w:noWrap w:val="0"/>
            <w:vAlign w:val="center"/>
          </w:tcPr>
          <w:p>
            <w:pPr>
              <w:jc w:val="center"/>
              <w:rPr>
                <w:sz w:val="21"/>
                <w:szCs w:val="21"/>
              </w:rPr>
            </w:pPr>
            <w:r>
              <w:rPr>
                <w:sz w:val="21"/>
                <w:szCs w:val="21"/>
              </w:rPr>
              <w:t>除尘风机</w:t>
            </w:r>
          </w:p>
        </w:tc>
        <w:tc>
          <w:tcPr>
            <w:tcW w:w="849" w:type="dxa"/>
            <w:noWrap w:val="0"/>
            <w:vAlign w:val="center"/>
          </w:tcPr>
          <w:p>
            <w:pPr>
              <w:pStyle w:val="7"/>
              <w:spacing w:line="240" w:lineRule="auto"/>
              <w:rPr>
                <w:sz w:val="21"/>
                <w:szCs w:val="21"/>
              </w:rPr>
            </w:pPr>
            <w:r>
              <w:rPr>
                <w:sz w:val="21"/>
                <w:szCs w:val="21"/>
              </w:rPr>
              <w:t>1</w:t>
            </w:r>
          </w:p>
        </w:tc>
        <w:tc>
          <w:tcPr>
            <w:tcW w:w="953" w:type="dxa"/>
            <w:noWrap w:val="0"/>
            <w:vAlign w:val="center"/>
          </w:tcPr>
          <w:p>
            <w:pPr>
              <w:jc w:val="center"/>
              <w:rPr>
                <w:sz w:val="21"/>
                <w:szCs w:val="21"/>
              </w:rPr>
            </w:pPr>
            <w:r>
              <w:rPr>
                <w:sz w:val="21"/>
                <w:szCs w:val="21"/>
              </w:rPr>
              <w:t>85~90</w:t>
            </w:r>
          </w:p>
        </w:tc>
        <w:tc>
          <w:tcPr>
            <w:tcW w:w="2770" w:type="dxa"/>
            <w:noWrap w:val="0"/>
            <w:vAlign w:val="center"/>
          </w:tcPr>
          <w:p>
            <w:pPr>
              <w:jc w:val="center"/>
              <w:rPr>
                <w:sz w:val="21"/>
                <w:szCs w:val="21"/>
              </w:rPr>
            </w:pPr>
            <w:r>
              <w:rPr>
                <w:sz w:val="21"/>
                <w:szCs w:val="21"/>
              </w:rPr>
              <w:t>除尘风机隔声、消声，减振</w:t>
            </w:r>
          </w:p>
        </w:tc>
        <w:tc>
          <w:tcPr>
            <w:tcW w:w="436" w:type="dxa"/>
            <w:noWrap w:val="0"/>
            <w:vAlign w:val="center"/>
          </w:tcPr>
          <w:p>
            <w:pPr>
              <w:pStyle w:val="7"/>
              <w:spacing w:line="240" w:lineRule="auto"/>
              <w:rPr>
                <w:sz w:val="21"/>
                <w:szCs w:val="21"/>
              </w:rPr>
            </w:pPr>
            <w:r>
              <w:rPr>
                <w:rFonts w:hint="eastAsia"/>
                <w:sz w:val="21"/>
                <w:szCs w:val="21"/>
              </w:rPr>
              <w:t>30</w:t>
            </w:r>
          </w:p>
        </w:tc>
        <w:tc>
          <w:tcPr>
            <w:tcW w:w="852" w:type="dxa"/>
            <w:noWrap w:val="0"/>
            <w:vAlign w:val="center"/>
          </w:tcPr>
          <w:p>
            <w:pPr>
              <w:pStyle w:val="7"/>
              <w:spacing w:line="240" w:lineRule="auto"/>
              <w:rPr>
                <w:sz w:val="21"/>
                <w:szCs w:val="21"/>
              </w:rPr>
            </w:pPr>
            <w:r>
              <w:rPr>
                <w:sz w:val="21"/>
                <w:szCs w:val="21"/>
              </w:rPr>
              <w:t>＜</w:t>
            </w:r>
            <w:r>
              <w:rPr>
                <w:rFonts w:hint="eastAsia"/>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2</w:t>
            </w:r>
          </w:p>
        </w:tc>
        <w:tc>
          <w:tcPr>
            <w:tcW w:w="884" w:type="dxa"/>
            <w:vMerge w:val="restart"/>
            <w:noWrap w:val="0"/>
            <w:vAlign w:val="center"/>
          </w:tcPr>
          <w:p>
            <w:pPr>
              <w:pStyle w:val="11"/>
              <w:ind w:left="-105" w:leftChars="-50" w:right="-105" w:rightChars="-50"/>
              <w:jc w:val="center"/>
              <w:rPr>
                <w:rFonts w:ascii="Times New Roman" w:hAnsi="Times New Roman"/>
                <w:sz w:val="21"/>
                <w:szCs w:val="21"/>
              </w:rPr>
            </w:pPr>
            <w:r>
              <w:rPr>
                <w:rFonts w:ascii="Times New Roman" w:hAnsi="Times New Roman"/>
                <w:sz w:val="21"/>
                <w:szCs w:val="21"/>
              </w:rPr>
              <w:t>生料磨车间</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立磨</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restart"/>
            <w:noWrap w:val="0"/>
            <w:vAlign w:val="center"/>
          </w:tcPr>
          <w:p>
            <w:pPr>
              <w:pStyle w:val="14"/>
              <w:widowControl/>
              <w:tabs>
                <w:tab w:val="clear" w:pos="4153"/>
                <w:tab w:val="clear" w:pos="8306"/>
              </w:tabs>
              <w:snapToGrid/>
              <w:jc w:val="center"/>
              <w:rPr>
                <w:sz w:val="21"/>
                <w:szCs w:val="21"/>
              </w:rPr>
            </w:pPr>
            <w:r>
              <w:rPr>
                <w:kern w:val="0"/>
                <w:sz w:val="21"/>
                <w:szCs w:val="21"/>
              </w:rPr>
              <w:t>封闭式车间，</w:t>
            </w:r>
            <w:r>
              <w:rPr>
                <w:sz w:val="21"/>
                <w:szCs w:val="21"/>
              </w:rPr>
              <w:t>设置隔声门窗，通风口消声，</w:t>
            </w:r>
            <w:r>
              <w:rPr>
                <w:kern w:val="0"/>
                <w:sz w:val="21"/>
                <w:szCs w:val="21"/>
              </w:rPr>
              <w:t>循环风机消声，减振</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15</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选粉机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循环风机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循环风机电机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hint="eastAsia" w:ascii="Times New Roman" w:hAnsi="Times New Roman"/>
                <w:sz w:val="21"/>
                <w:szCs w:val="21"/>
              </w:rPr>
              <w:t>3</w:t>
            </w:r>
          </w:p>
        </w:tc>
        <w:tc>
          <w:tcPr>
            <w:tcW w:w="884" w:type="dxa"/>
            <w:noWrap w:val="0"/>
            <w:vAlign w:val="center"/>
          </w:tcPr>
          <w:p>
            <w:pPr>
              <w:pStyle w:val="11"/>
              <w:ind w:left="-105" w:leftChars="-50" w:right="-105" w:rightChars="-50"/>
              <w:jc w:val="center"/>
              <w:rPr>
                <w:rFonts w:ascii="Times New Roman" w:hAnsi="Times New Roman"/>
                <w:sz w:val="21"/>
                <w:szCs w:val="21"/>
              </w:rPr>
            </w:pPr>
            <w:r>
              <w:rPr>
                <w:rFonts w:ascii="Times New Roman" w:hAnsi="Times New Roman"/>
                <w:sz w:val="21"/>
                <w:szCs w:val="21"/>
              </w:rPr>
              <w:t>生料均化库</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罗茨风机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2</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95~105</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安装消声器，风机房隔声，减振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30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ascii="Times New Roman" w:hAnsi="Times New Roman"/>
                <w:sz w:val="21"/>
                <w:szCs w:val="21"/>
              </w:rPr>
            </w:pPr>
            <w:r>
              <w:rPr>
                <w:rFonts w:hint="eastAsia" w:ascii="Times New Roman" w:hAnsi="Times New Roman"/>
                <w:sz w:val="21"/>
                <w:szCs w:val="21"/>
              </w:rPr>
              <w:t>4</w:t>
            </w:r>
          </w:p>
        </w:tc>
        <w:tc>
          <w:tcPr>
            <w:tcW w:w="884" w:type="dxa"/>
            <w:vMerge w:val="restart"/>
            <w:noWrap w:val="0"/>
            <w:vAlign w:val="center"/>
          </w:tcPr>
          <w:p>
            <w:pPr>
              <w:pStyle w:val="11"/>
              <w:ind w:left="-105" w:leftChars="-50" w:right="-105" w:rightChars="-50"/>
              <w:jc w:val="center"/>
              <w:rPr>
                <w:rFonts w:ascii="Times New Roman" w:hAnsi="Times New Roman"/>
                <w:sz w:val="21"/>
                <w:szCs w:val="21"/>
              </w:rPr>
            </w:pPr>
            <w:r>
              <w:rPr>
                <w:rFonts w:ascii="Times New Roman" w:hAnsi="Times New Roman"/>
                <w:sz w:val="21"/>
                <w:szCs w:val="21"/>
              </w:rPr>
              <w:t>窑</w:t>
            </w:r>
            <w:r>
              <w:rPr>
                <w:rFonts w:hint="eastAsia" w:ascii="Times New Roman" w:hAnsi="Times New Roman"/>
                <w:sz w:val="21"/>
                <w:szCs w:val="21"/>
              </w:rPr>
              <w:t>磨</w:t>
            </w:r>
            <w:r>
              <w:rPr>
                <w:rFonts w:ascii="Times New Roman" w:hAnsi="Times New Roman"/>
                <w:sz w:val="21"/>
                <w:szCs w:val="21"/>
              </w:rPr>
              <w:t>废气处理</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高压离心风机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95~105</w:t>
            </w:r>
          </w:p>
        </w:tc>
        <w:tc>
          <w:tcPr>
            <w:tcW w:w="2770"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风机隔声及消声，减振，优化总图布置</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废气风机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95~105</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51" w:type="dxa"/>
            <w:vMerge w:val="restart"/>
            <w:noWrap w:val="0"/>
            <w:vAlign w:val="center"/>
          </w:tcPr>
          <w:p>
            <w:pPr>
              <w:pStyle w:val="11"/>
              <w:jc w:val="center"/>
              <w:rPr>
                <w:rFonts w:ascii="Times New Roman" w:hAnsi="Times New Roman"/>
                <w:sz w:val="21"/>
                <w:szCs w:val="21"/>
              </w:rPr>
            </w:pPr>
            <w:r>
              <w:rPr>
                <w:rFonts w:hint="eastAsia" w:ascii="Times New Roman" w:hAnsi="Times New Roman"/>
                <w:sz w:val="21"/>
                <w:szCs w:val="21"/>
              </w:rPr>
              <w:t>5</w:t>
            </w:r>
          </w:p>
        </w:tc>
        <w:tc>
          <w:tcPr>
            <w:tcW w:w="884"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煤粉制备</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立式煤磨</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半封闭式车间，风机隔声，减振</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煤磨系统风机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hint="eastAsia" w:ascii="Times New Roman" w:hAnsi="Times New Roman"/>
                <w:sz w:val="21"/>
                <w:szCs w:val="21"/>
              </w:rPr>
              <w:t>6</w:t>
            </w:r>
          </w:p>
        </w:tc>
        <w:tc>
          <w:tcPr>
            <w:tcW w:w="884" w:type="dxa"/>
            <w:noWrap w:val="0"/>
            <w:vAlign w:val="center"/>
          </w:tcPr>
          <w:p>
            <w:pPr>
              <w:pStyle w:val="11"/>
              <w:jc w:val="center"/>
              <w:rPr>
                <w:rFonts w:ascii="Times New Roman" w:hAnsi="Times New Roman"/>
                <w:sz w:val="21"/>
                <w:szCs w:val="21"/>
              </w:rPr>
            </w:pPr>
            <w:r>
              <w:rPr>
                <w:rFonts w:ascii="Times New Roman" w:hAnsi="Times New Roman"/>
                <w:sz w:val="21"/>
                <w:szCs w:val="21"/>
              </w:rPr>
              <w:t>空压机站</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空压机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5</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半封闭式车间，减振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hint="eastAsia" w:ascii="Times New Roman" w:hAnsi="Times New Roman"/>
                <w:sz w:val="21"/>
                <w:szCs w:val="21"/>
              </w:rPr>
              <w:t>7</w:t>
            </w:r>
          </w:p>
        </w:tc>
        <w:tc>
          <w:tcPr>
            <w:tcW w:w="884" w:type="dxa"/>
            <w:noWrap w:val="0"/>
            <w:vAlign w:val="center"/>
          </w:tcPr>
          <w:p>
            <w:pPr>
              <w:pStyle w:val="11"/>
              <w:jc w:val="center"/>
              <w:rPr>
                <w:rFonts w:ascii="Times New Roman" w:hAnsi="Times New Roman"/>
                <w:sz w:val="21"/>
                <w:szCs w:val="21"/>
              </w:rPr>
            </w:pPr>
            <w:r>
              <w:rPr>
                <w:rFonts w:ascii="Times New Roman" w:hAnsi="Times New Roman"/>
                <w:sz w:val="21"/>
                <w:szCs w:val="21"/>
              </w:rPr>
              <w:t>篦冷机风机及窑中降温风机</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离心风机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4</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90~100</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安装在室内隔声，风机安装消声器，减振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w:t>
            </w:r>
          </w:p>
        </w:tc>
        <w:tc>
          <w:tcPr>
            <w:tcW w:w="884" w:type="dxa"/>
            <w:vMerge w:val="restart"/>
            <w:noWrap w:val="0"/>
            <w:vAlign w:val="center"/>
          </w:tcPr>
          <w:p>
            <w:pPr>
              <w:pStyle w:val="11"/>
              <w:ind w:left="-105" w:leftChars="-50" w:right="-105" w:rightChars="-50"/>
              <w:jc w:val="center"/>
              <w:rPr>
                <w:rFonts w:ascii="Times New Roman" w:hAnsi="Times New Roman"/>
                <w:sz w:val="21"/>
                <w:szCs w:val="21"/>
              </w:rPr>
            </w:pPr>
            <w:r>
              <w:rPr>
                <w:rFonts w:ascii="Times New Roman" w:hAnsi="Times New Roman"/>
                <w:sz w:val="21"/>
                <w:szCs w:val="21"/>
              </w:rPr>
              <w:t>水泥磨车间</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水泥磨</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95~105</w:t>
            </w:r>
          </w:p>
        </w:tc>
        <w:tc>
          <w:tcPr>
            <w:tcW w:w="2770"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封闭式车间，设置隔声门窗，减振，对主要散热设备采取降温措施 ，循环风消声、减振</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30</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循环风机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选粉机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循环风机电机</w:t>
            </w:r>
          </w:p>
        </w:tc>
        <w:tc>
          <w:tcPr>
            <w:tcW w:w="849" w:type="dxa"/>
            <w:noWrap w:val="0"/>
            <w:vAlign w:val="center"/>
          </w:tcPr>
          <w:p>
            <w:pPr>
              <w:pStyle w:val="11"/>
              <w:jc w:val="center"/>
              <w:rPr>
                <w:rFonts w:ascii="Times New Roman" w:hAnsi="Times New Roman"/>
                <w:sz w:val="21"/>
                <w:szCs w:val="21"/>
              </w:rPr>
            </w:pP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ascii="Times New Roman" w:hAnsi="Times New Roman"/>
                <w:sz w:val="21"/>
                <w:szCs w:val="21"/>
              </w:rPr>
              <w:t>9</w:t>
            </w:r>
          </w:p>
        </w:tc>
        <w:tc>
          <w:tcPr>
            <w:tcW w:w="884" w:type="dxa"/>
            <w:noWrap w:val="0"/>
            <w:vAlign w:val="center"/>
          </w:tcPr>
          <w:p>
            <w:pPr>
              <w:pStyle w:val="11"/>
              <w:jc w:val="center"/>
              <w:rPr>
                <w:rFonts w:ascii="Times New Roman" w:hAnsi="Times New Roman"/>
                <w:sz w:val="21"/>
                <w:szCs w:val="21"/>
              </w:rPr>
            </w:pPr>
            <w:r>
              <w:rPr>
                <w:rFonts w:ascii="Times New Roman" w:hAnsi="Times New Roman"/>
                <w:sz w:val="21"/>
                <w:szCs w:val="21"/>
              </w:rPr>
              <w:t>水泥库</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罗茨风机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6</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95~105</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安装消声器，风机房隔声、减振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30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ascii="Times New Roman" w:hAnsi="Times New Roman"/>
                <w:sz w:val="21"/>
                <w:szCs w:val="21"/>
              </w:rPr>
              <w:t>10</w:t>
            </w:r>
          </w:p>
        </w:tc>
        <w:tc>
          <w:tcPr>
            <w:tcW w:w="884" w:type="dxa"/>
            <w:noWrap w:val="0"/>
            <w:vAlign w:val="center"/>
          </w:tcPr>
          <w:p>
            <w:pPr>
              <w:pStyle w:val="11"/>
              <w:jc w:val="center"/>
              <w:rPr>
                <w:rFonts w:ascii="Times New Roman" w:hAnsi="Times New Roman"/>
                <w:sz w:val="21"/>
                <w:szCs w:val="21"/>
              </w:rPr>
            </w:pPr>
            <w:r>
              <w:rPr>
                <w:rFonts w:ascii="Times New Roman" w:hAnsi="Times New Roman"/>
                <w:sz w:val="21"/>
                <w:szCs w:val="21"/>
              </w:rPr>
              <w:t>包装车间</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除尘风机</w:t>
            </w:r>
          </w:p>
        </w:tc>
        <w:tc>
          <w:tcPr>
            <w:tcW w:w="849" w:type="dxa"/>
            <w:noWrap w:val="0"/>
            <w:vAlign w:val="center"/>
          </w:tcPr>
          <w:p>
            <w:pPr>
              <w:pStyle w:val="11"/>
              <w:jc w:val="center"/>
              <w:rPr>
                <w:rFonts w:hint="eastAsia" w:ascii="Times New Roman" w:hAnsi="Times New Roman"/>
                <w:sz w:val="21"/>
                <w:szCs w:val="21"/>
              </w:rPr>
            </w:pPr>
            <w:r>
              <w:rPr>
                <w:rFonts w:hint="eastAsia" w:ascii="Times New Roman" w:hAnsi="Times New Roman"/>
                <w:sz w:val="21"/>
                <w:szCs w:val="21"/>
              </w:rPr>
              <w:t>4</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消声，隔声，减振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noWrap w:val="0"/>
            <w:vAlign w:val="center"/>
          </w:tcPr>
          <w:p>
            <w:pPr>
              <w:pStyle w:val="11"/>
              <w:jc w:val="center"/>
              <w:rPr>
                <w:rFonts w:ascii="Times New Roman" w:hAnsi="Times New Roman"/>
                <w:sz w:val="21"/>
                <w:szCs w:val="21"/>
              </w:rPr>
            </w:pPr>
            <w:r>
              <w:rPr>
                <w:rFonts w:ascii="Times New Roman" w:hAnsi="Times New Roman"/>
                <w:sz w:val="21"/>
                <w:szCs w:val="21"/>
              </w:rPr>
              <w:t>11</w:t>
            </w:r>
          </w:p>
        </w:tc>
        <w:tc>
          <w:tcPr>
            <w:tcW w:w="884" w:type="dxa"/>
            <w:noWrap w:val="0"/>
            <w:vAlign w:val="center"/>
          </w:tcPr>
          <w:p>
            <w:pPr>
              <w:pStyle w:val="11"/>
              <w:jc w:val="center"/>
              <w:rPr>
                <w:rFonts w:ascii="Times New Roman" w:hAnsi="Times New Roman"/>
                <w:sz w:val="21"/>
                <w:szCs w:val="21"/>
              </w:rPr>
            </w:pPr>
            <w:r>
              <w:rPr>
                <w:rFonts w:ascii="Times New Roman" w:hAnsi="Times New Roman"/>
                <w:sz w:val="21"/>
                <w:szCs w:val="21"/>
              </w:rPr>
              <w:t>循环水泵房</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水泵</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2</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80~85</w:t>
            </w:r>
          </w:p>
        </w:tc>
        <w:tc>
          <w:tcPr>
            <w:tcW w:w="2770" w:type="dxa"/>
            <w:noWrap w:val="0"/>
            <w:vAlign w:val="center"/>
          </w:tcPr>
          <w:p>
            <w:pPr>
              <w:pStyle w:val="11"/>
              <w:jc w:val="center"/>
              <w:rPr>
                <w:rFonts w:ascii="Times New Roman" w:hAnsi="Times New Roman"/>
                <w:sz w:val="21"/>
                <w:szCs w:val="21"/>
              </w:rPr>
            </w:pPr>
            <w:r>
              <w:rPr>
                <w:rFonts w:ascii="Times New Roman" w:hAnsi="Times New Roman"/>
                <w:sz w:val="21"/>
                <w:szCs w:val="21"/>
              </w:rPr>
              <w:t>设在隔声房内，减振</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25</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12</w:t>
            </w:r>
          </w:p>
        </w:tc>
        <w:tc>
          <w:tcPr>
            <w:tcW w:w="884"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辅助原料破碎</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破碎机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厂房隔声，除尘风机消声、隔声，减振</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20</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除尘风机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13</w:t>
            </w:r>
          </w:p>
        </w:tc>
        <w:tc>
          <w:tcPr>
            <w:tcW w:w="884"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石膏破碎</w:t>
            </w: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锤式破碎机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85~90</w:t>
            </w:r>
          </w:p>
        </w:tc>
        <w:tc>
          <w:tcPr>
            <w:tcW w:w="2770"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厂房隔声，除尘风机消声、隔声，减振</w:t>
            </w: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ind w:firstLine="420" w:firstLineChars="200"/>
              <w:jc w:val="center"/>
              <w:rPr>
                <w:rFonts w:ascii="Times New Roman" w:hAnsi="Times New Roman"/>
                <w:sz w:val="21"/>
                <w:szCs w:val="21"/>
              </w:rPr>
            </w:pPr>
          </w:p>
        </w:tc>
        <w:tc>
          <w:tcPr>
            <w:tcW w:w="1094" w:type="dxa"/>
            <w:noWrap w:val="0"/>
            <w:vAlign w:val="center"/>
          </w:tcPr>
          <w:p>
            <w:pPr>
              <w:pStyle w:val="11"/>
              <w:jc w:val="center"/>
              <w:rPr>
                <w:rFonts w:ascii="Times New Roman" w:hAnsi="Times New Roman"/>
                <w:sz w:val="21"/>
                <w:szCs w:val="21"/>
              </w:rPr>
            </w:pPr>
            <w:r>
              <w:rPr>
                <w:rFonts w:ascii="Times New Roman" w:hAnsi="Times New Roman"/>
                <w:sz w:val="21"/>
                <w:szCs w:val="21"/>
              </w:rPr>
              <w:t>除尘风机</w:t>
            </w:r>
          </w:p>
        </w:tc>
        <w:tc>
          <w:tcPr>
            <w:tcW w:w="849" w:type="dxa"/>
            <w:noWrap w:val="0"/>
            <w:vAlign w:val="center"/>
          </w:tcPr>
          <w:p>
            <w:pPr>
              <w:pStyle w:val="11"/>
              <w:jc w:val="center"/>
              <w:rPr>
                <w:rFonts w:ascii="Times New Roman" w:hAnsi="Times New Roman"/>
                <w:sz w:val="21"/>
                <w:szCs w:val="21"/>
              </w:rPr>
            </w:pPr>
            <w:r>
              <w:rPr>
                <w:rFonts w:ascii="Times New Roman" w:hAnsi="Times New Roman"/>
                <w:sz w:val="21"/>
                <w:szCs w:val="21"/>
              </w:rPr>
              <w:t>1</w:t>
            </w:r>
          </w:p>
        </w:tc>
        <w:tc>
          <w:tcPr>
            <w:tcW w:w="953" w:type="dxa"/>
            <w:noWrap w:val="0"/>
            <w:vAlign w:val="center"/>
          </w:tcPr>
          <w:p>
            <w:pPr>
              <w:pStyle w:val="11"/>
              <w:jc w:val="center"/>
              <w:rPr>
                <w:rFonts w:ascii="Times New Roman" w:hAnsi="Times New Roman"/>
                <w:sz w:val="21"/>
                <w:szCs w:val="21"/>
              </w:rPr>
            </w:pPr>
            <w:r>
              <w:rPr>
                <w:rFonts w:ascii="Times New Roman" w:hAnsi="Times New Roman"/>
                <w:sz w:val="21"/>
                <w:szCs w:val="21"/>
              </w:rPr>
              <w:t>90~95</w:t>
            </w:r>
          </w:p>
        </w:tc>
        <w:tc>
          <w:tcPr>
            <w:tcW w:w="2770" w:type="dxa"/>
            <w:vMerge w:val="continue"/>
            <w:noWrap w:val="0"/>
            <w:vAlign w:val="center"/>
          </w:tcPr>
          <w:p>
            <w:pPr>
              <w:pStyle w:val="11"/>
              <w:jc w:val="center"/>
              <w:rPr>
                <w:rFonts w:ascii="Times New Roman" w:hAnsi="Times New Roman"/>
                <w:sz w:val="21"/>
                <w:szCs w:val="21"/>
              </w:rPr>
            </w:pP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restart"/>
            <w:noWrap w:val="0"/>
            <w:vAlign w:val="center"/>
          </w:tcPr>
          <w:p>
            <w:pPr>
              <w:pStyle w:val="11"/>
              <w:jc w:val="center"/>
              <w:rPr>
                <w:rFonts w:hint="eastAsia" w:ascii="Times New Roman" w:hAnsi="Times New Roman"/>
                <w:sz w:val="21"/>
                <w:szCs w:val="21"/>
              </w:rPr>
            </w:pPr>
            <w:r>
              <w:rPr>
                <w:rFonts w:ascii="Times New Roman" w:hAnsi="Times New Roman"/>
                <w:sz w:val="21"/>
                <w:szCs w:val="21"/>
              </w:rPr>
              <w:t>14</w:t>
            </w:r>
          </w:p>
          <w:p>
            <w:pPr>
              <w:pStyle w:val="11"/>
              <w:jc w:val="center"/>
              <w:rPr>
                <w:rFonts w:hint="eastAsia" w:ascii="Times New Roman" w:hAnsi="Times New Roman"/>
                <w:sz w:val="21"/>
                <w:szCs w:val="21"/>
              </w:rPr>
            </w:pPr>
          </w:p>
        </w:tc>
        <w:tc>
          <w:tcPr>
            <w:tcW w:w="884"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余热发电系统</w:t>
            </w:r>
          </w:p>
        </w:tc>
        <w:tc>
          <w:tcPr>
            <w:tcW w:w="1094" w:type="dxa"/>
            <w:noWrap w:val="0"/>
            <w:vAlign w:val="center"/>
          </w:tcPr>
          <w:p>
            <w:pPr>
              <w:pStyle w:val="15"/>
              <w:widowControl/>
              <w:pBdr>
                <w:bottom w:val="none" w:color="auto" w:sz="0" w:space="0"/>
              </w:pBdr>
              <w:tabs>
                <w:tab w:val="clear" w:pos="4153"/>
                <w:tab w:val="clear" w:pos="8306"/>
              </w:tabs>
              <w:snapToGrid/>
              <w:rPr>
                <w:kern w:val="0"/>
                <w:sz w:val="21"/>
                <w:szCs w:val="21"/>
              </w:rPr>
            </w:pPr>
            <w:r>
              <w:rPr>
                <w:kern w:val="0"/>
                <w:sz w:val="21"/>
                <w:szCs w:val="21"/>
              </w:rPr>
              <w:t>发电机</w:t>
            </w:r>
          </w:p>
        </w:tc>
        <w:tc>
          <w:tcPr>
            <w:tcW w:w="849" w:type="dxa"/>
            <w:noWrap w:val="0"/>
            <w:vAlign w:val="center"/>
          </w:tcPr>
          <w:p>
            <w:pPr>
              <w:jc w:val="center"/>
              <w:rPr>
                <w:sz w:val="21"/>
                <w:szCs w:val="21"/>
              </w:rPr>
            </w:pPr>
            <w:r>
              <w:rPr>
                <w:sz w:val="21"/>
                <w:szCs w:val="21"/>
              </w:rPr>
              <w:t>1</w:t>
            </w:r>
          </w:p>
        </w:tc>
        <w:tc>
          <w:tcPr>
            <w:tcW w:w="953" w:type="dxa"/>
            <w:noWrap w:val="0"/>
            <w:vAlign w:val="center"/>
          </w:tcPr>
          <w:p>
            <w:pPr>
              <w:jc w:val="center"/>
              <w:rPr>
                <w:sz w:val="21"/>
                <w:szCs w:val="21"/>
              </w:rPr>
            </w:pPr>
            <w:r>
              <w:rPr>
                <w:sz w:val="21"/>
                <w:szCs w:val="21"/>
              </w:rPr>
              <w:t>90~95</w:t>
            </w:r>
          </w:p>
        </w:tc>
        <w:tc>
          <w:tcPr>
            <w:tcW w:w="2770" w:type="dxa"/>
            <w:noWrap w:val="0"/>
            <w:vAlign w:val="center"/>
          </w:tcPr>
          <w:p>
            <w:pPr>
              <w:pStyle w:val="14"/>
              <w:widowControl/>
              <w:tabs>
                <w:tab w:val="clear" w:pos="4153"/>
                <w:tab w:val="clear" w:pos="8306"/>
              </w:tabs>
              <w:snapToGrid/>
              <w:jc w:val="center"/>
              <w:rPr>
                <w:kern w:val="0"/>
                <w:sz w:val="21"/>
                <w:szCs w:val="21"/>
              </w:rPr>
            </w:pPr>
            <w:r>
              <w:rPr>
                <w:kern w:val="0"/>
                <w:sz w:val="21"/>
                <w:szCs w:val="21"/>
              </w:rPr>
              <w:t>封闭车间隔声，减振</w:t>
            </w:r>
          </w:p>
        </w:tc>
        <w:tc>
          <w:tcPr>
            <w:tcW w:w="436"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15</w:t>
            </w:r>
          </w:p>
        </w:tc>
        <w:tc>
          <w:tcPr>
            <w:tcW w:w="852" w:type="dxa"/>
            <w:vMerge w:val="restart"/>
            <w:noWrap w:val="0"/>
            <w:vAlign w:val="center"/>
          </w:tcPr>
          <w:p>
            <w:pPr>
              <w:pStyle w:val="11"/>
              <w:jc w:val="center"/>
              <w:rPr>
                <w:rFonts w:ascii="Times New Roman" w:hAnsi="Times New Roman"/>
                <w:sz w:val="21"/>
                <w:szCs w:val="21"/>
              </w:rPr>
            </w:pPr>
            <w:r>
              <w:rPr>
                <w:rFonts w:ascii="Times New Roman" w:hAnsi="Times New Roman"/>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ind w:firstLine="420" w:firstLineChars="200"/>
              <w:jc w:val="center"/>
              <w:rPr>
                <w:rFonts w:ascii="Times New Roman" w:hAnsi="Times New Roman"/>
                <w:sz w:val="21"/>
                <w:szCs w:val="21"/>
              </w:rPr>
            </w:pPr>
          </w:p>
        </w:tc>
        <w:tc>
          <w:tcPr>
            <w:tcW w:w="1094" w:type="dxa"/>
            <w:noWrap w:val="0"/>
            <w:vAlign w:val="center"/>
          </w:tcPr>
          <w:p>
            <w:pPr>
              <w:pStyle w:val="15"/>
              <w:widowControl/>
              <w:pBdr>
                <w:bottom w:val="none" w:color="auto" w:sz="0" w:space="0"/>
              </w:pBdr>
              <w:tabs>
                <w:tab w:val="clear" w:pos="4153"/>
                <w:tab w:val="clear" w:pos="8306"/>
              </w:tabs>
              <w:snapToGrid/>
              <w:rPr>
                <w:kern w:val="0"/>
                <w:sz w:val="21"/>
                <w:szCs w:val="21"/>
              </w:rPr>
            </w:pPr>
            <w:r>
              <w:rPr>
                <w:kern w:val="0"/>
                <w:sz w:val="21"/>
                <w:szCs w:val="21"/>
              </w:rPr>
              <w:t>汽轮机</w:t>
            </w:r>
          </w:p>
        </w:tc>
        <w:tc>
          <w:tcPr>
            <w:tcW w:w="849" w:type="dxa"/>
            <w:noWrap w:val="0"/>
            <w:vAlign w:val="center"/>
          </w:tcPr>
          <w:p>
            <w:pPr>
              <w:jc w:val="center"/>
              <w:rPr>
                <w:sz w:val="21"/>
                <w:szCs w:val="21"/>
              </w:rPr>
            </w:pPr>
            <w:r>
              <w:rPr>
                <w:sz w:val="21"/>
                <w:szCs w:val="21"/>
              </w:rPr>
              <w:t>1</w:t>
            </w:r>
          </w:p>
        </w:tc>
        <w:tc>
          <w:tcPr>
            <w:tcW w:w="953" w:type="dxa"/>
            <w:noWrap w:val="0"/>
            <w:vAlign w:val="center"/>
          </w:tcPr>
          <w:p>
            <w:pPr>
              <w:jc w:val="center"/>
              <w:rPr>
                <w:sz w:val="21"/>
                <w:szCs w:val="21"/>
              </w:rPr>
            </w:pPr>
            <w:r>
              <w:rPr>
                <w:sz w:val="21"/>
                <w:szCs w:val="21"/>
              </w:rPr>
              <w:t>90~95</w:t>
            </w:r>
          </w:p>
        </w:tc>
        <w:tc>
          <w:tcPr>
            <w:tcW w:w="2770" w:type="dxa"/>
            <w:noWrap w:val="0"/>
            <w:vAlign w:val="center"/>
          </w:tcPr>
          <w:p>
            <w:pPr>
              <w:pStyle w:val="14"/>
              <w:widowControl/>
              <w:tabs>
                <w:tab w:val="clear" w:pos="4153"/>
                <w:tab w:val="clear" w:pos="8306"/>
              </w:tabs>
              <w:snapToGrid/>
              <w:jc w:val="center"/>
              <w:rPr>
                <w:kern w:val="0"/>
                <w:sz w:val="21"/>
                <w:szCs w:val="21"/>
              </w:rPr>
            </w:pPr>
            <w:r>
              <w:rPr>
                <w:kern w:val="0"/>
                <w:sz w:val="21"/>
                <w:szCs w:val="21"/>
              </w:rPr>
              <w:t>封闭车间隔声，减振</w:t>
            </w: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ind w:firstLine="420" w:firstLineChars="200"/>
              <w:jc w:val="center"/>
              <w:rPr>
                <w:rFonts w:ascii="Times New Roman" w:hAnsi="Times New Roman"/>
                <w:sz w:val="21"/>
                <w:szCs w:val="21"/>
              </w:rPr>
            </w:pPr>
          </w:p>
        </w:tc>
        <w:tc>
          <w:tcPr>
            <w:tcW w:w="1094" w:type="dxa"/>
            <w:noWrap w:val="0"/>
            <w:vAlign w:val="center"/>
          </w:tcPr>
          <w:p>
            <w:pPr>
              <w:pStyle w:val="15"/>
              <w:widowControl/>
              <w:pBdr>
                <w:bottom w:val="none" w:color="auto" w:sz="0" w:space="0"/>
              </w:pBdr>
              <w:tabs>
                <w:tab w:val="clear" w:pos="4153"/>
                <w:tab w:val="clear" w:pos="8306"/>
              </w:tabs>
              <w:snapToGrid/>
              <w:rPr>
                <w:kern w:val="0"/>
                <w:sz w:val="21"/>
                <w:szCs w:val="21"/>
              </w:rPr>
            </w:pPr>
            <w:r>
              <w:rPr>
                <w:kern w:val="0"/>
                <w:sz w:val="21"/>
                <w:szCs w:val="21"/>
              </w:rPr>
              <w:t>水泵</w:t>
            </w:r>
          </w:p>
        </w:tc>
        <w:tc>
          <w:tcPr>
            <w:tcW w:w="849" w:type="dxa"/>
            <w:noWrap w:val="0"/>
            <w:vAlign w:val="center"/>
          </w:tcPr>
          <w:p>
            <w:pPr>
              <w:jc w:val="center"/>
              <w:rPr>
                <w:sz w:val="21"/>
                <w:szCs w:val="21"/>
              </w:rPr>
            </w:pPr>
            <w:r>
              <w:rPr>
                <w:sz w:val="21"/>
                <w:szCs w:val="21"/>
              </w:rPr>
              <w:t>2</w:t>
            </w:r>
          </w:p>
        </w:tc>
        <w:tc>
          <w:tcPr>
            <w:tcW w:w="953" w:type="dxa"/>
            <w:noWrap w:val="0"/>
            <w:vAlign w:val="center"/>
          </w:tcPr>
          <w:p>
            <w:pPr>
              <w:jc w:val="center"/>
              <w:rPr>
                <w:sz w:val="21"/>
                <w:szCs w:val="21"/>
              </w:rPr>
            </w:pPr>
            <w:r>
              <w:rPr>
                <w:sz w:val="21"/>
                <w:szCs w:val="21"/>
              </w:rPr>
              <w:t>85~90</w:t>
            </w:r>
          </w:p>
        </w:tc>
        <w:tc>
          <w:tcPr>
            <w:tcW w:w="2770" w:type="dxa"/>
            <w:noWrap w:val="0"/>
            <w:vAlign w:val="center"/>
          </w:tcPr>
          <w:p>
            <w:pPr>
              <w:pStyle w:val="14"/>
              <w:widowControl/>
              <w:tabs>
                <w:tab w:val="clear" w:pos="4153"/>
                <w:tab w:val="clear" w:pos="8306"/>
              </w:tabs>
              <w:snapToGrid/>
              <w:jc w:val="center"/>
              <w:rPr>
                <w:kern w:val="0"/>
                <w:sz w:val="21"/>
                <w:szCs w:val="21"/>
              </w:rPr>
            </w:pPr>
            <w:r>
              <w:rPr>
                <w:kern w:val="0"/>
                <w:sz w:val="21"/>
                <w:szCs w:val="21"/>
              </w:rPr>
              <w:t>隔声，减振</w:t>
            </w:r>
          </w:p>
        </w:tc>
        <w:tc>
          <w:tcPr>
            <w:tcW w:w="436" w:type="dxa"/>
            <w:vMerge w:val="continue"/>
            <w:noWrap w:val="0"/>
            <w:vAlign w:val="center"/>
          </w:tcPr>
          <w:p>
            <w:pPr>
              <w:pStyle w:val="11"/>
              <w:jc w:val="center"/>
              <w:rPr>
                <w:rFonts w:ascii="Times New Roman" w:hAnsi="Times New Roman"/>
                <w:sz w:val="21"/>
                <w:szCs w:val="21"/>
              </w:rPr>
            </w:pPr>
          </w:p>
        </w:tc>
        <w:tc>
          <w:tcPr>
            <w:tcW w:w="852" w:type="dxa"/>
            <w:vMerge w:val="continue"/>
            <w:noWrap w:val="0"/>
            <w:vAlign w:val="center"/>
          </w:tcPr>
          <w:p>
            <w:pPr>
              <w:pStyle w:val="11"/>
              <w:jc w:val="center"/>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Merge w:val="continue"/>
            <w:noWrap w:val="0"/>
            <w:vAlign w:val="center"/>
          </w:tcPr>
          <w:p>
            <w:pPr>
              <w:pStyle w:val="11"/>
              <w:jc w:val="center"/>
              <w:rPr>
                <w:rFonts w:ascii="Times New Roman" w:hAnsi="Times New Roman"/>
                <w:sz w:val="21"/>
                <w:szCs w:val="21"/>
              </w:rPr>
            </w:pPr>
          </w:p>
        </w:tc>
        <w:tc>
          <w:tcPr>
            <w:tcW w:w="884" w:type="dxa"/>
            <w:vMerge w:val="continue"/>
            <w:noWrap w:val="0"/>
            <w:vAlign w:val="center"/>
          </w:tcPr>
          <w:p>
            <w:pPr>
              <w:pStyle w:val="11"/>
              <w:ind w:firstLine="420" w:firstLineChars="200"/>
              <w:jc w:val="center"/>
              <w:rPr>
                <w:rFonts w:ascii="Times New Roman" w:hAnsi="Times New Roman"/>
                <w:sz w:val="21"/>
                <w:szCs w:val="21"/>
              </w:rPr>
            </w:pPr>
          </w:p>
        </w:tc>
        <w:tc>
          <w:tcPr>
            <w:tcW w:w="1094" w:type="dxa"/>
            <w:noWrap w:val="0"/>
            <w:vAlign w:val="center"/>
          </w:tcPr>
          <w:p>
            <w:pPr>
              <w:pStyle w:val="15"/>
              <w:widowControl/>
              <w:pBdr>
                <w:bottom w:val="none" w:color="auto" w:sz="0" w:space="0"/>
              </w:pBdr>
              <w:tabs>
                <w:tab w:val="clear" w:pos="4153"/>
                <w:tab w:val="clear" w:pos="8306"/>
              </w:tabs>
              <w:snapToGrid/>
              <w:rPr>
                <w:kern w:val="0"/>
                <w:sz w:val="21"/>
                <w:szCs w:val="21"/>
              </w:rPr>
            </w:pPr>
            <w:r>
              <w:rPr>
                <w:kern w:val="0"/>
                <w:sz w:val="21"/>
                <w:szCs w:val="21"/>
              </w:rPr>
              <w:t>冷却塔</w:t>
            </w:r>
          </w:p>
        </w:tc>
        <w:tc>
          <w:tcPr>
            <w:tcW w:w="849" w:type="dxa"/>
            <w:noWrap w:val="0"/>
            <w:vAlign w:val="center"/>
          </w:tcPr>
          <w:p>
            <w:pPr>
              <w:jc w:val="center"/>
              <w:rPr>
                <w:sz w:val="21"/>
                <w:szCs w:val="21"/>
              </w:rPr>
            </w:pPr>
            <w:r>
              <w:rPr>
                <w:rFonts w:hint="eastAsia"/>
                <w:sz w:val="21"/>
                <w:szCs w:val="21"/>
              </w:rPr>
              <w:t>1</w:t>
            </w:r>
          </w:p>
        </w:tc>
        <w:tc>
          <w:tcPr>
            <w:tcW w:w="953" w:type="dxa"/>
            <w:noWrap w:val="0"/>
            <w:vAlign w:val="center"/>
          </w:tcPr>
          <w:p>
            <w:pPr>
              <w:jc w:val="center"/>
              <w:rPr>
                <w:sz w:val="21"/>
                <w:szCs w:val="21"/>
              </w:rPr>
            </w:pPr>
            <w:r>
              <w:rPr>
                <w:sz w:val="21"/>
                <w:szCs w:val="21"/>
              </w:rPr>
              <w:t>95</w:t>
            </w:r>
          </w:p>
        </w:tc>
        <w:tc>
          <w:tcPr>
            <w:tcW w:w="2770" w:type="dxa"/>
            <w:noWrap w:val="0"/>
            <w:vAlign w:val="center"/>
          </w:tcPr>
          <w:p>
            <w:pPr>
              <w:pStyle w:val="14"/>
              <w:widowControl/>
              <w:tabs>
                <w:tab w:val="clear" w:pos="4153"/>
                <w:tab w:val="clear" w:pos="8306"/>
              </w:tabs>
              <w:snapToGrid/>
              <w:jc w:val="center"/>
              <w:rPr>
                <w:kern w:val="0"/>
                <w:sz w:val="21"/>
                <w:szCs w:val="21"/>
              </w:rPr>
            </w:pPr>
            <w:r>
              <w:rPr>
                <w:kern w:val="0"/>
                <w:sz w:val="21"/>
                <w:szCs w:val="21"/>
              </w:rPr>
              <w:t>优化总图</w:t>
            </w:r>
          </w:p>
        </w:tc>
        <w:tc>
          <w:tcPr>
            <w:tcW w:w="436" w:type="dxa"/>
            <w:noWrap w:val="0"/>
            <w:vAlign w:val="center"/>
          </w:tcPr>
          <w:p>
            <w:pPr>
              <w:pStyle w:val="11"/>
              <w:jc w:val="center"/>
              <w:rPr>
                <w:rFonts w:ascii="Times New Roman" w:hAnsi="Times New Roman"/>
                <w:sz w:val="21"/>
                <w:szCs w:val="21"/>
              </w:rPr>
            </w:pPr>
            <w:r>
              <w:rPr>
                <w:rFonts w:ascii="Times New Roman" w:hAnsi="Times New Roman"/>
                <w:sz w:val="21"/>
                <w:szCs w:val="21"/>
              </w:rPr>
              <w:t>10</w:t>
            </w:r>
          </w:p>
        </w:tc>
        <w:tc>
          <w:tcPr>
            <w:tcW w:w="852" w:type="dxa"/>
            <w:noWrap w:val="0"/>
            <w:vAlign w:val="center"/>
          </w:tcPr>
          <w:p>
            <w:pPr>
              <w:pStyle w:val="11"/>
              <w:jc w:val="center"/>
              <w:rPr>
                <w:rFonts w:ascii="Times New Roman" w:hAnsi="Times New Roman"/>
                <w:sz w:val="21"/>
                <w:szCs w:val="21"/>
              </w:rPr>
            </w:pPr>
            <w:r>
              <w:rPr>
                <w:rFonts w:ascii="Times New Roman" w:hAnsi="Times New Roman"/>
                <w:sz w:val="21"/>
                <w:szCs w:val="21"/>
              </w:rPr>
              <w:t>85</w:t>
            </w:r>
          </w:p>
        </w:tc>
      </w:tr>
    </w:tbl>
    <w:p>
      <w:pPr>
        <w:spacing w:line="440" w:lineRule="exact"/>
        <w:ind w:firstLine="480"/>
        <w:jc w:val="center"/>
        <w:rPr>
          <w:rFonts w:hint="eastAsia"/>
        </w:rPr>
      </w:pPr>
    </w:p>
    <w:p>
      <w:pPr>
        <w:spacing w:line="440" w:lineRule="exact"/>
        <w:ind w:firstLine="480"/>
        <w:jc w:val="center"/>
        <w:rPr>
          <w:rFonts w:hint="eastAsia"/>
        </w:rPr>
      </w:pPr>
    </w:p>
    <w:p>
      <w:pPr>
        <w:spacing w:line="360" w:lineRule="auto"/>
        <w:outlineLvl w:val="2"/>
        <w:rPr>
          <w:rFonts w:hint="eastAsia"/>
          <w:b/>
          <w:bCs/>
          <w:szCs w:val="20"/>
        </w:rPr>
      </w:pPr>
      <w:bookmarkStart w:id="174" w:name="_Toc189814146"/>
      <w:bookmarkStart w:id="175" w:name="_Toc473281504"/>
      <w:bookmarkStart w:id="176" w:name="_Toc175479801"/>
      <w:bookmarkStart w:id="177" w:name="_Toc165607357"/>
      <w:r>
        <w:rPr>
          <w:rFonts w:hint="eastAsia"/>
          <w:b/>
          <w:bCs/>
          <w:szCs w:val="20"/>
        </w:rPr>
        <w:t>3.2</w:t>
      </w:r>
      <w:r>
        <w:rPr>
          <w:b/>
          <w:bCs/>
          <w:szCs w:val="20"/>
        </w:rPr>
        <w:t>.</w:t>
      </w:r>
      <w:r>
        <w:rPr>
          <w:rFonts w:hint="eastAsia"/>
          <w:b/>
          <w:bCs/>
          <w:szCs w:val="20"/>
        </w:rPr>
        <w:t>5技改项目“三废”产生量、削减量、排放量汇总</w:t>
      </w:r>
      <w:bookmarkEnd w:id="174"/>
      <w:bookmarkEnd w:id="175"/>
    </w:p>
    <w:p>
      <w:pPr>
        <w:spacing w:line="460" w:lineRule="exact"/>
        <w:ind w:firstLine="516"/>
        <w:rPr>
          <w:rFonts w:hint="eastAsia"/>
        </w:rPr>
      </w:pPr>
      <w:r>
        <w:rPr>
          <w:rFonts w:hint="eastAsia"/>
        </w:rPr>
        <w:t>技改项目污染物产生量、削减量、排放量情况见表3-16。</w:t>
      </w:r>
    </w:p>
    <w:p>
      <w:pPr>
        <w:spacing w:before="24" w:beforeLines="10" w:after="24" w:afterLines="10" w:line="460" w:lineRule="exact"/>
        <w:ind w:firstLine="930" w:firstLineChars="441"/>
        <w:rPr>
          <w:rFonts w:hint="eastAsia"/>
          <w:b/>
        </w:rPr>
      </w:pPr>
      <w:r>
        <w:rPr>
          <w:rFonts w:hint="eastAsia"/>
          <w:b/>
        </w:rPr>
        <w:t>表3-16   技改项目“三废”污染物产生量、削减量、排放量统计</w:t>
      </w:r>
    </w:p>
    <w:tbl>
      <w:tblPr>
        <w:tblStyle w:val="20"/>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649"/>
        <w:gridCol w:w="1460"/>
        <w:gridCol w:w="1071"/>
        <w:gridCol w:w="1197"/>
        <w:gridCol w:w="1197"/>
        <w:gridCol w:w="1197"/>
        <w:gridCol w:w="2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96" w:hRule="atLeast"/>
          <w:jc w:val="center"/>
        </w:trPr>
        <w:tc>
          <w:tcPr>
            <w:tcW w:w="649" w:type="dxa"/>
            <w:noWrap w:val="0"/>
            <w:vAlign w:val="center"/>
          </w:tcPr>
          <w:p>
            <w:pPr>
              <w:spacing w:line="300" w:lineRule="exact"/>
              <w:jc w:val="center"/>
              <w:rPr>
                <w:sz w:val="21"/>
                <w:szCs w:val="21"/>
              </w:rPr>
            </w:pPr>
            <w:r>
              <w:rPr>
                <w:sz w:val="21"/>
                <w:szCs w:val="21"/>
              </w:rPr>
              <w:t>类别</w:t>
            </w:r>
          </w:p>
        </w:tc>
        <w:tc>
          <w:tcPr>
            <w:tcW w:w="1460" w:type="dxa"/>
            <w:noWrap w:val="0"/>
            <w:vAlign w:val="center"/>
          </w:tcPr>
          <w:p>
            <w:pPr>
              <w:spacing w:line="300" w:lineRule="exact"/>
              <w:jc w:val="center"/>
              <w:rPr>
                <w:sz w:val="21"/>
                <w:szCs w:val="21"/>
              </w:rPr>
            </w:pPr>
            <w:r>
              <w:rPr>
                <w:sz w:val="21"/>
                <w:szCs w:val="21"/>
              </w:rPr>
              <w:t>项目</w:t>
            </w:r>
          </w:p>
        </w:tc>
        <w:tc>
          <w:tcPr>
            <w:tcW w:w="1071" w:type="dxa"/>
            <w:noWrap w:val="0"/>
            <w:vAlign w:val="center"/>
          </w:tcPr>
          <w:p>
            <w:pPr>
              <w:spacing w:line="300" w:lineRule="exact"/>
              <w:jc w:val="center"/>
              <w:rPr>
                <w:sz w:val="21"/>
                <w:szCs w:val="21"/>
              </w:rPr>
            </w:pPr>
            <w:r>
              <w:rPr>
                <w:sz w:val="21"/>
                <w:szCs w:val="21"/>
              </w:rPr>
              <w:t>单位</w:t>
            </w:r>
          </w:p>
        </w:tc>
        <w:tc>
          <w:tcPr>
            <w:tcW w:w="1197" w:type="dxa"/>
            <w:noWrap w:val="0"/>
            <w:vAlign w:val="center"/>
          </w:tcPr>
          <w:p>
            <w:pPr>
              <w:spacing w:line="300" w:lineRule="exact"/>
              <w:jc w:val="center"/>
              <w:rPr>
                <w:sz w:val="21"/>
                <w:szCs w:val="21"/>
              </w:rPr>
            </w:pPr>
            <w:r>
              <w:rPr>
                <w:sz w:val="21"/>
                <w:szCs w:val="21"/>
              </w:rPr>
              <w:t>产生量</w:t>
            </w:r>
          </w:p>
        </w:tc>
        <w:tc>
          <w:tcPr>
            <w:tcW w:w="1197" w:type="dxa"/>
            <w:noWrap w:val="0"/>
            <w:vAlign w:val="center"/>
          </w:tcPr>
          <w:p>
            <w:pPr>
              <w:spacing w:line="300" w:lineRule="exact"/>
              <w:jc w:val="center"/>
              <w:rPr>
                <w:sz w:val="21"/>
                <w:szCs w:val="21"/>
              </w:rPr>
            </w:pPr>
            <w:r>
              <w:rPr>
                <w:sz w:val="21"/>
                <w:szCs w:val="21"/>
              </w:rPr>
              <w:t>削减量</w:t>
            </w:r>
          </w:p>
        </w:tc>
        <w:tc>
          <w:tcPr>
            <w:tcW w:w="1197" w:type="dxa"/>
            <w:noWrap w:val="0"/>
            <w:vAlign w:val="center"/>
          </w:tcPr>
          <w:p>
            <w:pPr>
              <w:spacing w:line="300" w:lineRule="exact"/>
              <w:jc w:val="center"/>
              <w:rPr>
                <w:sz w:val="21"/>
                <w:szCs w:val="21"/>
              </w:rPr>
            </w:pPr>
            <w:r>
              <w:rPr>
                <w:sz w:val="21"/>
                <w:szCs w:val="21"/>
              </w:rPr>
              <w:t>排放量</w:t>
            </w:r>
          </w:p>
        </w:tc>
        <w:tc>
          <w:tcPr>
            <w:tcW w:w="2789" w:type="dxa"/>
            <w:noWrap w:val="0"/>
            <w:vAlign w:val="center"/>
          </w:tcPr>
          <w:p>
            <w:pPr>
              <w:spacing w:line="300" w:lineRule="exact"/>
              <w:jc w:val="center"/>
              <w:rPr>
                <w:sz w:val="21"/>
                <w:szCs w:val="21"/>
              </w:rPr>
            </w:pPr>
            <w:r>
              <w:rPr>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96" w:hRule="atLeast"/>
          <w:jc w:val="center"/>
        </w:trPr>
        <w:tc>
          <w:tcPr>
            <w:tcW w:w="649" w:type="dxa"/>
            <w:vMerge w:val="restart"/>
            <w:noWrap w:val="0"/>
            <w:vAlign w:val="center"/>
          </w:tcPr>
          <w:p>
            <w:pPr>
              <w:spacing w:line="300" w:lineRule="exact"/>
              <w:jc w:val="center"/>
              <w:rPr>
                <w:sz w:val="21"/>
                <w:szCs w:val="21"/>
              </w:rPr>
            </w:pPr>
            <w:r>
              <w:rPr>
                <w:sz w:val="21"/>
                <w:szCs w:val="21"/>
              </w:rPr>
              <w:t>废气</w:t>
            </w:r>
          </w:p>
        </w:tc>
        <w:tc>
          <w:tcPr>
            <w:tcW w:w="1460" w:type="dxa"/>
            <w:noWrap w:val="0"/>
            <w:vAlign w:val="center"/>
          </w:tcPr>
          <w:p>
            <w:pPr>
              <w:spacing w:line="300" w:lineRule="exact"/>
              <w:jc w:val="center"/>
              <w:rPr>
                <w:sz w:val="21"/>
                <w:szCs w:val="21"/>
              </w:rPr>
            </w:pPr>
            <w:r>
              <w:rPr>
                <w:sz w:val="21"/>
                <w:szCs w:val="21"/>
              </w:rPr>
              <w:t>废气量</w:t>
            </w:r>
          </w:p>
        </w:tc>
        <w:tc>
          <w:tcPr>
            <w:tcW w:w="1071" w:type="dxa"/>
            <w:noWrap w:val="0"/>
            <w:vAlign w:val="center"/>
          </w:tcPr>
          <w:p>
            <w:pPr>
              <w:spacing w:line="300" w:lineRule="exact"/>
              <w:jc w:val="center"/>
              <w:rPr>
                <w:sz w:val="21"/>
                <w:szCs w:val="21"/>
              </w:rPr>
            </w:pPr>
            <w:r>
              <w:rPr>
                <w:sz w:val="21"/>
                <w:szCs w:val="21"/>
              </w:rPr>
              <w:t>万Nm</w:t>
            </w:r>
            <w:r>
              <w:rPr>
                <w:sz w:val="21"/>
                <w:szCs w:val="21"/>
                <w:vertAlign w:val="superscript"/>
              </w:rPr>
              <w:t>3</w:t>
            </w:r>
            <w:r>
              <w:rPr>
                <w:sz w:val="21"/>
                <w:szCs w:val="21"/>
              </w:rPr>
              <w:t>/a</w:t>
            </w:r>
          </w:p>
        </w:tc>
        <w:tc>
          <w:tcPr>
            <w:tcW w:w="1197" w:type="dxa"/>
            <w:noWrap w:val="0"/>
            <w:vAlign w:val="center"/>
          </w:tcPr>
          <w:p>
            <w:pPr>
              <w:spacing w:line="300" w:lineRule="exact"/>
              <w:jc w:val="center"/>
              <w:rPr>
                <w:rFonts w:hint="eastAsia"/>
                <w:sz w:val="21"/>
                <w:szCs w:val="21"/>
              </w:rPr>
            </w:pPr>
            <w:r>
              <w:rPr>
                <w:sz w:val="20"/>
                <w:szCs w:val="20"/>
              </w:rPr>
              <w:t>867924</w:t>
            </w:r>
            <w:r>
              <w:rPr>
                <w:rFonts w:hint="eastAsia"/>
                <w:sz w:val="20"/>
                <w:szCs w:val="20"/>
              </w:rPr>
              <w:t>.</w:t>
            </w:r>
            <w:r>
              <w:rPr>
                <w:sz w:val="20"/>
                <w:szCs w:val="20"/>
              </w:rPr>
              <w:t>026</w:t>
            </w:r>
          </w:p>
        </w:tc>
        <w:tc>
          <w:tcPr>
            <w:tcW w:w="1197" w:type="dxa"/>
            <w:noWrap w:val="0"/>
            <w:vAlign w:val="center"/>
          </w:tcPr>
          <w:p>
            <w:pPr>
              <w:spacing w:line="300" w:lineRule="exact"/>
              <w:jc w:val="center"/>
              <w:rPr>
                <w:sz w:val="21"/>
                <w:szCs w:val="21"/>
                <w:lang w:val="de-DE"/>
              </w:rPr>
            </w:pPr>
            <w:r>
              <w:rPr>
                <w:sz w:val="21"/>
                <w:szCs w:val="21"/>
                <w:lang w:val="de-DE"/>
              </w:rPr>
              <w:t>/</w:t>
            </w:r>
          </w:p>
        </w:tc>
        <w:tc>
          <w:tcPr>
            <w:tcW w:w="1197" w:type="dxa"/>
            <w:noWrap w:val="0"/>
            <w:vAlign w:val="center"/>
          </w:tcPr>
          <w:p>
            <w:pPr>
              <w:spacing w:line="300" w:lineRule="exact"/>
              <w:jc w:val="center"/>
              <w:rPr>
                <w:sz w:val="21"/>
                <w:szCs w:val="21"/>
                <w:lang w:val="de-DE"/>
              </w:rPr>
            </w:pPr>
            <w:r>
              <w:rPr>
                <w:sz w:val="20"/>
                <w:szCs w:val="20"/>
              </w:rPr>
              <w:t>867924</w:t>
            </w:r>
            <w:r>
              <w:rPr>
                <w:rFonts w:hint="eastAsia"/>
                <w:sz w:val="20"/>
                <w:szCs w:val="20"/>
              </w:rPr>
              <w:t>.</w:t>
            </w:r>
            <w:r>
              <w:rPr>
                <w:sz w:val="20"/>
                <w:szCs w:val="20"/>
              </w:rPr>
              <w:t>026</w:t>
            </w:r>
          </w:p>
        </w:tc>
        <w:tc>
          <w:tcPr>
            <w:tcW w:w="2789" w:type="dxa"/>
            <w:vMerge w:val="restart"/>
            <w:noWrap w:val="0"/>
            <w:vAlign w:val="center"/>
          </w:tcPr>
          <w:p>
            <w:pPr>
              <w:spacing w:line="300" w:lineRule="exact"/>
              <w:jc w:val="center"/>
              <w:rPr>
                <w:sz w:val="21"/>
                <w:szCs w:val="21"/>
                <w:lang w:val="de-DE"/>
              </w:rPr>
            </w:pPr>
            <w:r>
              <w:rPr>
                <w:sz w:val="21"/>
                <w:szCs w:val="21"/>
              </w:rPr>
              <w:t>大</w:t>
            </w:r>
            <w:r>
              <w:rPr>
                <w:sz w:val="21"/>
                <w:szCs w:val="21"/>
                <w:lang w:val="de-DE"/>
              </w:rPr>
              <w:t xml:space="preserve">  </w:t>
            </w:r>
            <w:r>
              <w:rPr>
                <w:sz w:val="21"/>
                <w:szCs w:val="21"/>
              </w:rPr>
              <w:t>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lang w:val="de-DE"/>
              </w:rPr>
            </w:pPr>
          </w:p>
        </w:tc>
        <w:tc>
          <w:tcPr>
            <w:tcW w:w="1460" w:type="dxa"/>
            <w:noWrap w:val="0"/>
            <w:vAlign w:val="center"/>
          </w:tcPr>
          <w:p>
            <w:pPr>
              <w:spacing w:line="200" w:lineRule="exact"/>
              <w:ind w:firstLine="67"/>
              <w:jc w:val="center"/>
              <w:rPr>
                <w:spacing w:val="20"/>
                <w:sz w:val="21"/>
                <w:szCs w:val="21"/>
              </w:rPr>
            </w:pPr>
            <w:r>
              <w:rPr>
                <w:spacing w:val="20"/>
                <w:sz w:val="21"/>
                <w:szCs w:val="21"/>
              </w:rPr>
              <w:t>烟粉尘</w:t>
            </w:r>
          </w:p>
        </w:tc>
        <w:tc>
          <w:tcPr>
            <w:tcW w:w="1071" w:type="dxa"/>
            <w:noWrap w:val="0"/>
            <w:vAlign w:val="center"/>
          </w:tcPr>
          <w:p>
            <w:pPr>
              <w:spacing w:line="300" w:lineRule="exact"/>
              <w:jc w:val="center"/>
              <w:rPr>
                <w:sz w:val="21"/>
                <w:szCs w:val="21"/>
                <w:lang w:val="de-DE"/>
              </w:rPr>
            </w:pPr>
            <w:r>
              <w:rPr>
                <w:sz w:val="21"/>
                <w:szCs w:val="21"/>
                <w:lang w:val="de-DE"/>
              </w:rPr>
              <w:t>t/a</w:t>
            </w:r>
          </w:p>
        </w:tc>
        <w:tc>
          <w:tcPr>
            <w:tcW w:w="1197" w:type="dxa"/>
            <w:noWrap w:val="0"/>
            <w:vAlign w:val="center"/>
          </w:tcPr>
          <w:p>
            <w:pPr>
              <w:spacing w:line="200" w:lineRule="exact"/>
              <w:jc w:val="center"/>
              <w:rPr>
                <w:sz w:val="21"/>
                <w:szCs w:val="21"/>
              </w:rPr>
            </w:pPr>
            <w:r>
              <w:rPr>
                <w:rFonts w:hint="eastAsia"/>
                <w:sz w:val="21"/>
                <w:szCs w:val="21"/>
              </w:rPr>
              <w:t>183746.52</w:t>
            </w:r>
          </w:p>
        </w:tc>
        <w:tc>
          <w:tcPr>
            <w:tcW w:w="1197" w:type="dxa"/>
            <w:noWrap w:val="0"/>
            <w:vAlign w:val="center"/>
          </w:tcPr>
          <w:p>
            <w:pPr>
              <w:spacing w:line="300" w:lineRule="exact"/>
              <w:jc w:val="center"/>
              <w:rPr>
                <w:rFonts w:hint="eastAsia"/>
                <w:sz w:val="21"/>
                <w:szCs w:val="21"/>
                <w:lang w:val="de-DE"/>
              </w:rPr>
            </w:pPr>
            <w:r>
              <w:rPr>
                <w:rFonts w:hint="eastAsia"/>
                <w:sz w:val="21"/>
                <w:szCs w:val="21"/>
                <w:lang w:val="de-DE"/>
              </w:rPr>
              <w:t>430821.38</w:t>
            </w:r>
          </w:p>
        </w:tc>
        <w:tc>
          <w:tcPr>
            <w:tcW w:w="1197" w:type="dxa"/>
            <w:noWrap w:val="0"/>
            <w:vAlign w:val="center"/>
          </w:tcPr>
          <w:p>
            <w:pPr>
              <w:spacing w:line="200" w:lineRule="exact"/>
              <w:jc w:val="center"/>
              <w:rPr>
                <w:sz w:val="21"/>
                <w:szCs w:val="21"/>
              </w:rPr>
            </w:pPr>
            <w:r>
              <w:rPr>
                <w:rFonts w:hint="eastAsia"/>
                <w:sz w:val="21"/>
                <w:szCs w:val="21"/>
              </w:rPr>
              <w:t>261.37</w:t>
            </w:r>
          </w:p>
        </w:tc>
        <w:tc>
          <w:tcPr>
            <w:tcW w:w="2789" w:type="dxa"/>
            <w:vMerge w:val="continue"/>
            <w:noWrap w:val="0"/>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lang w:val="de-DE"/>
              </w:rPr>
            </w:pPr>
          </w:p>
        </w:tc>
        <w:tc>
          <w:tcPr>
            <w:tcW w:w="1460" w:type="dxa"/>
            <w:noWrap w:val="0"/>
            <w:vAlign w:val="center"/>
          </w:tcPr>
          <w:p>
            <w:pPr>
              <w:spacing w:line="200" w:lineRule="exact"/>
              <w:ind w:firstLine="67"/>
              <w:jc w:val="center"/>
              <w:rPr>
                <w:spacing w:val="20"/>
                <w:sz w:val="21"/>
                <w:szCs w:val="21"/>
              </w:rPr>
            </w:pPr>
            <w:r>
              <w:rPr>
                <w:spacing w:val="20"/>
                <w:sz w:val="21"/>
                <w:szCs w:val="21"/>
              </w:rPr>
              <w:t>SO</w:t>
            </w:r>
            <w:r>
              <w:rPr>
                <w:spacing w:val="20"/>
                <w:sz w:val="21"/>
                <w:szCs w:val="21"/>
                <w:vertAlign w:val="subscript"/>
              </w:rPr>
              <w:t>2</w:t>
            </w:r>
          </w:p>
        </w:tc>
        <w:tc>
          <w:tcPr>
            <w:tcW w:w="1071" w:type="dxa"/>
            <w:noWrap w:val="0"/>
            <w:vAlign w:val="center"/>
          </w:tcPr>
          <w:p>
            <w:pPr>
              <w:spacing w:line="300" w:lineRule="exact"/>
              <w:jc w:val="center"/>
              <w:rPr>
                <w:sz w:val="21"/>
                <w:szCs w:val="21"/>
                <w:lang w:val="de-DE"/>
              </w:rPr>
            </w:pPr>
            <w:r>
              <w:rPr>
                <w:sz w:val="21"/>
                <w:szCs w:val="21"/>
                <w:lang w:val="de-DE"/>
              </w:rPr>
              <w:t>t/a</w:t>
            </w:r>
          </w:p>
        </w:tc>
        <w:tc>
          <w:tcPr>
            <w:tcW w:w="1197" w:type="dxa"/>
            <w:noWrap w:val="0"/>
            <w:vAlign w:val="center"/>
          </w:tcPr>
          <w:p>
            <w:pPr>
              <w:jc w:val="center"/>
              <w:rPr>
                <w:rFonts w:hint="eastAsia"/>
                <w:sz w:val="18"/>
                <w:szCs w:val="18"/>
              </w:rPr>
            </w:pPr>
            <w:r>
              <w:rPr>
                <w:rFonts w:hint="eastAsia"/>
                <w:sz w:val="18"/>
                <w:szCs w:val="18"/>
              </w:rPr>
              <w:t>216.44</w:t>
            </w:r>
          </w:p>
        </w:tc>
        <w:tc>
          <w:tcPr>
            <w:tcW w:w="1197" w:type="dxa"/>
            <w:noWrap w:val="0"/>
            <w:vAlign w:val="center"/>
          </w:tcPr>
          <w:p>
            <w:pPr>
              <w:spacing w:line="300" w:lineRule="exact"/>
              <w:jc w:val="center"/>
              <w:rPr>
                <w:sz w:val="21"/>
                <w:szCs w:val="21"/>
                <w:lang w:val="de-DE"/>
              </w:rPr>
            </w:pPr>
            <w:r>
              <w:rPr>
                <w:sz w:val="21"/>
                <w:szCs w:val="21"/>
                <w:lang w:val="de-DE"/>
              </w:rPr>
              <w:t>/</w:t>
            </w:r>
          </w:p>
        </w:tc>
        <w:tc>
          <w:tcPr>
            <w:tcW w:w="1197" w:type="dxa"/>
            <w:noWrap w:val="0"/>
            <w:vAlign w:val="center"/>
          </w:tcPr>
          <w:p>
            <w:pPr>
              <w:jc w:val="center"/>
              <w:rPr>
                <w:rFonts w:hint="eastAsia"/>
                <w:sz w:val="18"/>
                <w:szCs w:val="18"/>
              </w:rPr>
            </w:pPr>
            <w:r>
              <w:rPr>
                <w:rFonts w:hint="eastAsia"/>
                <w:sz w:val="18"/>
                <w:szCs w:val="18"/>
              </w:rPr>
              <w:t>216.44</w:t>
            </w:r>
          </w:p>
        </w:tc>
        <w:tc>
          <w:tcPr>
            <w:tcW w:w="2789" w:type="dxa"/>
            <w:vMerge w:val="continue"/>
            <w:noWrap w:val="0"/>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lang w:val="de-DE"/>
              </w:rPr>
            </w:pPr>
          </w:p>
        </w:tc>
        <w:tc>
          <w:tcPr>
            <w:tcW w:w="1460" w:type="dxa"/>
            <w:noWrap w:val="0"/>
            <w:vAlign w:val="center"/>
          </w:tcPr>
          <w:p>
            <w:pPr>
              <w:spacing w:line="200" w:lineRule="exact"/>
              <w:ind w:firstLine="67"/>
              <w:jc w:val="center"/>
              <w:rPr>
                <w:rFonts w:hint="eastAsia"/>
                <w:spacing w:val="20"/>
                <w:sz w:val="21"/>
                <w:szCs w:val="21"/>
              </w:rPr>
            </w:pPr>
            <w:r>
              <w:rPr>
                <w:sz w:val="21"/>
                <w:szCs w:val="21"/>
                <w:lang w:val="de-DE"/>
              </w:rPr>
              <w:t>NO</w:t>
            </w:r>
            <w:r>
              <w:rPr>
                <w:rFonts w:hint="eastAsia"/>
                <w:sz w:val="21"/>
                <w:szCs w:val="21"/>
                <w:vertAlign w:val="subscript"/>
                <w:lang w:val="de-DE"/>
              </w:rPr>
              <w:t>x</w:t>
            </w:r>
          </w:p>
        </w:tc>
        <w:tc>
          <w:tcPr>
            <w:tcW w:w="1071" w:type="dxa"/>
            <w:noWrap w:val="0"/>
            <w:vAlign w:val="center"/>
          </w:tcPr>
          <w:p>
            <w:pPr>
              <w:spacing w:line="300" w:lineRule="exact"/>
              <w:jc w:val="center"/>
              <w:rPr>
                <w:sz w:val="21"/>
                <w:szCs w:val="21"/>
                <w:lang w:val="de-DE"/>
              </w:rPr>
            </w:pPr>
            <w:r>
              <w:rPr>
                <w:sz w:val="21"/>
                <w:szCs w:val="21"/>
                <w:lang w:val="de-DE"/>
              </w:rPr>
              <w:t>t/a</w:t>
            </w:r>
          </w:p>
        </w:tc>
        <w:tc>
          <w:tcPr>
            <w:tcW w:w="1197" w:type="dxa"/>
            <w:noWrap w:val="0"/>
            <w:vAlign w:val="center"/>
          </w:tcPr>
          <w:p>
            <w:pPr>
              <w:jc w:val="center"/>
              <w:rPr>
                <w:rFonts w:hint="eastAsia"/>
                <w:sz w:val="18"/>
                <w:szCs w:val="18"/>
              </w:rPr>
            </w:pPr>
            <w:r>
              <w:rPr>
                <w:rFonts w:hint="eastAsia"/>
                <w:sz w:val="18"/>
                <w:szCs w:val="18"/>
              </w:rPr>
              <w:t>1799.88</w:t>
            </w:r>
          </w:p>
        </w:tc>
        <w:tc>
          <w:tcPr>
            <w:tcW w:w="1197" w:type="dxa"/>
            <w:noWrap w:val="0"/>
            <w:vAlign w:val="center"/>
          </w:tcPr>
          <w:p>
            <w:pPr>
              <w:spacing w:line="300" w:lineRule="exact"/>
              <w:jc w:val="center"/>
              <w:rPr>
                <w:sz w:val="21"/>
                <w:szCs w:val="21"/>
                <w:lang w:val="de-DE"/>
              </w:rPr>
            </w:pPr>
            <w:r>
              <w:rPr>
                <w:sz w:val="21"/>
                <w:szCs w:val="21"/>
                <w:lang w:val="de-DE"/>
              </w:rPr>
              <w:t>/</w:t>
            </w:r>
          </w:p>
        </w:tc>
        <w:tc>
          <w:tcPr>
            <w:tcW w:w="1197" w:type="dxa"/>
            <w:noWrap w:val="0"/>
            <w:vAlign w:val="center"/>
          </w:tcPr>
          <w:p>
            <w:pPr>
              <w:jc w:val="center"/>
              <w:rPr>
                <w:rFonts w:hint="eastAsia"/>
                <w:sz w:val="18"/>
                <w:szCs w:val="18"/>
              </w:rPr>
            </w:pPr>
            <w:r>
              <w:rPr>
                <w:rFonts w:hint="eastAsia"/>
                <w:sz w:val="18"/>
                <w:szCs w:val="18"/>
              </w:rPr>
              <w:t>1799.88</w:t>
            </w:r>
          </w:p>
        </w:tc>
        <w:tc>
          <w:tcPr>
            <w:tcW w:w="2789" w:type="dxa"/>
            <w:vMerge w:val="continue"/>
            <w:noWrap w:val="0"/>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79" w:hRule="atLeast"/>
          <w:jc w:val="center"/>
        </w:trPr>
        <w:tc>
          <w:tcPr>
            <w:tcW w:w="649" w:type="dxa"/>
            <w:vMerge w:val="continue"/>
            <w:noWrap w:val="0"/>
            <w:vAlign w:val="center"/>
          </w:tcPr>
          <w:p>
            <w:pPr>
              <w:spacing w:line="280" w:lineRule="atLeast"/>
              <w:jc w:val="center"/>
              <w:rPr>
                <w:sz w:val="21"/>
                <w:szCs w:val="21"/>
              </w:rPr>
            </w:pPr>
          </w:p>
        </w:tc>
        <w:tc>
          <w:tcPr>
            <w:tcW w:w="1460" w:type="dxa"/>
            <w:noWrap w:val="0"/>
            <w:vAlign w:val="center"/>
          </w:tcPr>
          <w:p>
            <w:pPr>
              <w:spacing w:line="280" w:lineRule="atLeast"/>
              <w:ind w:firstLine="67"/>
              <w:jc w:val="center"/>
              <w:rPr>
                <w:rFonts w:hint="eastAsia"/>
                <w:sz w:val="21"/>
                <w:szCs w:val="21"/>
              </w:rPr>
            </w:pPr>
            <w:r>
              <w:rPr>
                <w:rFonts w:hint="eastAsia"/>
                <w:sz w:val="21"/>
                <w:szCs w:val="21"/>
              </w:rPr>
              <w:t>无组织排放粉尘</w:t>
            </w:r>
          </w:p>
        </w:tc>
        <w:tc>
          <w:tcPr>
            <w:tcW w:w="1071" w:type="dxa"/>
            <w:noWrap w:val="0"/>
            <w:vAlign w:val="center"/>
          </w:tcPr>
          <w:p>
            <w:pPr>
              <w:spacing w:line="280" w:lineRule="atLeast"/>
              <w:jc w:val="center"/>
              <w:rPr>
                <w:sz w:val="21"/>
                <w:szCs w:val="21"/>
              </w:rPr>
            </w:pPr>
            <w:r>
              <w:rPr>
                <w:sz w:val="21"/>
                <w:szCs w:val="21"/>
                <w:lang w:val="de-DE"/>
              </w:rPr>
              <w:t>t/a</w:t>
            </w:r>
          </w:p>
        </w:tc>
        <w:tc>
          <w:tcPr>
            <w:tcW w:w="1197" w:type="dxa"/>
            <w:noWrap w:val="0"/>
            <w:vAlign w:val="center"/>
          </w:tcPr>
          <w:p>
            <w:pPr>
              <w:spacing w:line="280" w:lineRule="atLeast"/>
              <w:jc w:val="center"/>
              <w:rPr>
                <w:rFonts w:hint="eastAsia"/>
                <w:sz w:val="21"/>
                <w:szCs w:val="21"/>
              </w:rPr>
            </w:pPr>
            <w:r>
              <w:rPr>
                <w:rFonts w:hint="eastAsia"/>
                <w:sz w:val="21"/>
                <w:szCs w:val="21"/>
              </w:rPr>
              <w:t>28.73</w:t>
            </w:r>
          </w:p>
        </w:tc>
        <w:tc>
          <w:tcPr>
            <w:tcW w:w="1197" w:type="dxa"/>
            <w:noWrap w:val="0"/>
            <w:vAlign w:val="center"/>
          </w:tcPr>
          <w:p>
            <w:pPr>
              <w:spacing w:line="280" w:lineRule="atLeast"/>
              <w:jc w:val="center"/>
              <w:rPr>
                <w:rFonts w:hint="eastAsia"/>
                <w:sz w:val="21"/>
                <w:szCs w:val="21"/>
              </w:rPr>
            </w:pPr>
            <w:r>
              <w:rPr>
                <w:rFonts w:hint="eastAsia"/>
                <w:sz w:val="21"/>
                <w:szCs w:val="21"/>
              </w:rPr>
              <w:t>/</w:t>
            </w:r>
          </w:p>
        </w:tc>
        <w:tc>
          <w:tcPr>
            <w:tcW w:w="1197" w:type="dxa"/>
            <w:noWrap w:val="0"/>
            <w:vAlign w:val="center"/>
          </w:tcPr>
          <w:p>
            <w:pPr>
              <w:jc w:val="center"/>
              <w:rPr>
                <w:rFonts w:hint="eastAsia"/>
                <w:sz w:val="18"/>
                <w:szCs w:val="18"/>
              </w:rPr>
            </w:pPr>
            <w:r>
              <w:rPr>
                <w:rFonts w:hint="eastAsia"/>
                <w:sz w:val="18"/>
                <w:szCs w:val="18"/>
              </w:rPr>
              <w:t>28.73</w:t>
            </w:r>
          </w:p>
        </w:tc>
        <w:tc>
          <w:tcPr>
            <w:tcW w:w="2789" w:type="dxa"/>
            <w:vMerge w:val="continue"/>
            <w:noWrap w:val="0"/>
            <w:vAlign w:val="center"/>
          </w:tcPr>
          <w:p>
            <w:pPr>
              <w:spacing w:line="300" w:lineRule="exact"/>
              <w:jc w:val="center"/>
              <w:rPr>
                <w:sz w:val="21"/>
                <w:szCs w:val="21"/>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96" w:hRule="atLeast"/>
          <w:jc w:val="center"/>
        </w:trPr>
        <w:tc>
          <w:tcPr>
            <w:tcW w:w="649" w:type="dxa"/>
            <w:vMerge w:val="restart"/>
            <w:noWrap w:val="0"/>
            <w:vAlign w:val="center"/>
          </w:tcPr>
          <w:p>
            <w:pPr>
              <w:spacing w:line="300" w:lineRule="exact"/>
              <w:jc w:val="center"/>
              <w:rPr>
                <w:sz w:val="21"/>
                <w:szCs w:val="21"/>
                <w:lang w:val="de-DE"/>
              </w:rPr>
            </w:pPr>
            <w:r>
              <w:rPr>
                <w:sz w:val="21"/>
                <w:szCs w:val="21"/>
              </w:rPr>
              <w:t>废水</w:t>
            </w:r>
          </w:p>
        </w:tc>
        <w:tc>
          <w:tcPr>
            <w:tcW w:w="1460" w:type="dxa"/>
            <w:noWrap w:val="0"/>
            <w:vAlign w:val="center"/>
          </w:tcPr>
          <w:p>
            <w:pPr>
              <w:spacing w:line="300" w:lineRule="exact"/>
              <w:jc w:val="center"/>
              <w:rPr>
                <w:sz w:val="21"/>
                <w:szCs w:val="21"/>
                <w:lang w:val="de-DE"/>
              </w:rPr>
            </w:pPr>
            <w:r>
              <w:rPr>
                <w:sz w:val="21"/>
                <w:szCs w:val="21"/>
              </w:rPr>
              <w:t>废水量</w:t>
            </w:r>
          </w:p>
        </w:tc>
        <w:tc>
          <w:tcPr>
            <w:tcW w:w="1071" w:type="dxa"/>
            <w:noWrap w:val="0"/>
            <w:vAlign w:val="center"/>
          </w:tcPr>
          <w:p>
            <w:pPr>
              <w:spacing w:line="300" w:lineRule="exact"/>
              <w:jc w:val="center"/>
              <w:rPr>
                <w:sz w:val="21"/>
                <w:szCs w:val="21"/>
                <w:lang w:val="de-DE"/>
              </w:rPr>
            </w:pPr>
            <w:r>
              <w:rPr>
                <w:sz w:val="21"/>
                <w:szCs w:val="21"/>
                <w:lang w:val="de-DE"/>
              </w:rPr>
              <w:t>m</w:t>
            </w:r>
            <w:r>
              <w:rPr>
                <w:sz w:val="21"/>
                <w:szCs w:val="21"/>
                <w:vertAlign w:val="superscript"/>
                <w:lang w:val="de-DE"/>
              </w:rPr>
              <w:t>3</w:t>
            </w:r>
            <w:r>
              <w:rPr>
                <w:sz w:val="21"/>
                <w:szCs w:val="21"/>
                <w:lang w:val="de-DE"/>
              </w:rPr>
              <w:t>/a</w:t>
            </w:r>
          </w:p>
        </w:tc>
        <w:tc>
          <w:tcPr>
            <w:tcW w:w="1197" w:type="dxa"/>
            <w:noWrap w:val="0"/>
            <w:vAlign w:val="center"/>
          </w:tcPr>
          <w:p>
            <w:pPr>
              <w:spacing w:line="300" w:lineRule="exact"/>
              <w:jc w:val="center"/>
              <w:rPr>
                <w:rFonts w:hint="eastAsia"/>
                <w:sz w:val="21"/>
                <w:szCs w:val="21"/>
              </w:rPr>
            </w:pPr>
            <w:r>
              <w:rPr>
                <w:rFonts w:hint="eastAsia"/>
                <w:sz w:val="21"/>
                <w:szCs w:val="21"/>
              </w:rPr>
              <w:t>16306</w:t>
            </w:r>
          </w:p>
        </w:tc>
        <w:tc>
          <w:tcPr>
            <w:tcW w:w="1197" w:type="dxa"/>
            <w:noWrap w:val="0"/>
            <w:vAlign w:val="center"/>
          </w:tcPr>
          <w:p>
            <w:pPr>
              <w:spacing w:line="300" w:lineRule="exact"/>
              <w:jc w:val="center"/>
              <w:rPr>
                <w:sz w:val="21"/>
                <w:szCs w:val="21"/>
              </w:rPr>
            </w:pPr>
            <w:r>
              <w:rPr>
                <w:sz w:val="21"/>
                <w:szCs w:val="21"/>
              </w:rPr>
              <w:t>/</w:t>
            </w:r>
          </w:p>
        </w:tc>
        <w:tc>
          <w:tcPr>
            <w:tcW w:w="1197" w:type="dxa"/>
            <w:noWrap w:val="0"/>
            <w:vAlign w:val="center"/>
          </w:tcPr>
          <w:p>
            <w:pPr>
              <w:spacing w:line="300" w:lineRule="exact"/>
              <w:jc w:val="center"/>
              <w:rPr>
                <w:rFonts w:hint="eastAsia"/>
                <w:sz w:val="21"/>
                <w:szCs w:val="21"/>
              </w:rPr>
            </w:pPr>
            <w:r>
              <w:rPr>
                <w:rFonts w:hint="eastAsia"/>
                <w:sz w:val="21"/>
                <w:szCs w:val="21"/>
              </w:rPr>
              <w:t>16306</w:t>
            </w:r>
          </w:p>
        </w:tc>
        <w:tc>
          <w:tcPr>
            <w:tcW w:w="2789" w:type="dxa"/>
            <w:vMerge w:val="restart"/>
            <w:noWrap w:val="0"/>
            <w:vAlign w:val="center"/>
          </w:tcPr>
          <w:p>
            <w:pPr>
              <w:spacing w:line="300" w:lineRule="exact"/>
              <w:jc w:val="center"/>
              <w:rPr>
                <w:sz w:val="21"/>
                <w:szCs w:val="21"/>
              </w:rPr>
            </w:pPr>
            <w:r>
              <w:rPr>
                <w:rFonts w:hint="eastAsia"/>
                <w:sz w:val="21"/>
                <w:szCs w:val="21"/>
              </w:rPr>
              <w:t>从厂区</w:t>
            </w:r>
            <w:r>
              <w:rPr>
                <w:rFonts w:hint="eastAsia" w:ascii="宋体" w:hAnsi="宋体"/>
                <w:sz w:val="21"/>
                <w:szCs w:val="21"/>
              </w:rPr>
              <w:t>废水排放口经</w:t>
            </w:r>
            <w:r>
              <w:rPr>
                <w:rFonts w:hint="eastAsia"/>
                <w:sz w:val="21"/>
                <w:szCs w:val="21"/>
              </w:rPr>
              <w:t>北侧</w:t>
            </w:r>
            <w:r>
              <w:rPr>
                <w:rFonts w:hint="eastAsia" w:ascii="宋体" w:hAnsi="宋体"/>
                <w:sz w:val="21"/>
                <w:szCs w:val="21"/>
              </w:rPr>
              <w:t>入</w:t>
            </w:r>
            <w:r>
              <w:rPr>
                <w:rFonts w:hint="eastAsia"/>
                <w:sz w:val="21"/>
                <w:szCs w:val="21"/>
              </w:rPr>
              <w:t>无名小沟汇入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rPr>
            </w:pPr>
          </w:p>
        </w:tc>
        <w:tc>
          <w:tcPr>
            <w:tcW w:w="1460" w:type="dxa"/>
            <w:noWrap w:val="0"/>
            <w:vAlign w:val="center"/>
          </w:tcPr>
          <w:p>
            <w:pPr>
              <w:spacing w:line="280" w:lineRule="atLeast"/>
              <w:jc w:val="center"/>
              <w:rPr>
                <w:sz w:val="21"/>
                <w:szCs w:val="21"/>
              </w:rPr>
            </w:pPr>
            <w:r>
              <w:rPr>
                <w:sz w:val="21"/>
                <w:szCs w:val="21"/>
              </w:rPr>
              <w:t>COD</w:t>
            </w:r>
          </w:p>
        </w:tc>
        <w:tc>
          <w:tcPr>
            <w:tcW w:w="1071" w:type="dxa"/>
            <w:noWrap w:val="0"/>
            <w:vAlign w:val="center"/>
          </w:tcPr>
          <w:p>
            <w:pPr>
              <w:spacing w:line="300" w:lineRule="exact"/>
              <w:jc w:val="center"/>
              <w:rPr>
                <w:sz w:val="21"/>
                <w:szCs w:val="21"/>
              </w:rPr>
            </w:pPr>
            <w:r>
              <w:rPr>
                <w:sz w:val="21"/>
                <w:szCs w:val="21"/>
              </w:rPr>
              <w:t>t/a</w:t>
            </w:r>
          </w:p>
        </w:tc>
        <w:tc>
          <w:tcPr>
            <w:tcW w:w="1197" w:type="dxa"/>
            <w:noWrap w:val="0"/>
            <w:vAlign w:val="center"/>
          </w:tcPr>
          <w:p>
            <w:pPr>
              <w:jc w:val="center"/>
              <w:rPr>
                <w:rFonts w:ascii="宋体" w:hAnsi="宋体" w:cs="宋体"/>
                <w:sz w:val="21"/>
                <w:szCs w:val="21"/>
              </w:rPr>
            </w:pPr>
            <w:r>
              <w:rPr>
                <w:rFonts w:hint="eastAsia"/>
                <w:sz w:val="21"/>
                <w:szCs w:val="21"/>
              </w:rPr>
              <w:t>4.25</w:t>
            </w:r>
          </w:p>
        </w:tc>
        <w:tc>
          <w:tcPr>
            <w:tcW w:w="1197" w:type="dxa"/>
            <w:noWrap w:val="0"/>
            <w:vAlign w:val="center"/>
          </w:tcPr>
          <w:p>
            <w:pPr>
              <w:jc w:val="center"/>
              <w:rPr>
                <w:rFonts w:hint="eastAsia" w:ascii="宋体" w:hAnsi="宋体" w:cs="宋体"/>
                <w:sz w:val="21"/>
                <w:szCs w:val="21"/>
              </w:rPr>
            </w:pPr>
            <w:r>
              <w:rPr>
                <w:rFonts w:hint="eastAsia" w:ascii="宋体" w:hAnsi="宋体" w:cs="宋体"/>
                <w:sz w:val="21"/>
                <w:szCs w:val="21"/>
              </w:rPr>
              <w:t>2.62</w:t>
            </w:r>
          </w:p>
        </w:tc>
        <w:tc>
          <w:tcPr>
            <w:tcW w:w="1197" w:type="dxa"/>
            <w:noWrap w:val="0"/>
            <w:vAlign w:val="center"/>
          </w:tcPr>
          <w:p>
            <w:pPr>
              <w:jc w:val="center"/>
              <w:rPr>
                <w:rFonts w:ascii="宋体" w:hAnsi="宋体" w:cs="宋体"/>
                <w:sz w:val="21"/>
                <w:szCs w:val="21"/>
              </w:rPr>
            </w:pPr>
            <w:r>
              <w:rPr>
                <w:rFonts w:hint="eastAsia"/>
                <w:sz w:val="21"/>
                <w:szCs w:val="21"/>
              </w:rPr>
              <w:t>1.63</w:t>
            </w:r>
          </w:p>
        </w:tc>
        <w:tc>
          <w:tcPr>
            <w:tcW w:w="2789" w:type="dxa"/>
            <w:vMerge w:val="continue"/>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rPr>
            </w:pPr>
          </w:p>
        </w:tc>
        <w:tc>
          <w:tcPr>
            <w:tcW w:w="1460" w:type="dxa"/>
            <w:noWrap w:val="0"/>
            <w:vAlign w:val="center"/>
          </w:tcPr>
          <w:p>
            <w:pPr>
              <w:spacing w:line="280" w:lineRule="atLeast"/>
              <w:jc w:val="center"/>
              <w:rPr>
                <w:sz w:val="21"/>
                <w:szCs w:val="21"/>
              </w:rPr>
            </w:pPr>
            <w:r>
              <w:rPr>
                <w:sz w:val="21"/>
                <w:szCs w:val="21"/>
              </w:rPr>
              <w:t>SS</w:t>
            </w:r>
          </w:p>
        </w:tc>
        <w:tc>
          <w:tcPr>
            <w:tcW w:w="1071" w:type="dxa"/>
            <w:noWrap w:val="0"/>
            <w:vAlign w:val="center"/>
          </w:tcPr>
          <w:p>
            <w:pPr>
              <w:spacing w:line="300" w:lineRule="exact"/>
              <w:jc w:val="center"/>
              <w:rPr>
                <w:sz w:val="21"/>
                <w:szCs w:val="21"/>
              </w:rPr>
            </w:pPr>
            <w:r>
              <w:rPr>
                <w:sz w:val="21"/>
                <w:szCs w:val="21"/>
              </w:rPr>
              <w:t>t/a</w:t>
            </w:r>
          </w:p>
        </w:tc>
        <w:tc>
          <w:tcPr>
            <w:tcW w:w="1197" w:type="dxa"/>
            <w:noWrap w:val="0"/>
            <w:vAlign w:val="center"/>
          </w:tcPr>
          <w:p>
            <w:pPr>
              <w:jc w:val="center"/>
              <w:rPr>
                <w:rFonts w:ascii="宋体" w:hAnsi="宋体" w:cs="宋体"/>
                <w:sz w:val="21"/>
                <w:szCs w:val="21"/>
              </w:rPr>
            </w:pPr>
            <w:r>
              <w:rPr>
                <w:rFonts w:hint="eastAsia"/>
                <w:sz w:val="21"/>
                <w:szCs w:val="21"/>
              </w:rPr>
              <w:t>2.31</w:t>
            </w:r>
          </w:p>
        </w:tc>
        <w:tc>
          <w:tcPr>
            <w:tcW w:w="1197" w:type="dxa"/>
            <w:noWrap w:val="0"/>
            <w:vAlign w:val="center"/>
          </w:tcPr>
          <w:p>
            <w:pPr>
              <w:jc w:val="center"/>
              <w:rPr>
                <w:rFonts w:ascii="宋体" w:hAnsi="宋体" w:cs="宋体"/>
                <w:sz w:val="21"/>
                <w:szCs w:val="21"/>
              </w:rPr>
            </w:pPr>
            <w:r>
              <w:rPr>
                <w:rFonts w:hint="eastAsia"/>
                <w:sz w:val="21"/>
                <w:szCs w:val="21"/>
              </w:rPr>
              <w:t>1.39</w:t>
            </w:r>
          </w:p>
        </w:tc>
        <w:tc>
          <w:tcPr>
            <w:tcW w:w="1197" w:type="dxa"/>
            <w:noWrap w:val="0"/>
            <w:vAlign w:val="center"/>
          </w:tcPr>
          <w:p>
            <w:pPr>
              <w:jc w:val="center"/>
              <w:rPr>
                <w:rFonts w:ascii="宋体" w:hAnsi="宋体" w:cs="宋体"/>
                <w:sz w:val="21"/>
                <w:szCs w:val="21"/>
              </w:rPr>
            </w:pPr>
            <w:r>
              <w:rPr>
                <w:rFonts w:hint="eastAsia"/>
                <w:sz w:val="21"/>
                <w:szCs w:val="21"/>
              </w:rPr>
              <w:t>0.92</w:t>
            </w:r>
          </w:p>
        </w:tc>
        <w:tc>
          <w:tcPr>
            <w:tcW w:w="2789" w:type="dxa"/>
            <w:vMerge w:val="continue"/>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noWrap w:val="0"/>
            <w:vAlign w:val="center"/>
          </w:tcPr>
          <w:p>
            <w:pPr>
              <w:spacing w:line="300" w:lineRule="exact"/>
              <w:jc w:val="center"/>
              <w:rPr>
                <w:sz w:val="21"/>
                <w:szCs w:val="21"/>
              </w:rPr>
            </w:pPr>
          </w:p>
        </w:tc>
        <w:tc>
          <w:tcPr>
            <w:tcW w:w="1460" w:type="dxa"/>
            <w:noWrap w:val="0"/>
            <w:vAlign w:val="center"/>
          </w:tcPr>
          <w:p>
            <w:pPr>
              <w:spacing w:line="280" w:lineRule="atLeast"/>
              <w:jc w:val="center"/>
              <w:rPr>
                <w:sz w:val="21"/>
                <w:szCs w:val="21"/>
              </w:rPr>
            </w:pPr>
            <w:r>
              <w:rPr>
                <w:sz w:val="21"/>
                <w:szCs w:val="21"/>
              </w:rPr>
              <w:t>NH</w:t>
            </w:r>
            <w:r>
              <w:rPr>
                <w:sz w:val="21"/>
                <w:szCs w:val="21"/>
                <w:vertAlign w:val="subscript"/>
              </w:rPr>
              <w:t>3</w:t>
            </w:r>
            <w:r>
              <w:rPr>
                <w:sz w:val="21"/>
                <w:szCs w:val="21"/>
              </w:rPr>
              <w:t>-N</w:t>
            </w:r>
          </w:p>
        </w:tc>
        <w:tc>
          <w:tcPr>
            <w:tcW w:w="1071" w:type="dxa"/>
            <w:noWrap w:val="0"/>
            <w:vAlign w:val="center"/>
          </w:tcPr>
          <w:p>
            <w:pPr>
              <w:spacing w:line="300" w:lineRule="exact"/>
              <w:jc w:val="center"/>
              <w:rPr>
                <w:sz w:val="21"/>
                <w:szCs w:val="21"/>
              </w:rPr>
            </w:pPr>
            <w:r>
              <w:rPr>
                <w:sz w:val="21"/>
                <w:szCs w:val="21"/>
              </w:rPr>
              <w:t>t/a</w:t>
            </w:r>
          </w:p>
        </w:tc>
        <w:tc>
          <w:tcPr>
            <w:tcW w:w="1197" w:type="dxa"/>
            <w:noWrap w:val="0"/>
            <w:vAlign w:val="center"/>
          </w:tcPr>
          <w:p>
            <w:pPr>
              <w:jc w:val="center"/>
              <w:rPr>
                <w:rFonts w:ascii="宋体" w:hAnsi="宋体" w:cs="宋体"/>
                <w:sz w:val="21"/>
                <w:szCs w:val="21"/>
              </w:rPr>
            </w:pPr>
            <w:r>
              <w:rPr>
                <w:rFonts w:hint="eastAsia"/>
                <w:sz w:val="21"/>
                <w:szCs w:val="21"/>
              </w:rPr>
              <w:t>0.23</w:t>
            </w:r>
          </w:p>
        </w:tc>
        <w:tc>
          <w:tcPr>
            <w:tcW w:w="1197" w:type="dxa"/>
            <w:noWrap w:val="0"/>
            <w:vAlign w:val="center"/>
          </w:tcPr>
          <w:p>
            <w:pPr>
              <w:jc w:val="center"/>
              <w:rPr>
                <w:rFonts w:ascii="宋体" w:hAnsi="宋体" w:cs="宋体"/>
                <w:sz w:val="21"/>
                <w:szCs w:val="21"/>
              </w:rPr>
            </w:pPr>
            <w:r>
              <w:rPr>
                <w:rFonts w:hint="eastAsia"/>
                <w:sz w:val="21"/>
                <w:szCs w:val="21"/>
              </w:rPr>
              <w:t>0.12</w:t>
            </w:r>
          </w:p>
        </w:tc>
        <w:tc>
          <w:tcPr>
            <w:tcW w:w="1197" w:type="dxa"/>
            <w:noWrap w:val="0"/>
            <w:vAlign w:val="center"/>
          </w:tcPr>
          <w:p>
            <w:pPr>
              <w:jc w:val="center"/>
              <w:rPr>
                <w:rFonts w:ascii="宋体" w:hAnsi="宋体" w:cs="宋体"/>
                <w:sz w:val="21"/>
                <w:szCs w:val="21"/>
              </w:rPr>
            </w:pPr>
            <w:r>
              <w:rPr>
                <w:rFonts w:hint="eastAsia"/>
                <w:sz w:val="21"/>
                <w:szCs w:val="21"/>
              </w:rPr>
              <w:t>0.11</w:t>
            </w:r>
          </w:p>
        </w:tc>
        <w:tc>
          <w:tcPr>
            <w:tcW w:w="2789" w:type="dxa"/>
            <w:vMerge w:val="continue"/>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65" w:hRule="atLeast"/>
          <w:jc w:val="center"/>
        </w:trPr>
        <w:tc>
          <w:tcPr>
            <w:tcW w:w="649" w:type="dxa"/>
            <w:vMerge w:val="restart"/>
            <w:noWrap w:val="0"/>
            <w:vAlign w:val="center"/>
          </w:tcPr>
          <w:p>
            <w:pPr>
              <w:spacing w:line="300" w:lineRule="exact"/>
              <w:jc w:val="center"/>
              <w:rPr>
                <w:sz w:val="21"/>
                <w:szCs w:val="21"/>
              </w:rPr>
            </w:pPr>
            <w:r>
              <w:rPr>
                <w:sz w:val="21"/>
                <w:szCs w:val="21"/>
              </w:rPr>
              <w:t>固体废物</w:t>
            </w:r>
          </w:p>
        </w:tc>
        <w:tc>
          <w:tcPr>
            <w:tcW w:w="1460" w:type="dxa"/>
            <w:noWrap w:val="0"/>
            <w:vAlign w:val="center"/>
          </w:tcPr>
          <w:p>
            <w:pPr>
              <w:spacing w:line="300" w:lineRule="exact"/>
              <w:jc w:val="center"/>
              <w:rPr>
                <w:sz w:val="21"/>
                <w:szCs w:val="21"/>
              </w:rPr>
            </w:pPr>
            <w:r>
              <w:rPr>
                <w:sz w:val="21"/>
                <w:szCs w:val="21"/>
              </w:rPr>
              <w:t>固体废物</w:t>
            </w:r>
          </w:p>
        </w:tc>
        <w:tc>
          <w:tcPr>
            <w:tcW w:w="1071" w:type="dxa"/>
            <w:noWrap w:val="0"/>
            <w:vAlign w:val="center"/>
          </w:tcPr>
          <w:p>
            <w:pPr>
              <w:spacing w:line="300" w:lineRule="exact"/>
              <w:jc w:val="center"/>
              <w:rPr>
                <w:sz w:val="21"/>
                <w:szCs w:val="21"/>
              </w:rPr>
            </w:pPr>
            <w:r>
              <w:rPr>
                <w:sz w:val="21"/>
                <w:szCs w:val="21"/>
              </w:rPr>
              <w:t>万t/a</w:t>
            </w:r>
          </w:p>
        </w:tc>
        <w:tc>
          <w:tcPr>
            <w:tcW w:w="1197" w:type="dxa"/>
            <w:noWrap w:val="0"/>
            <w:vAlign w:val="center"/>
          </w:tcPr>
          <w:p>
            <w:pPr>
              <w:spacing w:line="300" w:lineRule="exact"/>
              <w:jc w:val="center"/>
              <w:rPr>
                <w:rFonts w:hint="eastAsia"/>
                <w:sz w:val="21"/>
                <w:szCs w:val="21"/>
              </w:rPr>
            </w:pPr>
            <w:r>
              <w:rPr>
                <w:rFonts w:hint="eastAsia"/>
                <w:sz w:val="21"/>
                <w:szCs w:val="21"/>
              </w:rPr>
              <w:t>18.3536</w:t>
            </w:r>
          </w:p>
        </w:tc>
        <w:tc>
          <w:tcPr>
            <w:tcW w:w="1197" w:type="dxa"/>
            <w:noWrap w:val="0"/>
            <w:vAlign w:val="center"/>
          </w:tcPr>
          <w:p>
            <w:pPr>
              <w:spacing w:line="300" w:lineRule="exact"/>
              <w:jc w:val="center"/>
              <w:rPr>
                <w:rFonts w:hint="eastAsia"/>
                <w:sz w:val="21"/>
                <w:szCs w:val="21"/>
              </w:rPr>
            </w:pPr>
            <w:r>
              <w:rPr>
                <w:rFonts w:hint="eastAsia"/>
                <w:sz w:val="21"/>
                <w:szCs w:val="21"/>
              </w:rPr>
              <w:t>18.3536</w:t>
            </w:r>
          </w:p>
        </w:tc>
        <w:tc>
          <w:tcPr>
            <w:tcW w:w="1197" w:type="dxa"/>
            <w:noWrap w:val="0"/>
            <w:vAlign w:val="center"/>
          </w:tcPr>
          <w:p>
            <w:pPr>
              <w:spacing w:line="300" w:lineRule="exact"/>
              <w:jc w:val="center"/>
              <w:rPr>
                <w:sz w:val="21"/>
                <w:szCs w:val="21"/>
              </w:rPr>
            </w:pPr>
            <w:r>
              <w:rPr>
                <w:sz w:val="21"/>
                <w:szCs w:val="21"/>
              </w:rPr>
              <w:t>0</w:t>
            </w:r>
          </w:p>
        </w:tc>
        <w:tc>
          <w:tcPr>
            <w:tcW w:w="2789" w:type="dxa"/>
            <w:noWrap w:val="0"/>
            <w:vAlign w:val="center"/>
          </w:tcPr>
          <w:p>
            <w:pPr>
              <w:spacing w:line="300" w:lineRule="exact"/>
              <w:jc w:val="center"/>
              <w:rPr>
                <w:sz w:val="21"/>
                <w:szCs w:val="21"/>
              </w:rPr>
            </w:pPr>
            <w:r>
              <w:rPr>
                <w:sz w:val="21"/>
                <w:szCs w:val="21"/>
              </w:rPr>
              <w:t>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19" w:hRule="atLeast"/>
          <w:jc w:val="center"/>
        </w:trPr>
        <w:tc>
          <w:tcPr>
            <w:tcW w:w="649" w:type="dxa"/>
            <w:vMerge w:val="continue"/>
            <w:noWrap w:val="0"/>
            <w:vAlign w:val="center"/>
          </w:tcPr>
          <w:p>
            <w:pPr>
              <w:spacing w:line="300" w:lineRule="exact"/>
              <w:jc w:val="center"/>
              <w:rPr>
                <w:sz w:val="21"/>
                <w:szCs w:val="21"/>
              </w:rPr>
            </w:pPr>
          </w:p>
        </w:tc>
        <w:tc>
          <w:tcPr>
            <w:tcW w:w="1460" w:type="dxa"/>
            <w:noWrap w:val="0"/>
            <w:vAlign w:val="center"/>
          </w:tcPr>
          <w:p>
            <w:pPr>
              <w:spacing w:line="320" w:lineRule="atLeast"/>
              <w:ind w:firstLine="210" w:firstLineChars="100"/>
              <w:jc w:val="center"/>
              <w:rPr>
                <w:rFonts w:hint="eastAsia"/>
                <w:sz w:val="21"/>
                <w:szCs w:val="21"/>
              </w:rPr>
            </w:pPr>
            <w:r>
              <w:rPr>
                <w:rFonts w:hint="eastAsia"/>
                <w:sz w:val="21"/>
                <w:szCs w:val="21"/>
              </w:rPr>
              <w:t>除尘灰</w:t>
            </w:r>
          </w:p>
        </w:tc>
        <w:tc>
          <w:tcPr>
            <w:tcW w:w="1071" w:type="dxa"/>
            <w:noWrap w:val="0"/>
            <w:vAlign w:val="center"/>
          </w:tcPr>
          <w:p>
            <w:pPr>
              <w:spacing w:line="240" w:lineRule="exact"/>
              <w:jc w:val="center"/>
              <w:rPr>
                <w:sz w:val="21"/>
                <w:szCs w:val="21"/>
              </w:rPr>
            </w:pPr>
            <w:r>
              <w:rPr>
                <w:sz w:val="21"/>
                <w:szCs w:val="21"/>
              </w:rPr>
              <w:t xml:space="preserve">t/a </w:t>
            </w:r>
          </w:p>
        </w:tc>
        <w:tc>
          <w:tcPr>
            <w:tcW w:w="1197" w:type="dxa"/>
            <w:noWrap w:val="0"/>
            <w:vAlign w:val="center"/>
          </w:tcPr>
          <w:p>
            <w:r>
              <w:rPr>
                <w:rFonts w:hint="eastAsia"/>
                <w:sz w:val="21"/>
                <w:szCs w:val="21"/>
              </w:rPr>
              <w:t>183485.15</w:t>
            </w:r>
          </w:p>
        </w:tc>
        <w:tc>
          <w:tcPr>
            <w:tcW w:w="1197" w:type="dxa"/>
            <w:noWrap w:val="0"/>
            <w:vAlign w:val="center"/>
          </w:tcPr>
          <w:p>
            <w:r>
              <w:rPr>
                <w:rFonts w:hint="eastAsia"/>
                <w:sz w:val="21"/>
                <w:szCs w:val="21"/>
              </w:rPr>
              <w:t>183485.15</w:t>
            </w:r>
          </w:p>
        </w:tc>
        <w:tc>
          <w:tcPr>
            <w:tcW w:w="1197" w:type="dxa"/>
            <w:noWrap w:val="0"/>
            <w:vAlign w:val="center"/>
          </w:tcPr>
          <w:p>
            <w:pPr>
              <w:spacing w:line="240" w:lineRule="exact"/>
              <w:jc w:val="center"/>
              <w:rPr>
                <w:sz w:val="21"/>
                <w:szCs w:val="21"/>
              </w:rPr>
            </w:pPr>
            <w:r>
              <w:rPr>
                <w:sz w:val="21"/>
                <w:szCs w:val="21"/>
              </w:rPr>
              <w:t>0</w:t>
            </w:r>
          </w:p>
        </w:tc>
        <w:tc>
          <w:tcPr>
            <w:tcW w:w="2789" w:type="dxa"/>
            <w:noWrap w:val="0"/>
            <w:vAlign w:val="center"/>
          </w:tcPr>
          <w:p>
            <w:pPr>
              <w:spacing w:line="240" w:lineRule="exact"/>
              <w:jc w:val="center"/>
              <w:rPr>
                <w:sz w:val="21"/>
                <w:szCs w:val="21"/>
              </w:rPr>
            </w:pPr>
            <w:r>
              <w:rPr>
                <w:sz w:val="21"/>
                <w:szCs w:val="21"/>
              </w:rPr>
              <w:t>收集后作生产原料回用或产品外售利用，不排放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shd w:val="clear" w:color="auto" w:fill="auto"/>
            <w:noWrap w:val="0"/>
            <w:vAlign w:val="center"/>
          </w:tcPr>
          <w:p>
            <w:pPr>
              <w:spacing w:line="300" w:lineRule="exact"/>
              <w:jc w:val="center"/>
              <w:rPr>
                <w:sz w:val="21"/>
                <w:szCs w:val="21"/>
              </w:rPr>
            </w:pPr>
          </w:p>
        </w:tc>
        <w:tc>
          <w:tcPr>
            <w:tcW w:w="1460" w:type="dxa"/>
            <w:shd w:val="clear" w:color="auto" w:fill="auto"/>
            <w:noWrap w:val="0"/>
            <w:vAlign w:val="center"/>
          </w:tcPr>
          <w:p>
            <w:pPr>
              <w:spacing w:line="320" w:lineRule="atLeast"/>
              <w:jc w:val="center"/>
              <w:rPr>
                <w:rFonts w:hint="eastAsia"/>
                <w:sz w:val="21"/>
                <w:szCs w:val="21"/>
              </w:rPr>
            </w:pPr>
            <w:r>
              <w:rPr>
                <w:rFonts w:hint="eastAsia"/>
                <w:sz w:val="21"/>
                <w:szCs w:val="21"/>
              </w:rPr>
              <w:t>污水处理污泥</w:t>
            </w:r>
          </w:p>
        </w:tc>
        <w:tc>
          <w:tcPr>
            <w:tcW w:w="1071" w:type="dxa"/>
            <w:shd w:val="clear" w:color="auto" w:fill="auto"/>
            <w:noWrap w:val="0"/>
            <w:vAlign w:val="center"/>
          </w:tcPr>
          <w:p>
            <w:pPr>
              <w:spacing w:line="240" w:lineRule="exact"/>
              <w:jc w:val="center"/>
              <w:rPr>
                <w:sz w:val="21"/>
                <w:szCs w:val="21"/>
              </w:rPr>
            </w:pPr>
            <w:r>
              <w:rPr>
                <w:sz w:val="21"/>
                <w:szCs w:val="21"/>
              </w:rPr>
              <w:t>t/a</w:t>
            </w:r>
          </w:p>
        </w:tc>
        <w:tc>
          <w:tcPr>
            <w:tcW w:w="1197" w:type="dxa"/>
            <w:shd w:val="clear" w:color="auto" w:fill="auto"/>
            <w:noWrap w:val="0"/>
            <w:vAlign w:val="center"/>
          </w:tcPr>
          <w:p>
            <w:pPr>
              <w:spacing w:line="320" w:lineRule="atLeast"/>
              <w:jc w:val="center"/>
              <w:rPr>
                <w:rFonts w:hint="eastAsia"/>
                <w:sz w:val="21"/>
                <w:szCs w:val="21"/>
              </w:rPr>
            </w:pPr>
            <w:r>
              <w:rPr>
                <w:rFonts w:hint="eastAsia"/>
                <w:sz w:val="21"/>
                <w:szCs w:val="21"/>
              </w:rPr>
              <w:t>8.82</w:t>
            </w:r>
          </w:p>
        </w:tc>
        <w:tc>
          <w:tcPr>
            <w:tcW w:w="1197" w:type="dxa"/>
            <w:shd w:val="clear" w:color="auto" w:fill="auto"/>
            <w:noWrap w:val="0"/>
            <w:vAlign w:val="center"/>
          </w:tcPr>
          <w:p>
            <w:pPr>
              <w:spacing w:line="320" w:lineRule="atLeast"/>
              <w:jc w:val="center"/>
              <w:rPr>
                <w:rFonts w:hint="eastAsia"/>
                <w:sz w:val="21"/>
                <w:szCs w:val="21"/>
              </w:rPr>
            </w:pPr>
            <w:r>
              <w:rPr>
                <w:rFonts w:hint="eastAsia"/>
                <w:sz w:val="21"/>
                <w:szCs w:val="21"/>
              </w:rPr>
              <w:t>8.82</w:t>
            </w:r>
          </w:p>
        </w:tc>
        <w:tc>
          <w:tcPr>
            <w:tcW w:w="1197" w:type="dxa"/>
            <w:shd w:val="clear" w:color="auto" w:fill="auto"/>
            <w:noWrap w:val="0"/>
            <w:vAlign w:val="center"/>
          </w:tcPr>
          <w:p>
            <w:pPr>
              <w:spacing w:line="240" w:lineRule="exact"/>
              <w:jc w:val="center"/>
              <w:rPr>
                <w:sz w:val="21"/>
                <w:szCs w:val="21"/>
              </w:rPr>
            </w:pPr>
            <w:r>
              <w:rPr>
                <w:sz w:val="21"/>
                <w:szCs w:val="21"/>
              </w:rPr>
              <w:t>0</w:t>
            </w:r>
          </w:p>
        </w:tc>
        <w:tc>
          <w:tcPr>
            <w:tcW w:w="2789" w:type="dxa"/>
            <w:shd w:val="clear" w:color="auto" w:fill="auto"/>
            <w:noWrap w:val="0"/>
            <w:vAlign w:val="center"/>
          </w:tcPr>
          <w:p>
            <w:pPr>
              <w:spacing w:line="240" w:lineRule="exact"/>
              <w:jc w:val="center"/>
              <w:rPr>
                <w:sz w:val="21"/>
                <w:szCs w:val="21"/>
              </w:rPr>
            </w:pPr>
            <w:r>
              <w:rPr>
                <w:sz w:val="21"/>
                <w:szCs w:val="21"/>
              </w:rPr>
              <w:t>直接送水泥回转窑作水泥原料煅烧，不排放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3" w:hRule="atLeast"/>
          <w:jc w:val="center"/>
        </w:trPr>
        <w:tc>
          <w:tcPr>
            <w:tcW w:w="649" w:type="dxa"/>
            <w:vMerge w:val="continue"/>
            <w:shd w:val="clear" w:color="auto" w:fill="auto"/>
            <w:noWrap w:val="0"/>
            <w:vAlign w:val="center"/>
          </w:tcPr>
          <w:p>
            <w:pPr>
              <w:spacing w:line="300" w:lineRule="exact"/>
              <w:jc w:val="center"/>
              <w:rPr>
                <w:sz w:val="21"/>
                <w:szCs w:val="21"/>
              </w:rPr>
            </w:pPr>
          </w:p>
        </w:tc>
        <w:tc>
          <w:tcPr>
            <w:tcW w:w="1460" w:type="dxa"/>
            <w:shd w:val="clear" w:color="auto" w:fill="auto"/>
            <w:noWrap w:val="0"/>
            <w:vAlign w:val="center"/>
          </w:tcPr>
          <w:p>
            <w:pPr>
              <w:spacing w:line="320" w:lineRule="atLeast"/>
              <w:ind w:firstLine="105" w:firstLineChars="50"/>
              <w:jc w:val="center"/>
              <w:rPr>
                <w:rFonts w:hint="eastAsia"/>
                <w:sz w:val="21"/>
                <w:szCs w:val="21"/>
              </w:rPr>
            </w:pPr>
            <w:r>
              <w:rPr>
                <w:rFonts w:hint="eastAsia"/>
                <w:sz w:val="21"/>
                <w:szCs w:val="21"/>
              </w:rPr>
              <w:t>生活垃圾</w:t>
            </w:r>
          </w:p>
        </w:tc>
        <w:tc>
          <w:tcPr>
            <w:tcW w:w="1071" w:type="dxa"/>
            <w:shd w:val="clear" w:color="auto" w:fill="auto"/>
            <w:noWrap w:val="0"/>
            <w:vAlign w:val="center"/>
          </w:tcPr>
          <w:p>
            <w:pPr>
              <w:spacing w:line="240" w:lineRule="exact"/>
              <w:jc w:val="center"/>
              <w:rPr>
                <w:sz w:val="21"/>
                <w:szCs w:val="21"/>
              </w:rPr>
            </w:pPr>
            <w:r>
              <w:rPr>
                <w:sz w:val="21"/>
                <w:szCs w:val="21"/>
              </w:rPr>
              <w:t>t/a</w:t>
            </w:r>
          </w:p>
        </w:tc>
        <w:tc>
          <w:tcPr>
            <w:tcW w:w="1197" w:type="dxa"/>
            <w:shd w:val="clear" w:color="auto" w:fill="auto"/>
            <w:noWrap w:val="0"/>
            <w:vAlign w:val="center"/>
          </w:tcPr>
          <w:p>
            <w:pPr>
              <w:spacing w:line="320" w:lineRule="atLeast"/>
              <w:ind w:firstLine="315" w:firstLineChars="150"/>
              <w:rPr>
                <w:rFonts w:hint="eastAsia"/>
                <w:sz w:val="21"/>
                <w:szCs w:val="21"/>
              </w:rPr>
            </w:pPr>
            <w:r>
              <w:rPr>
                <w:rFonts w:hint="eastAsia"/>
                <w:sz w:val="21"/>
                <w:szCs w:val="21"/>
              </w:rPr>
              <w:t>42.3</w:t>
            </w:r>
          </w:p>
        </w:tc>
        <w:tc>
          <w:tcPr>
            <w:tcW w:w="1197" w:type="dxa"/>
            <w:shd w:val="clear" w:color="auto" w:fill="auto"/>
            <w:noWrap w:val="0"/>
            <w:vAlign w:val="center"/>
          </w:tcPr>
          <w:p>
            <w:pPr>
              <w:spacing w:line="320" w:lineRule="atLeast"/>
              <w:ind w:firstLine="420" w:firstLineChars="200"/>
              <w:rPr>
                <w:rFonts w:hint="eastAsia"/>
                <w:sz w:val="21"/>
                <w:szCs w:val="21"/>
              </w:rPr>
            </w:pPr>
            <w:r>
              <w:rPr>
                <w:rFonts w:hint="eastAsia"/>
                <w:sz w:val="21"/>
                <w:szCs w:val="21"/>
              </w:rPr>
              <w:t>42.3</w:t>
            </w:r>
          </w:p>
        </w:tc>
        <w:tc>
          <w:tcPr>
            <w:tcW w:w="1197" w:type="dxa"/>
            <w:shd w:val="clear" w:color="auto" w:fill="auto"/>
            <w:noWrap w:val="0"/>
            <w:vAlign w:val="center"/>
          </w:tcPr>
          <w:p>
            <w:pPr>
              <w:spacing w:line="240" w:lineRule="exact"/>
              <w:jc w:val="center"/>
              <w:rPr>
                <w:sz w:val="21"/>
                <w:szCs w:val="21"/>
              </w:rPr>
            </w:pPr>
            <w:r>
              <w:rPr>
                <w:sz w:val="21"/>
                <w:szCs w:val="21"/>
              </w:rPr>
              <w:t>0</w:t>
            </w:r>
          </w:p>
        </w:tc>
        <w:tc>
          <w:tcPr>
            <w:tcW w:w="2789" w:type="dxa"/>
            <w:shd w:val="clear" w:color="auto" w:fill="auto"/>
            <w:noWrap w:val="0"/>
            <w:vAlign w:val="center"/>
          </w:tcPr>
          <w:p>
            <w:pPr>
              <w:spacing w:line="240" w:lineRule="exact"/>
              <w:ind w:firstLine="420"/>
              <w:jc w:val="center"/>
              <w:rPr>
                <w:sz w:val="21"/>
                <w:szCs w:val="21"/>
              </w:rPr>
            </w:pPr>
            <w:r>
              <w:rPr>
                <w:sz w:val="21"/>
                <w:szCs w:val="21"/>
              </w:rPr>
              <w:t>在厂区内设生活垃圾转运站，集中收集后，由</w:t>
            </w:r>
            <w:r>
              <w:rPr>
                <w:rFonts w:hint="eastAsia"/>
                <w:sz w:val="21"/>
                <w:szCs w:val="21"/>
              </w:rPr>
              <w:t>青木关镇</w:t>
            </w:r>
            <w:r>
              <w:rPr>
                <w:sz w:val="21"/>
                <w:szCs w:val="21"/>
              </w:rPr>
              <w:t>环卫部门送城市垃圾处理场卫生填埋，不排放</w:t>
            </w:r>
          </w:p>
        </w:tc>
      </w:tr>
      <w:bookmarkEnd w:id="176"/>
      <w:bookmarkEnd w:id="177"/>
    </w:tbl>
    <w:p>
      <w:pPr>
        <w:spacing w:line="460" w:lineRule="exact"/>
        <w:outlineLvl w:val="1"/>
        <w:rPr>
          <w:rFonts w:hint="eastAsia"/>
          <w:b/>
        </w:rPr>
      </w:pPr>
      <w:bookmarkStart w:id="178" w:name="_Toc129763714"/>
      <w:bookmarkStart w:id="179" w:name="_Toc165607358"/>
      <w:bookmarkStart w:id="180" w:name="_Toc189814147"/>
      <w:bookmarkStart w:id="181" w:name="_Toc175479802"/>
      <w:bookmarkStart w:id="182" w:name="_Toc473281505"/>
    </w:p>
    <w:p>
      <w:pPr>
        <w:spacing w:line="360" w:lineRule="auto"/>
        <w:outlineLvl w:val="2"/>
        <w:rPr>
          <w:rFonts w:hint="eastAsia"/>
          <w:b/>
          <w:bCs/>
          <w:szCs w:val="20"/>
        </w:rPr>
      </w:pPr>
      <w:r>
        <w:rPr>
          <w:rFonts w:hint="eastAsia"/>
          <w:b/>
          <w:bCs/>
          <w:szCs w:val="20"/>
        </w:rPr>
        <w:t>3.3 技改项目建成后主要污染物增减情况分析</w:t>
      </w:r>
    </w:p>
    <w:p>
      <w:pPr>
        <w:spacing w:line="360" w:lineRule="auto"/>
        <w:outlineLvl w:val="2"/>
        <w:rPr>
          <w:rFonts w:hint="eastAsia"/>
          <w:spacing w:val="-8"/>
        </w:rPr>
      </w:pPr>
      <w:r>
        <w:rPr>
          <w:rFonts w:hint="eastAsia"/>
          <w:spacing w:val="-8"/>
        </w:rPr>
        <w:t xml:space="preserve">    技改项目投产前后污染物排放“三本帐”列于表3-17。</w:t>
      </w:r>
    </w:p>
    <w:p>
      <w:pPr>
        <w:spacing w:line="360" w:lineRule="auto"/>
        <w:jc w:val="center"/>
        <w:outlineLvl w:val="2"/>
        <w:rPr>
          <w:rFonts w:hint="eastAsia"/>
          <w:b/>
          <w:spacing w:val="-8"/>
        </w:rPr>
      </w:pPr>
      <w:r>
        <w:rPr>
          <w:rFonts w:hint="eastAsia"/>
          <w:b/>
          <w:bCs/>
          <w:szCs w:val="20"/>
        </w:rPr>
        <w:t>表3-17  技改项目投产前后</w:t>
      </w:r>
      <w:r>
        <w:rPr>
          <w:rFonts w:hint="eastAsia"/>
          <w:b/>
          <w:spacing w:val="-8"/>
        </w:rPr>
        <w:t>污染物排放“三本帐</w:t>
      </w:r>
    </w:p>
    <w:tbl>
      <w:tblPr>
        <w:tblStyle w:val="20"/>
        <w:tblpPr w:leftFromText="180" w:rightFromText="180" w:vertAnchor="page" w:horzAnchor="margin" w:tblpY="10396"/>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160"/>
        <w:gridCol w:w="1161"/>
        <w:gridCol w:w="1161"/>
        <w:gridCol w:w="1161"/>
        <w:gridCol w:w="1161"/>
        <w:gridCol w:w="1161"/>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shd w:val="clear" w:color="auto" w:fill="auto"/>
            <w:noWrap w:val="0"/>
            <w:vAlign w:val="center"/>
          </w:tcPr>
          <w:p>
            <w:pPr>
              <w:spacing w:line="280" w:lineRule="atLeast"/>
              <w:ind w:firstLine="67"/>
              <w:jc w:val="center"/>
              <w:rPr>
                <w:sz w:val="21"/>
                <w:szCs w:val="21"/>
              </w:rPr>
            </w:pPr>
            <w:r>
              <w:rPr>
                <w:rFonts w:hint="eastAsia"/>
                <w:sz w:val="21"/>
                <w:szCs w:val="21"/>
              </w:rPr>
              <w:t>种类</w:t>
            </w:r>
          </w:p>
        </w:tc>
        <w:tc>
          <w:tcPr>
            <w:tcW w:w="1160" w:type="dxa"/>
            <w:shd w:val="clear" w:color="auto" w:fill="auto"/>
            <w:noWrap w:val="0"/>
            <w:vAlign w:val="center"/>
          </w:tcPr>
          <w:p>
            <w:pPr>
              <w:spacing w:line="280" w:lineRule="atLeast"/>
              <w:ind w:firstLine="67"/>
              <w:jc w:val="center"/>
              <w:rPr>
                <w:sz w:val="21"/>
                <w:szCs w:val="21"/>
              </w:rPr>
            </w:pPr>
            <w:r>
              <w:rPr>
                <w:rFonts w:hint="eastAsia"/>
                <w:sz w:val="21"/>
                <w:szCs w:val="21"/>
              </w:rPr>
              <w:t>污染物名称</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现有项目排放量（</w:t>
            </w:r>
            <w:r>
              <w:rPr>
                <w:sz w:val="21"/>
                <w:szCs w:val="21"/>
              </w:rPr>
              <w:t>t/a</w:t>
            </w:r>
            <w:r>
              <w:rPr>
                <w:rFonts w:hint="eastAsia"/>
                <w:sz w:val="21"/>
                <w:szCs w:val="21"/>
              </w:rPr>
              <w:t>）</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技改项目排放量（</w:t>
            </w:r>
            <w:r>
              <w:rPr>
                <w:sz w:val="21"/>
                <w:szCs w:val="21"/>
              </w:rPr>
              <w:t>t/a</w:t>
            </w:r>
            <w:r>
              <w:rPr>
                <w:rFonts w:hint="eastAsia"/>
                <w:sz w:val="21"/>
                <w:szCs w:val="21"/>
              </w:rPr>
              <w:t>）</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“以新代老”削减量（</w:t>
            </w:r>
            <w:r>
              <w:rPr>
                <w:sz w:val="21"/>
                <w:szCs w:val="21"/>
              </w:rPr>
              <w:t>t/a</w:t>
            </w:r>
            <w:r>
              <w:rPr>
                <w:rFonts w:hint="eastAsia"/>
                <w:sz w:val="21"/>
                <w:szCs w:val="21"/>
              </w:rPr>
              <w:t>）</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技改项目建成后全厂排放量（</w:t>
            </w:r>
            <w:r>
              <w:rPr>
                <w:sz w:val="21"/>
                <w:szCs w:val="21"/>
              </w:rPr>
              <w:t>t/a</w:t>
            </w:r>
            <w:r>
              <w:rPr>
                <w:rFonts w:hint="eastAsia"/>
                <w:sz w:val="21"/>
                <w:szCs w:val="21"/>
              </w:rPr>
              <w:t>）</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技改项目建成后污染物增减量（</w:t>
            </w:r>
            <w:r>
              <w:rPr>
                <w:sz w:val="21"/>
                <w:szCs w:val="21"/>
              </w:rPr>
              <w:t>t/a</w:t>
            </w:r>
            <w:r>
              <w:rPr>
                <w:rFonts w:hint="eastAsia"/>
                <w:sz w:val="21"/>
                <w:szCs w:val="21"/>
              </w:rPr>
              <w:t>）</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增减率（</w:t>
            </w:r>
            <w:r>
              <w:rPr>
                <w:sz w:val="21"/>
                <w:szCs w:val="21"/>
              </w:rPr>
              <w:t>%</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shd w:val="clear" w:color="auto" w:fill="auto"/>
            <w:noWrap w:val="0"/>
            <w:vAlign w:val="center"/>
          </w:tcPr>
          <w:p>
            <w:pPr>
              <w:spacing w:line="280" w:lineRule="atLeast"/>
              <w:ind w:firstLine="67"/>
              <w:jc w:val="center"/>
              <w:rPr>
                <w:rFonts w:hint="eastAsia"/>
                <w:sz w:val="21"/>
                <w:szCs w:val="21"/>
              </w:rPr>
            </w:pPr>
            <w:r>
              <w:rPr>
                <w:rFonts w:hint="eastAsia"/>
                <w:sz w:val="21"/>
                <w:szCs w:val="21"/>
              </w:rPr>
              <w:t>大气污染物</w:t>
            </w:r>
          </w:p>
        </w:tc>
        <w:tc>
          <w:tcPr>
            <w:tcW w:w="1160" w:type="dxa"/>
            <w:shd w:val="clear" w:color="auto" w:fill="auto"/>
            <w:noWrap w:val="0"/>
            <w:vAlign w:val="center"/>
          </w:tcPr>
          <w:p>
            <w:pPr>
              <w:widowControl/>
              <w:spacing w:line="280" w:lineRule="atLeast"/>
              <w:ind w:firstLine="67"/>
              <w:jc w:val="center"/>
              <w:rPr>
                <w:rFonts w:hint="eastAsia"/>
                <w:sz w:val="21"/>
                <w:szCs w:val="21"/>
              </w:rPr>
            </w:pPr>
            <w:r>
              <w:rPr>
                <w:rFonts w:hint="eastAsia"/>
                <w:sz w:val="21"/>
                <w:szCs w:val="21"/>
              </w:rPr>
              <w:t>烟(粉)尘</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334.92</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261.37</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334.92</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261.37</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-73.55</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 xml:space="preserve">-22.0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sz w:val="21"/>
                <w:szCs w:val="21"/>
              </w:rPr>
            </w:pPr>
            <w:r>
              <w:rPr>
                <w:sz w:val="21"/>
                <w:szCs w:val="21"/>
              </w:rPr>
              <w:t>SO</w:t>
            </w:r>
            <w:r>
              <w:rPr>
                <w:sz w:val="21"/>
                <w:szCs w:val="21"/>
                <w:vertAlign w:val="subscript"/>
              </w:rPr>
              <w:t>2</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1013.11</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216.44</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1013.11</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216.44</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-796.67</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 xml:space="preserve">-78.6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sz w:val="21"/>
                <w:szCs w:val="21"/>
              </w:rPr>
            </w:pPr>
            <w:r>
              <w:rPr>
                <w:sz w:val="21"/>
                <w:szCs w:val="21"/>
              </w:rPr>
              <w:t>NOx</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952.34</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1799.88</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952.34</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1799.88</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847.54</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 xml:space="preserve">89.0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无组织排放粉尘</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438.61</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28.73</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438.61</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28.73</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-409.88</w:t>
            </w:r>
          </w:p>
        </w:tc>
        <w:tc>
          <w:tcPr>
            <w:tcW w:w="1161" w:type="dxa"/>
            <w:shd w:val="clear" w:color="auto" w:fill="auto"/>
            <w:noWrap w:val="0"/>
            <w:vAlign w:val="center"/>
          </w:tcPr>
          <w:p>
            <w:pPr>
              <w:spacing w:line="280" w:lineRule="atLeast"/>
              <w:ind w:firstLine="67"/>
              <w:jc w:val="center"/>
              <w:rPr>
                <w:sz w:val="21"/>
                <w:szCs w:val="21"/>
              </w:rPr>
            </w:pPr>
            <w:r>
              <w:rPr>
                <w:rFonts w:hint="eastAsia"/>
                <w:sz w:val="21"/>
                <w:szCs w:val="21"/>
              </w:rPr>
              <w:t xml:space="preserve">-93.4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shd w:val="clear" w:color="auto" w:fill="auto"/>
            <w:noWrap w:val="0"/>
            <w:vAlign w:val="center"/>
          </w:tcPr>
          <w:p>
            <w:pPr>
              <w:spacing w:line="280" w:lineRule="atLeast"/>
              <w:ind w:firstLine="67"/>
              <w:jc w:val="center"/>
              <w:rPr>
                <w:sz w:val="21"/>
                <w:szCs w:val="21"/>
              </w:rPr>
            </w:pPr>
            <w:r>
              <w:rPr>
                <w:rFonts w:hint="eastAsia"/>
                <w:sz w:val="21"/>
                <w:szCs w:val="21"/>
              </w:rPr>
              <w:t>水污染物</w:t>
            </w:r>
          </w:p>
        </w:tc>
        <w:tc>
          <w:tcPr>
            <w:tcW w:w="1160" w:type="dxa"/>
            <w:shd w:val="clear" w:color="auto" w:fill="auto"/>
            <w:noWrap w:val="0"/>
            <w:vAlign w:val="center"/>
          </w:tcPr>
          <w:p>
            <w:pPr>
              <w:spacing w:line="280" w:lineRule="atLeast"/>
              <w:ind w:firstLine="67"/>
              <w:jc w:val="center"/>
              <w:rPr>
                <w:sz w:val="21"/>
                <w:szCs w:val="21"/>
              </w:rPr>
            </w:pPr>
            <w:r>
              <w:rPr>
                <w:sz w:val="21"/>
                <w:szCs w:val="21"/>
              </w:rPr>
              <w:t>COD</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2.19</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1.63</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2.19</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1.63</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-0.56</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sz w:val="21"/>
                <w:szCs w:val="21"/>
              </w:rPr>
            </w:pPr>
            <w:r>
              <w:rPr>
                <w:sz w:val="21"/>
                <w:szCs w:val="21"/>
              </w:rPr>
              <w:t>NH</w:t>
            </w:r>
            <w:r>
              <w:rPr>
                <w:sz w:val="21"/>
                <w:szCs w:val="21"/>
                <w:vertAlign w:val="subscript"/>
              </w:rPr>
              <w:t>3</w:t>
            </w:r>
            <w:r>
              <w:rPr>
                <w:sz w:val="21"/>
                <w:szCs w:val="21"/>
              </w:rPr>
              <w:t>-N</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0.22</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0.11</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0.22</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0.11</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-0.11</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sz w:val="21"/>
                <w:szCs w:val="21"/>
              </w:rPr>
            </w:pPr>
            <w:r>
              <w:rPr>
                <w:sz w:val="21"/>
                <w:szCs w:val="21"/>
              </w:rPr>
              <w:t>SS</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1.1</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0.92</w:t>
            </w:r>
          </w:p>
        </w:tc>
        <w:tc>
          <w:tcPr>
            <w:tcW w:w="1161" w:type="dxa"/>
            <w:shd w:val="clear" w:color="auto" w:fill="auto"/>
            <w:noWrap w:val="0"/>
            <w:vAlign w:val="center"/>
          </w:tcPr>
          <w:p>
            <w:pPr>
              <w:spacing w:line="280" w:lineRule="atLeast"/>
              <w:ind w:firstLine="67"/>
              <w:jc w:val="center"/>
              <w:rPr>
                <w:rFonts w:hint="eastAsia"/>
                <w:sz w:val="21"/>
                <w:szCs w:val="21"/>
              </w:rPr>
            </w:pPr>
            <w:r>
              <w:rPr>
                <w:rFonts w:hint="eastAsia"/>
                <w:sz w:val="21"/>
                <w:szCs w:val="21"/>
              </w:rPr>
              <w:t>1.1</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0.92</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-0.18</w:t>
            </w:r>
          </w:p>
        </w:tc>
        <w:tc>
          <w:tcPr>
            <w:tcW w:w="1161" w:type="dxa"/>
            <w:shd w:val="clear" w:color="auto" w:fill="auto"/>
            <w:noWrap w:val="0"/>
            <w:vAlign w:val="center"/>
          </w:tcPr>
          <w:p>
            <w:pPr>
              <w:jc w:val="center"/>
              <w:rPr>
                <w:rFonts w:ascii="宋体" w:hAnsi="宋体" w:cs="宋体"/>
                <w:sz w:val="21"/>
                <w:szCs w:val="21"/>
              </w:rPr>
            </w:pPr>
            <w:r>
              <w:rPr>
                <w:rFonts w:hint="eastAsia"/>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restart"/>
            <w:shd w:val="clear" w:color="auto" w:fill="auto"/>
            <w:noWrap w:val="0"/>
            <w:vAlign w:val="center"/>
          </w:tcPr>
          <w:p>
            <w:pPr>
              <w:spacing w:line="280" w:lineRule="atLeast"/>
              <w:ind w:firstLine="67"/>
              <w:jc w:val="center"/>
              <w:rPr>
                <w:sz w:val="21"/>
                <w:szCs w:val="21"/>
              </w:rPr>
            </w:pPr>
            <w:r>
              <w:rPr>
                <w:rFonts w:hint="eastAsia"/>
                <w:sz w:val="21"/>
                <w:szCs w:val="21"/>
              </w:rPr>
              <w:t>固体废物</w:t>
            </w:r>
          </w:p>
        </w:tc>
        <w:tc>
          <w:tcPr>
            <w:tcW w:w="1160" w:type="dxa"/>
            <w:shd w:val="clear" w:color="auto" w:fill="auto"/>
            <w:noWrap w:val="0"/>
            <w:vAlign w:val="center"/>
          </w:tcPr>
          <w:p>
            <w:pPr>
              <w:spacing w:line="280" w:lineRule="atLeast"/>
              <w:ind w:firstLine="67"/>
              <w:jc w:val="center"/>
              <w:rPr>
                <w:sz w:val="21"/>
                <w:szCs w:val="21"/>
              </w:rPr>
            </w:pPr>
            <w:r>
              <w:rPr>
                <w:rFonts w:hint="eastAsia"/>
                <w:sz w:val="21"/>
                <w:szCs w:val="21"/>
              </w:rPr>
              <w:t>除尘灰</w:t>
            </w:r>
          </w:p>
        </w:tc>
        <w:tc>
          <w:tcPr>
            <w:tcW w:w="6966" w:type="dxa"/>
            <w:gridSpan w:val="6"/>
            <w:vMerge w:val="restart"/>
            <w:shd w:val="clear" w:color="auto" w:fill="auto"/>
            <w:noWrap w:val="0"/>
            <w:vAlign w:val="center"/>
          </w:tcPr>
          <w:p>
            <w:pPr>
              <w:spacing w:line="280" w:lineRule="atLeast"/>
              <w:ind w:firstLine="67"/>
              <w:jc w:val="center"/>
              <w:rPr>
                <w:rFonts w:hint="eastAsia"/>
                <w:sz w:val="21"/>
                <w:szCs w:val="21"/>
              </w:rPr>
            </w:pPr>
            <w:r>
              <w:rPr>
                <w:rFonts w:hint="eastAsia"/>
                <w:sz w:val="21"/>
                <w:szCs w:val="21"/>
              </w:rPr>
              <w:t>均返回水泥窑</w:t>
            </w:r>
            <w:r>
              <w:rPr>
                <w:sz w:val="21"/>
                <w:szCs w:val="21"/>
              </w:rPr>
              <w:t>作水泥原料煅烧，不排放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spacing w:line="280" w:lineRule="atLeast"/>
              <w:ind w:firstLine="67"/>
              <w:jc w:val="center"/>
              <w:rPr>
                <w:sz w:val="21"/>
                <w:szCs w:val="21"/>
              </w:rPr>
            </w:pPr>
          </w:p>
        </w:tc>
        <w:tc>
          <w:tcPr>
            <w:tcW w:w="1160" w:type="dxa"/>
            <w:shd w:val="clear" w:color="auto" w:fill="auto"/>
            <w:noWrap w:val="0"/>
            <w:vAlign w:val="center"/>
          </w:tcPr>
          <w:p>
            <w:pPr>
              <w:spacing w:line="280" w:lineRule="atLeast"/>
              <w:ind w:firstLine="67"/>
              <w:jc w:val="center"/>
              <w:rPr>
                <w:sz w:val="21"/>
                <w:szCs w:val="21"/>
              </w:rPr>
            </w:pPr>
            <w:r>
              <w:rPr>
                <w:rFonts w:hint="eastAsia"/>
                <w:sz w:val="21"/>
                <w:szCs w:val="21"/>
              </w:rPr>
              <w:t>污水处理站污泥</w:t>
            </w:r>
          </w:p>
        </w:tc>
        <w:tc>
          <w:tcPr>
            <w:tcW w:w="6966" w:type="dxa"/>
            <w:gridSpan w:val="6"/>
            <w:vMerge w:val="continue"/>
            <w:shd w:val="clear" w:color="auto" w:fill="auto"/>
            <w:noWrap w:val="0"/>
            <w:vAlign w:val="center"/>
          </w:tcPr>
          <w:p>
            <w:pPr>
              <w:spacing w:line="280" w:lineRule="atLeast"/>
              <w:ind w:firstLine="6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0" w:type="dxa"/>
            <w:vMerge w:val="continue"/>
            <w:shd w:val="clear" w:color="auto" w:fill="auto"/>
            <w:noWrap w:val="0"/>
            <w:vAlign w:val="center"/>
          </w:tcPr>
          <w:p>
            <w:pPr>
              <w:widowControl/>
              <w:jc w:val="left"/>
              <w:rPr>
                <w:rFonts w:ascii="宋体" w:hAnsi="宋体" w:cs="宋体"/>
                <w:kern w:val="0"/>
                <w:sz w:val="21"/>
                <w:szCs w:val="21"/>
              </w:rPr>
            </w:pPr>
          </w:p>
        </w:tc>
        <w:tc>
          <w:tcPr>
            <w:tcW w:w="1160" w:type="dxa"/>
            <w:shd w:val="clear" w:color="auto" w:fill="auto"/>
            <w:noWrap w:val="0"/>
            <w:vAlign w:val="center"/>
          </w:tcPr>
          <w:p>
            <w:pPr>
              <w:widowControl/>
              <w:jc w:val="center"/>
              <w:rPr>
                <w:rFonts w:ascii="宋体" w:hAnsi="宋体" w:cs="宋体"/>
                <w:kern w:val="0"/>
                <w:sz w:val="21"/>
                <w:szCs w:val="21"/>
              </w:rPr>
            </w:pPr>
            <w:r>
              <w:rPr>
                <w:rFonts w:hint="eastAsia" w:ascii="宋体" w:hAnsi="宋体" w:cs="宋体"/>
                <w:kern w:val="0"/>
                <w:sz w:val="21"/>
                <w:szCs w:val="21"/>
              </w:rPr>
              <w:t>生活垃圾</w:t>
            </w:r>
          </w:p>
        </w:tc>
        <w:tc>
          <w:tcPr>
            <w:tcW w:w="1161" w:type="dxa"/>
            <w:shd w:val="clear" w:color="auto" w:fill="auto"/>
            <w:noWrap w:val="0"/>
            <w:vAlign w:val="center"/>
          </w:tcPr>
          <w:p>
            <w:pPr>
              <w:widowControl/>
              <w:jc w:val="center"/>
              <w:rPr>
                <w:rFonts w:hint="eastAsia"/>
                <w:kern w:val="0"/>
                <w:sz w:val="21"/>
                <w:szCs w:val="21"/>
              </w:rPr>
            </w:pPr>
            <w:r>
              <w:rPr>
                <w:rFonts w:hint="eastAsia"/>
                <w:kern w:val="0"/>
                <w:sz w:val="21"/>
                <w:szCs w:val="21"/>
              </w:rPr>
              <w:t>39.75</w:t>
            </w:r>
          </w:p>
        </w:tc>
        <w:tc>
          <w:tcPr>
            <w:tcW w:w="1161" w:type="dxa"/>
            <w:shd w:val="clear" w:color="auto" w:fill="auto"/>
            <w:noWrap w:val="0"/>
            <w:vAlign w:val="center"/>
          </w:tcPr>
          <w:p>
            <w:pPr>
              <w:widowControl/>
              <w:jc w:val="center"/>
              <w:rPr>
                <w:rFonts w:hint="eastAsia"/>
                <w:kern w:val="0"/>
                <w:sz w:val="21"/>
                <w:szCs w:val="21"/>
              </w:rPr>
            </w:pPr>
            <w:r>
              <w:rPr>
                <w:rFonts w:hint="eastAsia"/>
                <w:kern w:val="0"/>
                <w:sz w:val="21"/>
                <w:szCs w:val="21"/>
              </w:rPr>
              <w:t>42.3</w:t>
            </w:r>
          </w:p>
        </w:tc>
        <w:tc>
          <w:tcPr>
            <w:tcW w:w="1161" w:type="dxa"/>
            <w:shd w:val="clear" w:color="auto" w:fill="auto"/>
            <w:noWrap w:val="0"/>
            <w:vAlign w:val="center"/>
          </w:tcPr>
          <w:p>
            <w:pPr>
              <w:widowControl/>
              <w:jc w:val="center"/>
              <w:rPr>
                <w:rFonts w:hint="eastAsia"/>
                <w:kern w:val="0"/>
                <w:sz w:val="21"/>
                <w:szCs w:val="21"/>
              </w:rPr>
            </w:pPr>
            <w:r>
              <w:rPr>
                <w:rFonts w:hint="eastAsia"/>
                <w:kern w:val="0"/>
                <w:sz w:val="21"/>
                <w:szCs w:val="21"/>
              </w:rPr>
              <w:t>39.75</w:t>
            </w:r>
          </w:p>
        </w:tc>
        <w:tc>
          <w:tcPr>
            <w:tcW w:w="1161" w:type="dxa"/>
            <w:shd w:val="clear" w:color="auto" w:fill="auto"/>
            <w:noWrap w:val="0"/>
            <w:vAlign w:val="center"/>
          </w:tcPr>
          <w:p>
            <w:pPr>
              <w:widowControl/>
              <w:jc w:val="center"/>
              <w:rPr>
                <w:rFonts w:hint="eastAsia"/>
                <w:kern w:val="0"/>
                <w:sz w:val="21"/>
                <w:szCs w:val="21"/>
              </w:rPr>
            </w:pPr>
            <w:r>
              <w:rPr>
                <w:rFonts w:hint="eastAsia"/>
                <w:kern w:val="0"/>
                <w:sz w:val="21"/>
                <w:szCs w:val="21"/>
              </w:rPr>
              <w:t>42.3</w:t>
            </w:r>
          </w:p>
        </w:tc>
        <w:tc>
          <w:tcPr>
            <w:tcW w:w="1161" w:type="dxa"/>
            <w:shd w:val="clear" w:color="auto" w:fill="auto"/>
            <w:noWrap w:val="0"/>
            <w:vAlign w:val="center"/>
          </w:tcPr>
          <w:p>
            <w:pPr>
              <w:widowControl/>
              <w:jc w:val="center"/>
              <w:rPr>
                <w:rFonts w:hint="eastAsia"/>
                <w:kern w:val="0"/>
                <w:sz w:val="21"/>
                <w:szCs w:val="21"/>
              </w:rPr>
            </w:pPr>
            <w:r>
              <w:rPr>
                <w:rFonts w:hint="eastAsia"/>
                <w:kern w:val="0"/>
                <w:sz w:val="21"/>
                <w:szCs w:val="21"/>
              </w:rPr>
              <w:t>2.55</w:t>
            </w:r>
          </w:p>
        </w:tc>
        <w:tc>
          <w:tcPr>
            <w:tcW w:w="1161" w:type="dxa"/>
            <w:shd w:val="clear" w:color="auto" w:fill="auto"/>
            <w:noWrap w:val="0"/>
            <w:vAlign w:val="center"/>
          </w:tcPr>
          <w:p>
            <w:pPr>
              <w:jc w:val="center"/>
              <w:rPr>
                <w:rFonts w:hint="eastAsia" w:ascii="宋体" w:hAnsi="宋体" w:cs="宋体"/>
                <w:sz w:val="21"/>
                <w:szCs w:val="21"/>
              </w:rPr>
            </w:pPr>
            <w:r>
              <w:rPr>
                <w:rFonts w:hint="eastAsia" w:ascii="宋体" w:hAnsi="宋体" w:cs="宋体"/>
                <w:sz w:val="21"/>
                <w:szCs w:val="21"/>
              </w:rPr>
              <w:t>6.4</w:t>
            </w:r>
          </w:p>
        </w:tc>
      </w:tr>
    </w:tbl>
    <w:p>
      <w:pPr>
        <w:spacing w:line="360" w:lineRule="auto"/>
        <w:ind w:firstLine="388" w:firstLineChars="200"/>
        <w:outlineLvl w:val="2"/>
        <w:rPr>
          <w:rFonts w:hint="eastAsia"/>
          <w:spacing w:val="-8"/>
        </w:rPr>
      </w:pPr>
      <w:r>
        <w:rPr>
          <w:rFonts w:hint="eastAsia"/>
          <w:spacing w:val="-8"/>
        </w:rPr>
        <w:t>从表3-17可以看出，技改项目投产后，青鹏煤业有限公司水泥厂的污染物除废气</w:t>
      </w:r>
      <w:r>
        <w:rPr>
          <w:spacing w:val="-8"/>
        </w:rPr>
        <w:t>NOx</w:t>
      </w:r>
      <w:r>
        <w:rPr>
          <w:rFonts w:hint="eastAsia"/>
          <w:spacing w:val="-8"/>
        </w:rPr>
        <w:t>和生活垃圾有一定增加外，其余污染物排放量均有较大程度的削减，特别是粉尘的无组织排放量削减率达到了93.4%，这将在很大程度上改善厂区周边的大气环境。</w:t>
      </w:r>
    </w:p>
    <w:p>
      <w:pPr>
        <w:spacing w:line="360" w:lineRule="auto"/>
        <w:outlineLvl w:val="2"/>
        <w:rPr>
          <w:rFonts w:hint="eastAsia"/>
          <w:b/>
          <w:bCs/>
          <w:szCs w:val="20"/>
        </w:rPr>
      </w:pPr>
      <w:r>
        <w:rPr>
          <w:rFonts w:hint="eastAsia"/>
          <w:b/>
          <w:bCs/>
          <w:szCs w:val="20"/>
        </w:rPr>
        <w:t>3.4</w:t>
      </w:r>
      <w:r>
        <w:rPr>
          <w:b/>
          <w:bCs/>
          <w:szCs w:val="20"/>
        </w:rPr>
        <w:t>非正常排放分析</w:t>
      </w:r>
      <w:bookmarkEnd w:id="178"/>
      <w:bookmarkEnd w:id="179"/>
      <w:bookmarkEnd w:id="180"/>
      <w:bookmarkEnd w:id="181"/>
      <w:bookmarkEnd w:id="182"/>
    </w:p>
    <w:p>
      <w:pPr>
        <w:spacing w:line="360" w:lineRule="auto"/>
        <w:ind w:firstLine="420"/>
        <w:rPr>
          <w:rFonts w:hint="eastAsia"/>
        </w:rPr>
      </w:pPr>
      <w:r>
        <w:rPr>
          <w:rFonts w:hint="eastAsia"/>
          <w:spacing w:val="-8"/>
        </w:rPr>
        <w:t>从环境保护的角度分析，水泥生产的非正常工况主要表现为</w:t>
      </w:r>
      <w:r>
        <w:rPr>
          <w:rFonts w:hint="eastAsia"/>
        </w:rPr>
        <w:t>治理设施效率下降，造成</w:t>
      </w:r>
      <w:r>
        <w:rPr>
          <w:rFonts w:hint="eastAsia"/>
          <w:spacing w:val="-8"/>
        </w:rPr>
        <w:t>污染物的非</w:t>
      </w:r>
      <w:r>
        <w:rPr>
          <w:rFonts w:hint="eastAsia"/>
        </w:rPr>
        <w:t>正常排放，即污染物的事故排放。根据现有水泥厂的类比分析，一般情况下，废气治理设施出现风险的概率较高，其频率可达每年1~2次。</w:t>
      </w:r>
    </w:p>
    <w:p>
      <w:pPr>
        <w:spacing w:line="360" w:lineRule="auto"/>
        <w:ind w:firstLine="420" w:firstLineChars="200"/>
        <w:rPr>
          <w:rFonts w:hint="eastAsia"/>
        </w:rPr>
      </w:pPr>
      <w:r>
        <w:rPr>
          <w:rFonts w:hint="eastAsia"/>
        </w:rPr>
        <w:t>对技改项目而言，大气污染物的事故排放主要是除尘设施出现故障，从而引起烟粉尘大量排放到环境空气中，易造成较为严重的环境污染。</w:t>
      </w:r>
    </w:p>
    <w:p>
      <w:pPr>
        <w:spacing w:line="360" w:lineRule="auto"/>
        <w:outlineLvl w:val="2"/>
        <w:rPr>
          <w:rFonts w:hint="eastAsia"/>
          <w:b/>
          <w:bCs/>
          <w:szCs w:val="20"/>
        </w:rPr>
      </w:pPr>
      <w:r>
        <w:rPr>
          <w:rFonts w:hint="eastAsia"/>
          <w:b/>
          <w:bCs/>
          <w:szCs w:val="20"/>
        </w:rPr>
        <w:t>3.4.1 非正常工况事故原因分析</w:t>
      </w:r>
    </w:p>
    <w:p>
      <w:pPr>
        <w:spacing w:line="360" w:lineRule="auto"/>
        <w:ind w:firstLine="420" w:firstLineChars="200"/>
        <w:rPr>
          <w:rFonts w:hint="eastAsia"/>
        </w:rPr>
      </w:pPr>
      <w:r>
        <w:rPr>
          <w:rFonts w:hint="eastAsia"/>
        </w:rPr>
        <w:t>一个袋收尘器由几十或上百条滤袋组成，袋收尘器中滤袋损坏会使除尘效率降低，从概率统计分析可知，除尘滤袋越多，单个滤袋损坏的几率越小，而几个滤袋同时损坏的几率更小，而所有滤袋同时损坏的几率几乎为零，另外考虑到对袋收尘器的维护检查，更换破损滤袋，袋收尘器事故性排放效率下降一般不会超过5％，出现更高比例的滤袋破损概率非常小。</w:t>
      </w:r>
    </w:p>
    <w:p>
      <w:pPr>
        <w:spacing w:line="360" w:lineRule="auto"/>
        <w:ind w:firstLine="420" w:firstLineChars="200"/>
        <w:rPr>
          <w:rFonts w:hint="eastAsia"/>
        </w:rPr>
      </w:pPr>
      <w:r>
        <w:rPr>
          <w:rFonts w:hint="eastAsia"/>
        </w:rPr>
        <w:t>煤粉制备袋式除尘器的除尘效率下降时，由于粉尘入口浓度大，较之其它设备袋式除尘器损坏危害更严重，应注意特别。</w:t>
      </w:r>
    </w:p>
    <w:p>
      <w:pPr>
        <w:spacing w:line="360" w:lineRule="auto"/>
        <w:outlineLvl w:val="2"/>
        <w:rPr>
          <w:rFonts w:hint="eastAsia"/>
          <w:b/>
          <w:bCs/>
          <w:szCs w:val="20"/>
        </w:rPr>
      </w:pPr>
      <w:r>
        <w:rPr>
          <w:rFonts w:hint="eastAsia"/>
          <w:b/>
          <w:bCs/>
          <w:szCs w:val="20"/>
        </w:rPr>
        <w:t>3.4.2非正常工况的污染源分析</w:t>
      </w:r>
    </w:p>
    <w:p>
      <w:pPr>
        <w:spacing w:line="360" w:lineRule="auto"/>
        <w:ind w:firstLine="420" w:firstLineChars="200"/>
        <w:rPr>
          <w:rFonts w:hint="eastAsia" w:ascii="宋体" w:hAnsi="宋体"/>
        </w:rPr>
      </w:pPr>
      <w:r>
        <w:rPr>
          <w:rFonts w:hint="eastAsia"/>
        </w:rPr>
        <w:t>技改项目生产中</w:t>
      </w:r>
      <w:r>
        <w:rPr>
          <w:rFonts w:hint="eastAsia" w:ascii="宋体" w:hAnsi="宋体"/>
        </w:rPr>
        <w:t>所有除尘系统同时出现故障不运行的概率几乎为零，故不予考虑。</w:t>
      </w:r>
    </w:p>
    <w:p>
      <w:pPr>
        <w:spacing w:line="360" w:lineRule="auto"/>
        <w:ind w:firstLine="420" w:firstLineChars="200"/>
        <w:rPr>
          <w:rFonts w:hint="eastAsia" w:ascii="宋体" w:hAnsi="宋体"/>
        </w:rPr>
      </w:pPr>
      <w:r>
        <w:rPr>
          <w:rFonts w:hint="eastAsia" w:ascii="宋体" w:hAnsi="宋体"/>
        </w:rPr>
        <w:t>由于窑尾、窑头、煤磨、水泥磨烟（粉）尘排放量占其总排放量的比例很高（90%以上），所以非正常排放主要考虑窑尾、窑头、煤磨、水泥磨除尘器效率下降所产生的非正常排放。</w:t>
      </w:r>
    </w:p>
    <w:p>
      <w:pPr>
        <w:spacing w:line="360" w:lineRule="auto"/>
        <w:ind w:firstLine="420" w:firstLineChars="200"/>
        <w:rPr>
          <w:rFonts w:hint="eastAsia" w:ascii="宋体" w:hAnsi="宋体"/>
          <w:snapToGrid w:val="0"/>
          <w:kern w:val="0"/>
        </w:rPr>
      </w:pPr>
      <w:r>
        <w:rPr>
          <w:rFonts w:hint="eastAsia" w:ascii="宋体" w:hAnsi="宋体"/>
        </w:rPr>
        <w:t>本评价估算最为严重的非正常排放源强，即窑尾、窑头、煤磨、煤磨、水泥磨</w:t>
      </w:r>
      <w:r>
        <w:rPr>
          <w:rFonts w:hint="eastAsia" w:cs="宋体"/>
          <w:kern w:val="0"/>
        </w:rPr>
        <w:t>高效</w:t>
      </w:r>
      <w:r>
        <w:rPr>
          <w:snapToGrid w:val="0"/>
          <w:kern w:val="0"/>
        </w:rPr>
        <w:t>脉冲袋收尘器</w:t>
      </w:r>
      <w:r>
        <w:rPr>
          <w:rFonts w:hint="eastAsia" w:ascii="宋体" w:hAnsi="宋体"/>
          <w:snapToGrid w:val="0"/>
          <w:kern w:val="0"/>
        </w:rPr>
        <w:t>除尘效率由99.62%--99.64%下降至95％时，</w:t>
      </w:r>
      <w:r>
        <w:rPr>
          <w:rFonts w:hint="eastAsia" w:ascii="宋体" w:hAnsi="宋体"/>
        </w:rPr>
        <w:t>烟（粉）尘排放量，详见表3-18</w:t>
      </w:r>
      <w:r>
        <w:rPr>
          <w:rFonts w:hint="eastAsia" w:ascii="宋体" w:hAnsi="宋体"/>
          <w:snapToGrid w:val="0"/>
          <w:kern w:val="0"/>
        </w:rPr>
        <w:t>。</w:t>
      </w: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r>
        <w:rPr>
          <w:rFonts w:hint="eastAsia" w:ascii="宋体" w:hAnsi="宋体"/>
          <w:b/>
        </w:rPr>
        <w:t>表3-18   非正常工况下烟尘、粉尘排放量</w:t>
      </w:r>
    </w:p>
    <w:tbl>
      <w:tblPr>
        <w:tblStyle w:val="20"/>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929"/>
        <w:gridCol w:w="1300"/>
        <w:gridCol w:w="1056"/>
        <w:gridCol w:w="1161"/>
        <w:gridCol w:w="953"/>
        <w:gridCol w:w="944"/>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88" w:type="dxa"/>
            <w:vMerge w:val="restart"/>
            <w:noWrap w:val="0"/>
            <w:vAlign w:val="center"/>
          </w:tcPr>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序号</w:t>
            </w:r>
          </w:p>
        </w:tc>
        <w:tc>
          <w:tcPr>
            <w:tcW w:w="1929" w:type="dxa"/>
            <w:vMerge w:val="restart"/>
            <w:noWrap w:val="0"/>
            <w:vAlign w:val="center"/>
          </w:tcPr>
          <w:p>
            <w:pPr>
              <w:pStyle w:val="14"/>
              <w:tabs>
                <w:tab w:val="clear" w:pos="4153"/>
                <w:tab w:val="clear" w:pos="8306"/>
              </w:tabs>
              <w:spacing w:line="360" w:lineRule="exact"/>
              <w:jc w:val="center"/>
              <w:rPr>
                <w:rFonts w:ascii="宋体" w:hAnsi="宋体"/>
                <w:snapToGrid w:val="0"/>
                <w:kern w:val="0"/>
              </w:rPr>
            </w:pPr>
            <w:r>
              <w:rPr>
                <w:rFonts w:hint="eastAsia" w:ascii="宋体" w:hAnsi="宋体"/>
                <w:snapToGrid w:val="0"/>
                <w:kern w:val="0"/>
              </w:rPr>
              <w:t>污染源</w:t>
            </w:r>
          </w:p>
        </w:tc>
        <w:tc>
          <w:tcPr>
            <w:tcW w:w="1300" w:type="dxa"/>
            <w:vMerge w:val="restart"/>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烟</w:t>
            </w:r>
            <w:r>
              <w:rPr>
                <w:rFonts w:ascii="宋体" w:hAnsi="宋体"/>
                <w:snapToGrid w:val="0"/>
                <w:kern w:val="0"/>
                <w:sz w:val="18"/>
                <w:szCs w:val="18"/>
              </w:rPr>
              <w:t>气量</w:t>
            </w:r>
          </w:p>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m</w:t>
            </w:r>
            <w:r>
              <w:rPr>
                <w:rFonts w:ascii="宋体" w:hAnsi="宋体"/>
                <w:snapToGrid w:val="0"/>
                <w:kern w:val="0"/>
                <w:sz w:val="18"/>
                <w:szCs w:val="18"/>
                <w:vertAlign w:val="superscript"/>
              </w:rPr>
              <w:t>3</w:t>
            </w:r>
            <w:r>
              <w:rPr>
                <w:rFonts w:ascii="宋体" w:hAnsi="宋体"/>
                <w:snapToGrid w:val="0"/>
                <w:kern w:val="0"/>
                <w:sz w:val="18"/>
                <w:szCs w:val="18"/>
              </w:rPr>
              <w:t>/h</w:t>
            </w:r>
          </w:p>
        </w:tc>
        <w:tc>
          <w:tcPr>
            <w:tcW w:w="1056" w:type="dxa"/>
            <w:vMerge w:val="restart"/>
            <w:noWrap w:val="0"/>
            <w:vAlign w:val="center"/>
          </w:tcPr>
          <w:p>
            <w:pPr>
              <w:snapToGrid w:val="0"/>
              <w:spacing w:line="360" w:lineRule="exact"/>
              <w:jc w:val="center"/>
              <w:rPr>
                <w:rFonts w:ascii="宋体" w:hAnsi="宋体"/>
                <w:snapToGrid w:val="0"/>
                <w:kern w:val="0"/>
                <w:sz w:val="18"/>
                <w:szCs w:val="18"/>
              </w:rPr>
            </w:pPr>
            <w:r>
              <w:rPr>
                <w:rFonts w:ascii="宋体" w:hAnsi="宋体"/>
                <w:snapToGrid w:val="0"/>
                <w:kern w:val="0"/>
                <w:sz w:val="18"/>
                <w:szCs w:val="18"/>
              </w:rPr>
              <w:t>产生量Kg/h</w:t>
            </w:r>
          </w:p>
        </w:tc>
        <w:tc>
          <w:tcPr>
            <w:tcW w:w="1161" w:type="dxa"/>
            <w:vMerge w:val="restart"/>
            <w:noWrap w:val="0"/>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排放量Kg/h</w:t>
            </w:r>
          </w:p>
        </w:tc>
        <w:tc>
          <w:tcPr>
            <w:tcW w:w="2724" w:type="dxa"/>
            <w:gridSpan w:val="3"/>
            <w:noWrap w:val="0"/>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排气筒参数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88" w:type="dxa"/>
            <w:vMerge w:val="continue"/>
            <w:noWrap w:val="0"/>
            <w:vAlign w:val="center"/>
          </w:tcPr>
          <w:p>
            <w:pPr>
              <w:snapToGrid w:val="0"/>
              <w:spacing w:line="360" w:lineRule="exact"/>
              <w:ind w:firstLine="572"/>
              <w:jc w:val="center"/>
              <w:rPr>
                <w:rFonts w:ascii="宋体" w:hAnsi="宋体"/>
                <w:snapToGrid w:val="0"/>
                <w:kern w:val="0"/>
                <w:sz w:val="18"/>
                <w:szCs w:val="18"/>
              </w:rPr>
            </w:pPr>
          </w:p>
        </w:tc>
        <w:tc>
          <w:tcPr>
            <w:tcW w:w="1929" w:type="dxa"/>
            <w:vMerge w:val="continue"/>
            <w:noWrap w:val="0"/>
            <w:vAlign w:val="center"/>
          </w:tcPr>
          <w:p>
            <w:pPr>
              <w:pStyle w:val="14"/>
              <w:tabs>
                <w:tab w:val="clear" w:pos="4153"/>
                <w:tab w:val="clear" w:pos="8306"/>
              </w:tabs>
              <w:spacing w:line="360" w:lineRule="exact"/>
              <w:ind w:firstLine="546"/>
              <w:jc w:val="center"/>
              <w:rPr>
                <w:rFonts w:ascii="宋体" w:hAnsi="宋体"/>
                <w:snapToGrid w:val="0"/>
                <w:kern w:val="0"/>
              </w:rPr>
            </w:pPr>
          </w:p>
        </w:tc>
        <w:tc>
          <w:tcPr>
            <w:tcW w:w="1300" w:type="dxa"/>
            <w:vMerge w:val="continue"/>
            <w:noWrap w:val="0"/>
            <w:vAlign w:val="center"/>
          </w:tcPr>
          <w:p>
            <w:pPr>
              <w:snapToGrid w:val="0"/>
              <w:spacing w:line="360" w:lineRule="exact"/>
              <w:ind w:firstLine="572"/>
              <w:jc w:val="center"/>
              <w:rPr>
                <w:rFonts w:ascii="宋体" w:hAnsi="宋体"/>
                <w:snapToGrid w:val="0"/>
                <w:kern w:val="0"/>
                <w:sz w:val="18"/>
                <w:szCs w:val="18"/>
              </w:rPr>
            </w:pPr>
          </w:p>
        </w:tc>
        <w:tc>
          <w:tcPr>
            <w:tcW w:w="1056" w:type="dxa"/>
            <w:vMerge w:val="continue"/>
            <w:noWrap w:val="0"/>
            <w:vAlign w:val="center"/>
          </w:tcPr>
          <w:p>
            <w:pPr>
              <w:snapToGrid w:val="0"/>
              <w:spacing w:line="360" w:lineRule="exact"/>
              <w:ind w:firstLine="572"/>
              <w:jc w:val="center"/>
              <w:rPr>
                <w:rFonts w:ascii="宋体" w:hAnsi="宋体"/>
                <w:snapToGrid w:val="0"/>
                <w:kern w:val="0"/>
                <w:sz w:val="18"/>
                <w:szCs w:val="18"/>
              </w:rPr>
            </w:pPr>
          </w:p>
        </w:tc>
        <w:tc>
          <w:tcPr>
            <w:tcW w:w="1161" w:type="dxa"/>
            <w:vMerge w:val="continue"/>
            <w:noWrap w:val="0"/>
            <w:vAlign w:val="center"/>
          </w:tcPr>
          <w:p>
            <w:pPr>
              <w:spacing w:line="480" w:lineRule="exact"/>
              <w:ind w:firstLine="572"/>
              <w:jc w:val="center"/>
              <w:rPr>
                <w:rFonts w:ascii="宋体" w:hAnsi="宋体"/>
                <w:snapToGrid w:val="0"/>
                <w:kern w:val="0"/>
                <w:sz w:val="18"/>
                <w:szCs w:val="18"/>
              </w:rPr>
            </w:pPr>
          </w:p>
        </w:tc>
        <w:tc>
          <w:tcPr>
            <w:tcW w:w="953" w:type="dxa"/>
            <w:noWrap w:val="0"/>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高度(m)</w:t>
            </w:r>
          </w:p>
        </w:tc>
        <w:tc>
          <w:tcPr>
            <w:tcW w:w="944" w:type="dxa"/>
            <w:noWrap w:val="0"/>
            <w:vAlign w:val="center"/>
          </w:tcPr>
          <w:p>
            <w:pPr>
              <w:spacing w:line="480" w:lineRule="exact"/>
              <w:jc w:val="center"/>
              <w:rPr>
                <w:rFonts w:ascii="宋体" w:hAnsi="宋体"/>
                <w:snapToGrid w:val="0"/>
                <w:kern w:val="0"/>
                <w:sz w:val="18"/>
                <w:szCs w:val="18"/>
              </w:rPr>
            </w:pPr>
            <w:r>
              <w:rPr>
                <w:rFonts w:ascii="宋体" w:hAnsi="宋体"/>
                <w:snapToGrid w:val="0"/>
                <w:kern w:val="0"/>
                <w:sz w:val="18"/>
                <w:szCs w:val="18"/>
              </w:rPr>
              <w:t>直径(m)</w:t>
            </w:r>
          </w:p>
        </w:tc>
        <w:tc>
          <w:tcPr>
            <w:tcW w:w="827" w:type="dxa"/>
            <w:noWrap w:val="0"/>
            <w:vAlign w:val="center"/>
          </w:tcPr>
          <w:p>
            <w:pPr>
              <w:spacing w:line="480" w:lineRule="exact"/>
              <w:jc w:val="center"/>
              <w:rPr>
                <w:rFonts w:hint="eastAsia" w:ascii="宋体" w:hAnsi="宋体"/>
                <w:snapToGrid w:val="0"/>
                <w:kern w:val="0"/>
                <w:sz w:val="18"/>
                <w:szCs w:val="18"/>
              </w:rPr>
            </w:pPr>
            <w:r>
              <w:rPr>
                <w:rFonts w:ascii="宋体" w:hAnsi="宋体"/>
                <w:snapToGrid w:val="0"/>
                <w:kern w:val="0"/>
                <w:sz w:val="18"/>
                <w:szCs w:val="18"/>
              </w:rPr>
              <w:t>温度</w:t>
            </w:r>
          </w:p>
          <w:p>
            <w:pPr>
              <w:spacing w:line="480" w:lineRule="exact"/>
              <w:jc w:val="center"/>
              <w:rPr>
                <w:rFonts w:ascii="宋体" w:hAnsi="宋体"/>
                <w:snapToGrid w:val="0"/>
                <w:kern w:val="0"/>
                <w:sz w:val="18"/>
                <w:szCs w:val="18"/>
              </w:rPr>
            </w:pPr>
            <w:r>
              <w:rPr>
                <w:rFonts w:ascii="宋体" w:hAnsi="宋体"/>
                <w:snapToGrid w:val="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pPr>
              <w:snapToGrid w:val="0"/>
              <w:spacing w:line="320" w:lineRule="exact"/>
              <w:jc w:val="center"/>
              <w:rPr>
                <w:rFonts w:hint="eastAsia" w:ascii="宋体" w:hAnsi="宋体"/>
                <w:sz w:val="18"/>
                <w:szCs w:val="18"/>
              </w:rPr>
            </w:pPr>
            <w:r>
              <w:rPr>
                <w:rFonts w:hint="eastAsia" w:ascii="宋体" w:hAnsi="宋体"/>
                <w:sz w:val="18"/>
                <w:szCs w:val="18"/>
              </w:rPr>
              <w:t>1</w:t>
            </w:r>
          </w:p>
        </w:tc>
        <w:tc>
          <w:tcPr>
            <w:tcW w:w="1929" w:type="dxa"/>
            <w:noWrap w:val="0"/>
            <w:vAlign w:val="center"/>
          </w:tcPr>
          <w:p>
            <w:pPr>
              <w:autoSpaceDE w:val="0"/>
              <w:autoSpaceDN w:val="0"/>
              <w:snapToGrid w:val="0"/>
              <w:spacing w:line="320" w:lineRule="exact"/>
              <w:jc w:val="center"/>
              <w:rPr>
                <w:rFonts w:hint="eastAsia" w:ascii="宋体" w:hAnsi="宋体"/>
                <w:sz w:val="18"/>
                <w:szCs w:val="18"/>
              </w:rPr>
            </w:pPr>
            <w:r>
              <w:rPr>
                <w:rFonts w:ascii="宋体" w:hAnsi="宋体"/>
                <w:snapToGrid w:val="0"/>
                <w:sz w:val="18"/>
                <w:szCs w:val="18"/>
              </w:rPr>
              <w:t>窑</w:t>
            </w:r>
            <w:r>
              <w:rPr>
                <w:rFonts w:hint="eastAsia" w:ascii="宋体" w:hAnsi="宋体"/>
                <w:snapToGrid w:val="0"/>
                <w:sz w:val="18"/>
                <w:szCs w:val="18"/>
              </w:rPr>
              <w:t>尾</w:t>
            </w:r>
            <w:r>
              <w:rPr>
                <w:rFonts w:ascii="宋体" w:hAnsi="宋体"/>
                <w:snapToGrid w:val="0"/>
                <w:sz w:val="18"/>
                <w:szCs w:val="18"/>
              </w:rPr>
              <w:t>废气</w:t>
            </w:r>
            <w:r>
              <w:rPr>
                <w:rFonts w:hint="eastAsia" w:ascii="宋体" w:hAnsi="宋体"/>
                <w:snapToGrid w:val="0"/>
                <w:sz w:val="18"/>
                <w:szCs w:val="18"/>
              </w:rPr>
              <w:t>处理</w:t>
            </w:r>
          </w:p>
        </w:tc>
        <w:tc>
          <w:tcPr>
            <w:tcW w:w="1300" w:type="dxa"/>
            <w:noWrap w:val="0"/>
            <w:vAlign w:val="center"/>
          </w:tcPr>
          <w:p>
            <w:pPr>
              <w:snapToGrid w:val="0"/>
              <w:spacing w:line="320" w:lineRule="exact"/>
              <w:jc w:val="center"/>
              <w:rPr>
                <w:rFonts w:hint="eastAsia" w:ascii="宋体" w:hAnsi="宋体"/>
                <w:sz w:val="18"/>
                <w:szCs w:val="18"/>
              </w:rPr>
            </w:pPr>
            <w:r>
              <w:rPr>
                <w:rFonts w:hint="eastAsia"/>
                <w:sz w:val="18"/>
                <w:szCs w:val="18"/>
              </w:rPr>
              <w:t>345600</w:t>
            </w:r>
          </w:p>
        </w:tc>
        <w:tc>
          <w:tcPr>
            <w:tcW w:w="1056" w:type="dxa"/>
            <w:noWrap w:val="0"/>
            <w:vAlign w:val="center"/>
          </w:tcPr>
          <w:p>
            <w:pPr>
              <w:spacing w:line="200" w:lineRule="exact"/>
              <w:jc w:val="center"/>
              <w:rPr>
                <w:rFonts w:hint="eastAsia"/>
                <w:sz w:val="18"/>
                <w:szCs w:val="18"/>
              </w:rPr>
            </w:pPr>
            <w:r>
              <w:rPr>
                <w:rFonts w:hint="eastAsia"/>
                <w:sz w:val="18"/>
                <w:szCs w:val="18"/>
              </w:rPr>
              <w:t>10368</w:t>
            </w:r>
          </w:p>
        </w:tc>
        <w:tc>
          <w:tcPr>
            <w:tcW w:w="1161" w:type="dxa"/>
            <w:noWrap w:val="0"/>
            <w:vAlign w:val="center"/>
          </w:tcPr>
          <w:p>
            <w:pPr>
              <w:spacing w:line="200" w:lineRule="exact"/>
              <w:jc w:val="center"/>
              <w:rPr>
                <w:sz w:val="18"/>
                <w:szCs w:val="18"/>
              </w:rPr>
            </w:pPr>
            <w:r>
              <w:rPr>
                <w:rFonts w:hint="eastAsia"/>
                <w:sz w:val="18"/>
                <w:szCs w:val="18"/>
              </w:rPr>
              <w:t>518.4</w:t>
            </w:r>
          </w:p>
        </w:tc>
        <w:tc>
          <w:tcPr>
            <w:tcW w:w="953" w:type="dxa"/>
            <w:noWrap w:val="0"/>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110</w:t>
            </w:r>
          </w:p>
        </w:tc>
        <w:tc>
          <w:tcPr>
            <w:tcW w:w="944"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3</w:t>
            </w:r>
          </w:p>
        </w:tc>
        <w:tc>
          <w:tcPr>
            <w:tcW w:w="827"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pPr>
              <w:snapToGrid w:val="0"/>
              <w:spacing w:line="320" w:lineRule="exact"/>
              <w:jc w:val="center"/>
              <w:rPr>
                <w:rFonts w:hint="eastAsia" w:ascii="宋体" w:hAnsi="宋体"/>
                <w:sz w:val="18"/>
                <w:szCs w:val="18"/>
              </w:rPr>
            </w:pPr>
            <w:r>
              <w:rPr>
                <w:rFonts w:hint="eastAsia" w:ascii="宋体" w:hAnsi="宋体"/>
                <w:sz w:val="18"/>
                <w:szCs w:val="18"/>
              </w:rPr>
              <w:t>2</w:t>
            </w:r>
          </w:p>
        </w:tc>
        <w:tc>
          <w:tcPr>
            <w:tcW w:w="1929" w:type="dxa"/>
            <w:noWrap w:val="0"/>
            <w:vAlign w:val="center"/>
          </w:tcPr>
          <w:p>
            <w:pPr>
              <w:autoSpaceDE w:val="0"/>
              <w:autoSpaceDN w:val="0"/>
              <w:adjustRightInd w:val="0"/>
              <w:snapToGrid w:val="0"/>
              <w:spacing w:line="320" w:lineRule="exact"/>
              <w:ind w:left="105" w:leftChars="50"/>
              <w:jc w:val="center"/>
              <w:rPr>
                <w:rFonts w:hint="eastAsia" w:ascii="宋体" w:hAnsi="宋体"/>
                <w:snapToGrid w:val="0"/>
                <w:sz w:val="18"/>
                <w:szCs w:val="18"/>
              </w:rPr>
            </w:pPr>
            <w:r>
              <w:rPr>
                <w:rFonts w:hint="eastAsia" w:ascii="宋体" w:hAnsi="宋体"/>
                <w:snapToGrid w:val="0"/>
                <w:sz w:val="18"/>
                <w:szCs w:val="18"/>
              </w:rPr>
              <w:t>窑头废气</w:t>
            </w:r>
          </w:p>
        </w:tc>
        <w:tc>
          <w:tcPr>
            <w:tcW w:w="1300" w:type="dxa"/>
            <w:noWrap w:val="0"/>
            <w:vAlign w:val="center"/>
          </w:tcPr>
          <w:p>
            <w:pPr>
              <w:snapToGrid w:val="0"/>
              <w:spacing w:line="320" w:lineRule="exact"/>
              <w:jc w:val="center"/>
              <w:rPr>
                <w:rFonts w:hint="eastAsia" w:ascii="宋体" w:hAnsi="宋体"/>
                <w:sz w:val="18"/>
                <w:szCs w:val="18"/>
              </w:rPr>
            </w:pPr>
            <w:r>
              <w:rPr>
                <w:rFonts w:hint="eastAsia"/>
                <w:sz w:val="18"/>
                <w:szCs w:val="18"/>
              </w:rPr>
              <w:t>280000</w:t>
            </w:r>
          </w:p>
        </w:tc>
        <w:tc>
          <w:tcPr>
            <w:tcW w:w="1056" w:type="dxa"/>
            <w:noWrap w:val="0"/>
            <w:vAlign w:val="center"/>
          </w:tcPr>
          <w:p>
            <w:pPr>
              <w:spacing w:line="200" w:lineRule="exact"/>
              <w:jc w:val="center"/>
              <w:rPr>
                <w:rFonts w:hint="eastAsia"/>
                <w:sz w:val="18"/>
                <w:szCs w:val="18"/>
              </w:rPr>
            </w:pPr>
            <w:r>
              <w:rPr>
                <w:rFonts w:hint="eastAsia"/>
                <w:sz w:val="18"/>
                <w:szCs w:val="18"/>
              </w:rPr>
              <w:t>13440</w:t>
            </w:r>
          </w:p>
        </w:tc>
        <w:tc>
          <w:tcPr>
            <w:tcW w:w="1161" w:type="dxa"/>
            <w:noWrap w:val="0"/>
            <w:vAlign w:val="center"/>
          </w:tcPr>
          <w:p>
            <w:pPr>
              <w:spacing w:line="200" w:lineRule="exact"/>
              <w:jc w:val="center"/>
              <w:rPr>
                <w:sz w:val="18"/>
                <w:szCs w:val="18"/>
              </w:rPr>
            </w:pPr>
            <w:r>
              <w:rPr>
                <w:rFonts w:hint="eastAsia"/>
                <w:sz w:val="18"/>
                <w:szCs w:val="18"/>
              </w:rPr>
              <w:t>672</w:t>
            </w:r>
          </w:p>
        </w:tc>
        <w:tc>
          <w:tcPr>
            <w:tcW w:w="953" w:type="dxa"/>
            <w:noWrap w:val="0"/>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2.5</w:t>
            </w:r>
          </w:p>
        </w:tc>
        <w:tc>
          <w:tcPr>
            <w:tcW w:w="827"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pPr>
              <w:snapToGrid w:val="0"/>
              <w:spacing w:line="320" w:lineRule="exact"/>
              <w:jc w:val="center"/>
              <w:rPr>
                <w:rFonts w:hint="eastAsia" w:ascii="宋体" w:hAnsi="宋体"/>
                <w:sz w:val="18"/>
                <w:szCs w:val="18"/>
              </w:rPr>
            </w:pPr>
            <w:r>
              <w:rPr>
                <w:rFonts w:hint="eastAsia" w:ascii="宋体" w:hAnsi="宋体"/>
                <w:sz w:val="18"/>
                <w:szCs w:val="18"/>
              </w:rPr>
              <w:t>3</w:t>
            </w:r>
          </w:p>
        </w:tc>
        <w:tc>
          <w:tcPr>
            <w:tcW w:w="1929" w:type="dxa"/>
            <w:noWrap w:val="0"/>
            <w:vAlign w:val="center"/>
          </w:tcPr>
          <w:p>
            <w:pPr>
              <w:spacing w:line="200" w:lineRule="exact"/>
              <w:jc w:val="center"/>
              <w:rPr>
                <w:rFonts w:hint="eastAsia"/>
                <w:sz w:val="18"/>
                <w:szCs w:val="18"/>
              </w:rPr>
            </w:pPr>
            <w:r>
              <w:rPr>
                <w:rFonts w:hint="eastAsia"/>
                <w:sz w:val="18"/>
                <w:szCs w:val="18"/>
              </w:rPr>
              <w:t>煤粉制备</w:t>
            </w:r>
          </w:p>
        </w:tc>
        <w:tc>
          <w:tcPr>
            <w:tcW w:w="1300" w:type="dxa"/>
            <w:noWrap w:val="0"/>
            <w:vAlign w:val="center"/>
          </w:tcPr>
          <w:p>
            <w:pPr>
              <w:spacing w:line="200" w:lineRule="exact"/>
              <w:jc w:val="center"/>
              <w:rPr>
                <w:rFonts w:hint="eastAsia"/>
                <w:sz w:val="18"/>
                <w:szCs w:val="18"/>
                <w:lang w:val="de-DE"/>
              </w:rPr>
            </w:pPr>
            <w:r>
              <w:rPr>
                <w:rFonts w:hint="eastAsia"/>
                <w:sz w:val="18"/>
                <w:szCs w:val="18"/>
              </w:rPr>
              <w:t>42000</w:t>
            </w:r>
          </w:p>
        </w:tc>
        <w:tc>
          <w:tcPr>
            <w:tcW w:w="1056" w:type="dxa"/>
            <w:noWrap w:val="0"/>
            <w:vAlign w:val="center"/>
          </w:tcPr>
          <w:p>
            <w:pPr>
              <w:spacing w:line="200" w:lineRule="exact"/>
              <w:jc w:val="center"/>
              <w:rPr>
                <w:rFonts w:hint="eastAsia"/>
                <w:sz w:val="18"/>
                <w:szCs w:val="18"/>
              </w:rPr>
            </w:pPr>
            <w:r>
              <w:rPr>
                <w:rFonts w:hint="eastAsia"/>
                <w:sz w:val="18"/>
                <w:szCs w:val="18"/>
              </w:rPr>
              <w:t>1176</w:t>
            </w:r>
          </w:p>
        </w:tc>
        <w:tc>
          <w:tcPr>
            <w:tcW w:w="1161" w:type="dxa"/>
            <w:noWrap w:val="0"/>
            <w:vAlign w:val="center"/>
          </w:tcPr>
          <w:p>
            <w:pPr>
              <w:spacing w:line="200" w:lineRule="exact"/>
              <w:jc w:val="center"/>
              <w:rPr>
                <w:sz w:val="18"/>
                <w:szCs w:val="18"/>
              </w:rPr>
            </w:pPr>
            <w:r>
              <w:rPr>
                <w:rFonts w:hint="eastAsia"/>
                <w:sz w:val="18"/>
                <w:szCs w:val="18"/>
              </w:rPr>
              <w:t>58.8</w:t>
            </w:r>
          </w:p>
        </w:tc>
        <w:tc>
          <w:tcPr>
            <w:tcW w:w="953" w:type="dxa"/>
            <w:noWrap w:val="0"/>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0.8</w:t>
            </w:r>
          </w:p>
        </w:tc>
        <w:tc>
          <w:tcPr>
            <w:tcW w:w="827"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dxa"/>
            <w:noWrap w:val="0"/>
            <w:vAlign w:val="center"/>
          </w:tcPr>
          <w:p>
            <w:pPr>
              <w:snapToGrid w:val="0"/>
              <w:spacing w:line="320" w:lineRule="exact"/>
              <w:jc w:val="center"/>
              <w:rPr>
                <w:rFonts w:hint="eastAsia" w:ascii="宋体" w:hAnsi="宋体"/>
                <w:sz w:val="18"/>
                <w:szCs w:val="18"/>
              </w:rPr>
            </w:pPr>
            <w:r>
              <w:rPr>
                <w:rFonts w:hint="eastAsia" w:ascii="宋体" w:hAnsi="宋体"/>
                <w:sz w:val="18"/>
                <w:szCs w:val="18"/>
              </w:rPr>
              <w:t>4</w:t>
            </w:r>
          </w:p>
        </w:tc>
        <w:tc>
          <w:tcPr>
            <w:tcW w:w="1929" w:type="dxa"/>
            <w:noWrap w:val="0"/>
            <w:vAlign w:val="center"/>
          </w:tcPr>
          <w:p>
            <w:pPr>
              <w:snapToGrid w:val="0"/>
              <w:spacing w:line="320" w:lineRule="exact"/>
              <w:jc w:val="center"/>
              <w:rPr>
                <w:rFonts w:ascii="宋体" w:hAnsi="宋体"/>
                <w:snapToGrid w:val="0"/>
                <w:sz w:val="18"/>
                <w:szCs w:val="18"/>
              </w:rPr>
            </w:pPr>
            <w:r>
              <w:rPr>
                <w:rFonts w:ascii="宋体" w:hAnsi="宋体"/>
                <w:snapToGrid w:val="0"/>
                <w:sz w:val="18"/>
                <w:szCs w:val="18"/>
              </w:rPr>
              <w:t>水泥粉磨</w:t>
            </w:r>
          </w:p>
        </w:tc>
        <w:tc>
          <w:tcPr>
            <w:tcW w:w="1300" w:type="dxa"/>
            <w:noWrap w:val="0"/>
            <w:vAlign w:val="center"/>
          </w:tcPr>
          <w:p>
            <w:pPr>
              <w:jc w:val="center"/>
              <w:rPr>
                <w:rFonts w:hint="eastAsia"/>
                <w:sz w:val="20"/>
              </w:rPr>
            </w:pPr>
            <w:r>
              <w:rPr>
                <w:rFonts w:hint="eastAsia"/>
                <w:sz w:val="18"/>
                <w:szCs w:val="18"/>
              </w:rPr>
              <w:t>210000</w:t>
            </w:r>
          </w:p>
        </w:tc>
        <w:tc>
          <w:tcPr>
            <w:tcW w:w="1056" w:type="dxa"/>
            <w:noWrap w:val="0"/>
            <w:vAlign w:val="center"/>
          </w:tcPr>
          <w:p>
            <w:pPr>
              <w:spacing w:line="200" w:lineRule="exact"/>
              <w:jc w:val="center"/>
              <w:rPr>
                <w:rFonts w:hint="eastAsia"/>
                <w:sz w:val="18"/>
                <w:szCs w:val="18"/>
              </w:rPr>
            </w:pPr>
            <w:r>
              <w:rPr>
                <w:rFonts w:hint="eastAsia"/>
                <w:sz w:val="18"/>
                <w:szCs w:val="18"/>
              </w:rPr>
              <w:t>5880</w:t>
            </w:r>
          </w:p>
        </w:tc>
        <w:tc>
          <w:tcPr>
            <w:tcW w:w="1161" w:type="dxa"/>
            <w:noWrap w:val="0"/>
            <w:vAlign w:val="center"/>
          </w:tcPr>
          <w:p>
            <w:pPr>
              <w:spacing w:line="200" w:lineRule="exact"/>
              <w:jc w:val="center"/>
              <w:rPr>
                <w:sz w:val="18"/>
                <w:szCs w:val="18"/>
              </w:rPr>
            </w:pPr>
            <w:r>
              <w:rPr>
                <w:rFonts w:hint="eastAsia"/>
                <w:sz w:val="18"/>
                <w:szCs w:val="18"/>
              </w:rPr>
              <w:t>294</w:t>
            </w:r>
          </w:p>
        </w:tc>
        <w:tc>
          <w:tcPr>
            <w:tcW w:w="953" w:type="dxa"/>
            <w:noWrap w:val="0"/>
            <w:vAlign w:val="center"/>
          </w:tcPr>
          <w:p>
            <w:pPr>
              <w:snapToGrid w:val="0"/>
              <w:spacing w:line="320" w:lineRule="exact"/>
              <w:jc w:val="center"/>
              <w:rPr>
                <w:rFonts w:hint="eastAsia" w:ascii="宋体" w:hAnsi="宋体"/>
                <w:snapToGrid w:val="0"/>
                <w:kern w:val="0"/>
                <w:sz w:val="18"/>
                <w:szCs w:val="18"/>
              </w:rPr>
            </w:pPr>
            <w:r>
              <w:rPr>
                <w:rFonts w:hint="eastAsia" w:ascii="宋体" w:hAnsi="宋体"/>
                <w:snapToGrid w:val="0"/>
                <w:kern w:val="0"/>
                <w:sz w:val="18"/>
                <w:szCs w:val="18"/>
              </w:rPr>
              <w:t>40</w:t>
            </w:r>
          </w:p>
        </w:tc>
        <w:tc>
          <w:tcPr>
            <w:tcW w:w="944"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1.2</w:t>
            </w:r>
          </w:p>
        </w:tc>
        <w:tc>
          <w:tcPr>
            <w:tcW w:w="827"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7" w:type="dxa"/>
            <w:gridSpan w:val="2"/>
            <w:noWrap w:val="0"/>
            <w:vAlign w:val="center"/>
          </w:tcPr>
          <w:p>
            <w:pPr>
              <w:snapToGrid w:val="0"/>
              <w:spacing w:line="360" w:lineRule="exact"/>
              <w:jc w:val="center"/>
              <w:rPr>
                <w:rFonts w:hint="eastAsia" w:ascii="宋体" w:hAnsi="宋体"/>
                <w:snapToGrid w:val="0"/>
                <w:sz w:val="18"/>
                <w:szCs w:val="18"/>
              </w:rPr>
            </w:pPr>
            <w:r>
              <w:rPr>
                <w:rFonts w:hint="eastAsia" w:ascii="宋体" w:hAnsi="宋体"/>
                <w:snapToGrid w:val="0"/>
                <w:sz w:val="18"/>
                <w:szCs w:val="18"/>
              </w:rPr>
              <w:t>合计</w:t>
            </w:r>
          </w:p>
        </w:tc>
        <w:tc>
          <w:tcPr>
            <w:tcW w:w="1300" w:type="dxa"/>
            <w:noWrap w:val="0"/>
            <w:vAlign w:val="center"/>
          </w:tcPr>
          <w:p>
            <w:pPr>
              <w:spacing w:line="200" w:lineRule="exact"/>
              <w:jc w:val="center"/>
              <w:rPr>
                <w:sz w:val="18"/>
                <w:szCs w:val="18"/>
              </w:rPr>
            </w:pPr>
            <w:r>
              <w:rPr>
                <w:rFonts w:hint="eastAsia"/>
                <w:sz w:val="18"/>
                <w:szCs w:val="18"/>
              </w:rPr>
              <w:t>877600</w:t>
            </w:r>
          </w:p>
        </w:tc>
        <w:tc>
          <w:tcPr>
            <w:tcW w:w="1056" w:type="dxa"/>
            <w:noWrap w:val="0"/>
            <w:vAlign w:val="center"/>
          </w:tcPr>
          <w:p>
            <w:pPr>
              <w:spacing w:line="200" w:lineRule="exact"/>
              <w:jc w:val="center"/>
              <w:rPr>
                <w:sz w:val="18"/>
                <w:szCs w:val="18"/>
              </w:rPr>
            </w:pPr>
            <w:r>
              <w:rPr>
                <w:rFonts w:hint="eastAsia"/>
                <w:sz w:val="18"/>
                <w:szCs w:val="18"/>
              </w:rPr>
              <w:t>30864</w:t>
            </w:r>
          </w:p>
        </w:tc>
        <w:tc>
          <w:tcPr>
            <w:tcW w:w="1161" w:type="dxa"/>
            <w:noWrap w:val="0"/>
            <w:vAlign w:val="center"/>
          </w:tcPr>
          <w:p>
            <w:pPr>
              <w:spacing w:line="200" w:lineRule="exact"/>
              <w:jc w:val="center"/>
              <w:rPr>
                <w:rFonts w:ascii="宋体" w:hAnsi="宋体" w:cs="宋体"/>
              </w:rPr>
            </w:pPr>
            <w:r>
              <w:rPr>
                <w:rFonts w:hint="eastAsia"/>
                <w:sz w:val="18"/>
                <w:szCs w:val="18"/>
              </w:rPr>
              <w:t>1543.2</w:t>
            </w:r>
          </w:p>
        </w:tc>
        <w:tc>
          <w:tcPr>
            <w:tcW w:w="953"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944"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w:t>
            </w:r>
          </w:p>
        </w:tc>
        <w:tc>
          <w:tcPr>
            <w:tcW w:w="827" w:type="dxa"/>
            <w:noWrap w:val="0"/>
            <w:vAlign w:val="center"/>
          </w:tcPr>
          <w:p>
            <w:pPr>
              <w:snapToGrid w:val="0"/>
              <w:spacing w:line="360" w:lineRule="exact"/>
              <w:jc w:val="center"/>
              <w:rPr>
                <w:rFonts w:hint="eastAsia" w:ascii="宋体" w:hAnsi="宋体"/>
                <w:snapToGrid w:val="0"/>
                <w:kern w:val="0"/>
                <w:sz w:val="18"/>
                <w:szCs w:val="18"/>
              </w:rPr>
            </w:pPr>
            <w:r>
              <w:rPr>
                <w:rFonts w:hint="eastAsia" w:ascii="宋体" w:hAnsi="宋体"/>
                <w:snapToGrid w:val="0"/>
                <w:kern w:val="0"/>
                <w:sz w:val="18"/>
                <w:szCs w:val="18"/>
              </w:rPr>
              <w:t>/</w:t>
            </w:r>
          </w:p>
        </w:tc>
      </w:tr>
    </w:tbl>
    <w:p>
      <w:pPr>
        <w:spacing w:line="480" w:lineRule="exact"/>
        <w:ind w:firstLine="422" w:firstLineChars="200"/>
        <w:jc w:val="center"/>
        <w:rPr>
          <w:rFonts w:hint="eastAsia" w:ascii="宋体" w:hAnsi="宋体"/>
          <w:b/>
        </w:rPr>
      </w:pPr>
    </w:p>
    <w:p>
      <w:pPr>
        <w:spacing w:line="480" w:lineRule="exact"/>
        <w:ind w:firstLine="422" w:firstLineChars="200"/>
        <w:jc w:val="center"/>
        <w:rPr>
          <w:rFonts w:hint="eastAsia" w:ascii="宋体" w:hAnsi="宋体"/>
          <w:b/>
        </w:rPr>
      </w:pPr>
    </w:p>
    <w:p>
      <w:pPr>
        <w:widowControl/>
        <w:spacing w:line="460" w:lineRule="exact"/>
        <w:ind w:firstLine="420" w:firstLineChars="200"/>
        <w:sectPr>
          <w:pgSz w:w="11906" w:h="16838"/>
          <w:pgMar w:top="1134" w:right="1418" w:bottom="1134" w:left="1418" w:header="851" w:footer="992" w:gutter="0"/>
          <w:paperSrc w:first="20070" w:other="20070"/>
          <w:cols w:space="425" w:num="1"/>
          <w:titlePg/>
          <w:docGrid w:linePitch="312" w:charSpace="0"/>
        </w:sectPr>
      </w:pPr>
    </w:p>
    <w:p>
      <w:pPr>
        <w:pStyle w:val="13"/>
        <w:ind w:left="0" w:firstLine="0" w:firstLineChars="0"/>
        <w:outlineLvl w:val="0"/>
        <w:rPr>
          <w:rFonts w:hint="eastAsia"/>
          <w:b/>
          <w:szCs w:val="28"/>
        </w:rPr>
      </w:pPr>
      <w:bookmarkStart w:id="183" w:name="_Toc175479803"/>
      <w:bookmarkStart w:id="184" w:name="_Toc189814148"/>
      <w:bookmarkStart w:id="185" w:name="_Toc473281506"/>
      <w:bookmarkStart w:id="186" w:name="_Toc276372231"/>
      <w:r>
        <w:rPr>
          <w:rFonts w:hint="eastAsia"/>
          <w:b/>
          <w:szCs w:val="28"/>
        </w:rPr>
        <w:t>4清洁生产与循环经济分析</w:t>
      </w:r>
      <w:bookmarkEnd w:id="183"/>
      <w:bookmarkEnd w:id="184"/>
      <w:bookmarkEnd w:id="185"/>
      <w:bookmarkEnd w:id="186"/>
    </w:p>
    <w:p>
      <w:pPr>
        <w:widowControl/>
        <w:spacing w:line="360" w:lineRule="auto"/>
        <w:jc w:val="left"/>
        <w:outlineLvl w:val="1"/>
        <w:rPr>
          <w:rFonts w:hint="eastAsia"/>
          <w:b/>
        </w:rPr>
      </w:pPr>
      <w:bookmarkStart w:id="187" w:name="_Toc175479804"/>
      <w:bookmarkStart w:id="188" w:name="_Toc189814149"/>
      <w:bookmarkStart w:id="189" w:name="_Toc276372232"/>
      <w:bookmarkStart w:id="190" w:name="_Toc473281507"/>
      <w:r>
        <w:rPr>
          <w:rFonts w:hint="eastAsia"/>
          <w:b/>
        </w:rPr>
        <w:t>4.1清洁生产</w:t>
      </w:r>
      <w:bookmarkEnd w:id="187"/>
      <w:bookmarkEnd w:id="188"/>
      <w:bookmarkEnd w:id="189"/>
      <w:bookmarkEnd w:id="190"/>
    </w:p>
    <w:p>
      <w:pPr>
        <w:widowControl/>
        <w:spacing w:line="360" w:lineRule="auto"/>
        <w:jc w:val="left"/>
        <w:outlineLvl w:val="2"/>
        <w:rPr>
          <w:rFonts w:hint="eastAsia"/>
          <w:b/>
        </w:rPr>
      </w:pPr>
      <w:bookmarkStart w:id="191" w:name="_Toc129763716"/>
      <w:bookmarkStart w:id="192" w:name="_Toc165607360"/>
      <w:r>
        <w:rPr>
          <w:rFonts w:hint="eastAsia"/>
          <w:b/>
        </w:rPr>
        <w:t>4.1.1工艺技术先进性分析</w:t>
      </w:r>
      <w:bookmarkEnd w:id="191"/>
      <w:bookmarkEnd w:id="192"/>
    </w:p>
    <w:p>
      <w:pPr>
        <w:snapToGrid w:val="0"/>
        <w:spacing w:line="360" w:lineRule="auto"/>
        <w:ind w:firstLine="420" w:firstLineChars="200"/>
        <w:rPr>
          <w:rFonts w:hint="eastAsia"/>
        </w:rPr>
      </w:pPr>
      <w:r>
        <w:rPr>
          <w:rFonts w:hint="eastAsia"/>
        </w:rPr>
        <w:t>水泥生产工艺立窑工艺、湿法窑工艺、干法中空窑工艺和新型干法旋窑工艺，其中立窑、湿法窑和干法中空窑工艺技术</w:t>
      </w:r>
      <w:r>
        <w:t>劳动生产率低，能耗高，粉尘污染严重</w:t>
      </w:r>
      <w:r>
        <w:rPr>
          <w:rFonts w:hint="eastAsia"/>
        </w:rPr>
        <w:t>、</w:t>
      </w:r>
      <w:r>
        <w:t>水泥品种单一，</w:t>
      </w:r>
      <w:r>
        <w:rPr>
          <w:rFonts w:hint="eastAsia"/>
        </w:rPr>
        <w:t>已属国家淘汰的水泥生产工艺；新型干法旋窑工艺属国家鼓励的水泥生产工艺。</w:t>
      </w:r>
    </w:p>
    <w:p>
      <w:pPr>
        <w:snapToGrid w:val="0"/>
        <w:spacing w:line="360" w:lineRule="auto"/>
        <w:ind w:firstLine="420" w:firstLineChars="200"/>
        <w:rPr>
          <w:rFonts w:hint="eastAsia"/>
        </w:rPr>
      </w:pPr>
      <w:r>
        <w:rPr>
          <w:rFonts w:hint="eastAsia"/>
        </w:rPr>
        <w:t>技改项目选择利用</w:t>
      </w:r>
      <w:r>
        <w:rPr>
          <w:rFonts w:ascii="宋体" w:hAnsi="宋体"/>
        </w:rPr>
        <w:t>石灰石、</w:t>
      </w:r>
      <w:r>
        <w:rPr>
          <w:rFonts w:hint="eastAsia" w:ascii="宋体" w:hAnsi="宋体"/>
        </w:rPr>
        <w:t>煤矸石、</w:t>
      </w:r>
      <w:r>
        <w:rPr>
          <w:rFonts w:ascii="宋体" w:hAnsi="宋体"/>
        </w:rPr>
        <w:t>砂岩</w:t>
      </w:r>
      <w:r>
        <w:rPr>
          <w:rFonts w:hint="eastAsia" w:ascii="宋体" w:hAnsi="宋体"/>
        </w:rPr>
        <w:t>、硫酸渣、石膏、高炉渣</w:t>
      </w:r>
      <w:r>
        <w:rPr>
          <w:rFonts w:hint="eastAsia"/>
        </w:rPr>
        <w:t>作原料生产水泥的工艺技术，水泥生产采用新型干法——窑外预分解熟料生产工艺技术，其中</w:t>
      </w:r>
      <w:r>
        <w:t>石灰质原料主要采用石灰石</w:t>
      </w:r>
      <w:r>
        <w:rPr>
          <w:rFonts w:hint="eastAsia"/>
        </w:rPr>
        <w:t>，</w:t>
      </w:r>
      <w:r>
        <w:t>铝质原料采用</w:t>
      </w:r>
      <w:r>
        <w:rPr>
          <w:rFonts w:hint="eastAsia"/>
        </w:rPr>
        <w:t>煤矸石，硅</w:t>
      </w:r>
      <w:r>
        <w:t>质</w:t>
      </w:r>
      <w:r>
        <w:rPr>
          <w:rFonts w:hint="eastAsia"/>
        </w:rPr>
        <w:t>校正</w:t>
      </w:r>
      <w:r>
        <w:t>原料采用</w:t>
      </w:r>
      <w:r>
        <w:rPr>
          <w:rFonts w:hint="eastAsia"/>
        </w:rPr>
        <w:t>砂岩，</w:t>
      </w:r>
      <w:r>
        <w:rPr>
          <w:rFonts w:ascii="宋体" w:hAnsi="宋体"/>
        </w:rPr>
        <w:t>铁质校正原料</w:t>
      </w:r>
      <w:r>
        <w:rPr>
          <w:rFonts w:hint="eastAsia" w:ascii="宋体" w:hAnsi="宋体"/>
        </w:rPr>
        <w:t>采用硫酸渣，混合材料采用废弃的石膏、高炉渣</w:t>
      </w:r>
      <w:r>
        <w:rPr>
          <w:rFonts w:hint="eastAsia"/>
        </w:rPr>
        <w:t>。</w:t>
      </w:r>
    </w:p>
    <w:p>
      <w:pPr>
        <w:snapToGrid w:val="0"/>
        <w:spacing w:line="360" w:lineRule="auto"/>
        <w:ind w:firstLine="420" w:firstLineChars="200"/>
        <w:rPr>
          <w:rFonts w:hint="eastAsia"/>
        </w:rPr>
      </w:pPr>
      <w:r>
        <w:rPr>
          <w:rFonts w:hint="eastAsia"/>
        </w:rPr>
        <w:t>因此，技改项目选用的水泥生产工艺技术符合国家鼓励的水泥生产工艺，尽可能利用了</w:t>
      </w:r>
      <w:r>
        <w:rPr>
          <w:rFonts w:hint="eastAsia" w:ascii="宋体" w:hAnsi="宋体"/>
        </w:rPr>
        <w:t>燃煤电厂的固体废物</w:t>
      </w:r>
      <w:r>
        <w:rPr>
          <w:rFonts w:hint="eastAsia"/>
        </w:rPr>
        <w:t>，体现了废物综合利用的循环经济精神，属于国内领先水平</w:t>
      </w:r>
      <w:r>
        <w:rPr>
          <w:rFonts w:hint="eastAsia" w:ascii="宋体" w:hAnsi="宋体"/>
        </w:rPr>
        <w:t>。</w:t>
      </w:r>
    </w:p>
    <w:p>
      <w:pPr>
        <w:widowControl/>
        <w:spacing w:line="360" w:lineRule="auto"/>
        <w:jc w:val="left"/>
        <w:outlineLvl w:val="2"/>
        <w:rPr>
          <w:rFonts w:hint="eastAsia"/>
          <w:b/>
        </w:rPr>
      </w:pPr>
      <w:bookmarkStart w:id="193" w:name="_Toc165607363"/>
      <w:r>
        <w:rPr>
          <w:rFonts w:hint="eastAsia"/>
          <w:b/>
        </w:rPr>
        <w:t>4.1.2资源和能源</w:t>
      </w:r>
      <w:bookmarkEnd w:id="193"/>
      <w:r>
        <w:rPr>
          <w:rFonts w:hint="eastAsia"/>
          <w:b/>
        </w:rPr>
        <w:t>合理利用</w:t>
      </w:r>
    </w:p>
    <w:p>
      <w:pPr>
        <w:snapToGrid w:val="0"/>
        <w:spacing w:line="360" w:lineRule="auto"/>
        <w:ind w:firstLine="420" w:firstLineChars="200"/>
        <w:rPr>
          <w:rFonts w:ascii="宋体" w:hAnsi="宋体"/>
        </w:rPr>
      </w:pPr>
      <w:r>
        <w:rPr>
          <w:rFonts w:hint="eastAsia" w:ascii="宋体" w:hAnsi="宋体"/>
        </w:rPr>
        <w:t>(1)</w:t>
      </w:r>
      <w:r>
        <w:rPr>
          <w:rFonts w:ascii="宋体" w:hAnsi="宋体"/>
        </w:rPr>
        <w:t xml:space="preserve"> 热能的合理利用</w:t>
      </w:r>
    </w:p>
    <w:p>
      <w:pPr>
        <w:snapToGrid w:val="0"/>
        <w:spacing w:line="360" w:lineRule="auto"/>
        <w:ind w:firstLine="420" w:firstLineChars="200"/>
        <w:rPr>
          <w:rFonts w:ascii="宋体" w:hAnsi="宋体"/>
        </w:rPr>
      </w:pPr>
      <w:r>
        <w:rPr>
          <w:rFonts w:hint="eastAsia" w:ascii="宋体" w:hAnsi="宋体"/>
        </w:rPr>
        <w:t>①</w:t>
      </w:r>
      <w:r>
        <w:rPr>
          <w:rFonts w:ascii="宋体" w:hAnsi="宋体"/>
        </w:rPr>
        <w:t>采用新型高效低阻旋风预热分解系统</w:t>
      </w:r>
    </w:p>
    <w:p>
      <w:pPr>
        <w:snapToGrid w:val="0"/>
        <w:spacing w:line="360" w:lineRule="auto"/>
        <w:ind w:firstLine="420" w:firstLineChars="200"/>
        <w:rPr>
          <w:rFonts w:ascii="宋体" w:hAnsi="宋体"/>
        </w:rPr>
      </w:pPr>
      <w:r>
        <w:rPr>
          <w:rFonts w:ascii="宋体" w:hAnsi="宋体"/>
        </w:rPr>
        <w:t>生料预热分解拟采用具有先进水平的CDC五级旋风预热分解系统，具有热耗低、热效率高、系统阻力小、电耗省等特点。可节省烧成煤耗和高温风机电耗。</w:t>
      </w:r>
    </w:p>
    <w:p>
      <w:pPr>
        <w:snapToGrid w:val="0"/>
        <w:spacing w:line="360" w:lineRule="auto"/>
        <w:ind w:firstLine="420" w:firstLineChars="200"/>
        <w:rPr>
          <w:rFonts w:ascii="宋体" w:hAnsi="宋体"/>
        </w:rPr>
      </w:pPr>
      <w:r>
        <w:rPr>
          <w:rFonts w:hint="eastAsia" w:ascii="宋体" w:hAnsi="宋体"/>
        </w:rPr>
        <w:t>②</w:t>
      </w:r>
      <w:r>
        <w:rPr>
          <w:rFonts w:ascii="宋体" w:hAnsi="宋体"/>
        </w:rPr>
        <w:t xml:space="preserve"> 加强系统和设备的密封</w:t>
      </w:r>
    </w:p>
    <w:p>
      <w:pPr>
        <w:snapToGrid w:val="0"/>
        <w:spacing w:line="360" w:lineRule="auto"/>
        <w:ind w:firstLine="420" w:firstLineChars="200"/>
        <w:rPr>
          <w:rFonts w:ascii="宋体" w:hAnsi="宋体"/>
        </w:rPr>
      </w:pPr>
      <w:r>
        <w:rPr>
          <w:rFonts w:ascii="宋体" w:hAnsi="宋体"/>
        </w:rPr>
        <w:t>系统或设备漏风会降低系统温度，增加燃料的消耗，特别是窑系统更为重要。同时还要搞好安装工作，保证安装质量，做好设备的维护和检修，才能使系统保持良好的运行状态。</w:t>
      </w:r>
    </w:p>
    <w:p>
      <w:pPr>
        <w:snapToGrid w:val="0"/>
        <w:spacing w:line="360" w:lineRule="auto"/>
        <w:ind w:firstLine="420" w:firstLineChars="200"/>
        <w:rPr>
          <w:rFonts w:ascii="宋体" w:hAnsi="宋体"/>
        </w:rPr>
      </w:pPr>
      <w:r>
        <w:rPr>
          <w:rFonts w:hint="eastAsia" w:ascii="宋体" w:hAnsi="宋体"/>
        </w:rPr>
        <w:t>③</w:t>
      </w:r>
      <w:r>
        <w:rPr>
          <w:rFonts w:ascii="宋体" w:hAnsi="宋体"/>
        </w:rPr>
        <w:t xml:space="preserve"> 采用多通道煤粉燃烧器</w:t>
      </w:r>
    </w:p>
    <w:p>
      <w:pPr>
        <w:snapToGrid w:val="0"/>
        <w:spacing w:line="360" w:lineRule="auto"/>
        <w:ind w:firstLine="420" w:firstLineChars="200"/>
        <w:rPr>
          <w:rFonts w:ascii="宋体" w:hAnsi="宋体"/>
        </w:rPr>
      </w:pPr>
      <w:r>
        <w:rPr>
          <w:rFonts w:ascii="宋体" w:hAnsi="宋体"/>
        </w:rPr>
        <w:t>熟料烧成采用新型多通道喷煤管，使风煤充分混合，有效利用二次风，减少一次风用量，方便地调节和控制火焰，保证燃料的完全燃烧，可有效地降低热耗。</w:t>
      </w:r>
    </w:p>
    <w:p>
      <w:pPr>
        <w:snapToGrid w:val="0"/>
        <w:spacing w:line="360" w:lineRule="auto"/>
        <w:ind w:firstLine="420" w:firstLineChars="200"/>
        <w:rPr>
          <w:rFonts w:ascii="宋体" w:hAnsi="宋体"/>
        </w:rPr>
      </w:pPr>
      <w:r>
        <w:rPr>
          <w:rFonts w:hint="eastAsia" w:ascii="宋体" w:hAnsi="宋体"/>
        </w:rPr>
        <w:t>④</w:t>
      </w:r>
      <w:r>
        <w:rPr>
          <w:rFonts w:ascii="宋体" w:hAnsi="宋体"/>
        </w:rPr>
        <w:t>采用空气梁篦冷机</w:t>
      </w:r>
    </w:p>
    <w:p>
      <w:pPr>
        <w:snapToGrid w:val="0"/>
        <w:spacing w:line="360" w:lineRule="auto"/>
        <w:ind w:firstLine="420" w:firstLineChars="200"/>
        <w:rPr>
          <w:rFonts w:ascii="宋体" w:hAnsi="宋体"/>
        </w:rPr>
      </w:pPr>
      <w:r>
        <w:rPr>
          <w:rFonts w:ascii="宋体" w:hAnsi="宋体"/>
        </w:rPr>
        <w:t>熟料冷却采用新型第三代空气梁篦冷机，较之第二代篦冷机其热效率约提高10%左右，可提高二次风温和三次风温，减少单位熟料用风量，节省热耗和电耗。</w:t>
      </w:r>
    </w:p>
    <w:p>
      <w:pPr>
        <w:snapToGrid w:val="0"/>
        <w:spacing w:line="360" w:lineRule="auto"/>
        <w:ind w:firstLine="420" w:firstLineChars="200"/>
        <w:rPr>
          <w:rFonts w:ascii="宋体" w:hAnsi="宋体"/>
        </w:rPr>
      </w:pPr>
      <w:r>
        <w:rPr>
          <w:rFonts w:hint="eastAsia" w:ascii="宋体" w:hAnsi="宋体"/>
        </w:rPr>
        <w:t>⑤</w:t>
      </w:r>
      <w:r>
        <w:rPr>
          <w:rFonts w:ascii="宋体" w:hAnsi="宋体"/>
        </w:rPr>
        <w:t>充分利用废气余热作烘干热源</w:t>
      </w:r>
    </w:p>
    <w:p>
      <w:pPr>
        <w:snapToGrid w:val="0"/>
        <w:spacing w:line="360" w:lineRule="auto"/>
        <w:ind w:firstLine="420" w:firstLineChars="200"/>
        <w:rPr>
          <w:rFonts w:hint="eastAsia" w:ascii="宋体" w:hAnsi="宋体"/>
        </w:rPr>
      </w:pPr>
      <w:r>
        <w:rPr>
          <w:rFonts w:ascii="宋体" w:hAnsi="宋体"/>
        </w:rPr>
        <w:t>生料磨煤磨均利用窑系统的废气作烘干热源，充分利用了余热,不但省去了独立的原料烘干系统,减少了建设投资,每年还可节约大量的烘干用煤</w:t>
      </w:r>
      <w:r>
        <w:rPr>
          <w:rFonts w:hint="eastAsia" w:ascii="宋体" w:hAnsi="宋体"/>
        </w:rPr>
        <w:t>。</w:t>
      </w:r>
    </w:p>
    <w:p>
      <w:pPr>
        <w:snapToGrid w:val="0"/>
        <w:spacing w:line="360" w:lineRule="auto"/>
        <w:ind w:firstLine="420" w:firstLineChars="200"/>
        <w:rPr>
          <w:rFonts w:ascii="宋体" w:hAnsi="宋体"/>
        </w:rPr>
      </w:pPr>
      <w:r>
        <w:rPr>
          <w:rFonts w:hint="eastAsia" w:ascii="宋体" w:hAnsi="宋体"/>
        </w:rPr>
        <w:t>⑥</w:t>
      </w:r>
      <w:r>
        <w:rPr>
          <w:rFonts w:ascii="宋体" w:hAnsi="宋体"/>
        </w:rPr>
        <w:t>采用优质耐火和绝热材料</w:t>
      </w:r>
    </w:p>
    <w:p>
      <w:pPr>
        <w:snapToGrid w:val="0"/>
        <w:spacing w:line="360" w:lineRule="auto"/>
        <w:ind w:firstLine="420" w:firstLineChars="200"/>
        <w:rPr>
          <w:rFonts w:ascii="宋体" w:hAnsi="宋体"/>
        </w:rPr>
      </w:pPr>
      <w:r>
        <w:rPr>
          <w:rFonts w:ascii="宋体" w:hAnsi="宋体"/>
        </w:rPr>
        <w:t>设备及管道的表面散热在热损失中占有一定比例，采用优质的耐火绝热材料，合理设计绝热保温层，可减少表面散热损失，提高设备运转率。</w:t>
      </w:r>
    </w:p>
    <w:p>
      <w:pPr>
        <w:snapToGrid w:val="0"/>
        <w:spacing w:line="360" w:lineRule="auto"/>
        <w:ind w:firstLine="420" w:firstLineChars="200"/>
        <w:rPr>
          <w:rFonts w:ascii="宋体" w:hAnsi="宋体"/>
        </w:rPr>
      </w:pPr>
      <w:r>
        <w:rPr>
          <w:rFonts w:hint="eastAsia" w:ascii="宋体" w:hAnsi="宋体"/>
        </w:rPr>
        <w:t>⑦</w:t>
      </w:r>
      <w:r>
        <w:rPr>
          <w:rFonts w:ascii="宋体" w:hAnsi="宋体"/>
        </w:rPr>
        <w:t>建纯低温余热发电厂，装机容量4.5MW，年供电量为2479万KWh左右，可满足提供水泥用电的1/4需要，节约电费900万元以上。</w:t>
      </w:r>
    </w:p>
    <w:p>
      <w:pPr>
        <w:snapToGrid w:val="0"/>
        <w:spacing w:line="360" w:lineRule="auto"/>
        <w:ind w:firstLine="420" w:firstLineChars="200"/>
        <w:rPr>
          <w:rFonts w:hint="eastAsia" w:ascii="宋体" w:hAnsi="宋体"/>
        </w:rPr>
      </w:pPr>
      <w:r>
        <w:rPr>
          <w:rFonts w:hint="eastAsia" w:ascii="宋体" w:hAnsi="宋体"/>
        </w:rPr>
        <w:t>（2）电能的节约</w:t>
      </w:r>
    </w:p>
    <w:p>
      <w:pPr>
        <w:snapToGrid w:val="0"/>
        <w:spacing w:line="360" w:lineRule="auto"/>
        <w:ind w:firstLine="420" w:firstLineChars="200"/>
        <w:rPr>
          <w:rFonts w:ascii="宋体" w:hAnsi="宋体"/>
        </w:rPr>
      </w:pPr>
      <w:r>
        <w:rPr>
          <w:rFonts w:ascii="宋体" w:hAnsi="宋体"/>
        </w:rPr>
        <w:t>为提高电能的利用效率，节约用电，本</w:t>
      </w:r>
      <w:r>
        <w:rPr>
          <w:rFonts w:hint="eastAsia" w:ascii="宋体" w:hAnsi="宋体"/>
        </w:rPr>
        <w:t>技改项目</w:t>
      </w:r>
      <w:r>
        <w:rPr>
          <w:rFonts w:ascii="宋体" w:hAnsi="宋体"/>
        </w:rPr>
        <w:t>拟采用如下节电措施：</w:t>
      </w:r>
    </w:p>
    <w:p>
      <w:pPr>
        <w:snapToGrid w:val="0"/>
        <w:spacing w:line="360" w:lineRule="auto"/>
        <w:ind w:firstLine="420" w:firstLineChars="200"/>
        <w:rPr>
          <w:rFonts w:ascii="宋体" w:hAnsi="宋体"/>
        </w:rPr>
      </w:pPr>
      <w:r>
        <w:rPr>
          <w:rFonts w:hint="eastAsia" w:ascii="宋体" w:hAnsi="宋体"/>
        </w:rPr>
        <w:t>①</w:t>
      </w:r>
      <w:r>
        <w:rPr>
          <w:rFonts w:ascii="宋体" w:hAnsi="宋体"/>
        </w:rPr>
        <w:t>在保证入窑生料均化和稳定的前提下，生料均化及储存系统采用伊宝型连续式多股流均化库，其均化电耗为0.42kwh/t，比CF型连续式控制流均化库少0.30kwh/t。</w:t>
      </w:r>
    </w:p>
    <w:p>
      <w:pPr>
        <w:snapToGrid w:val="0"/>
        <w:spacing w:line="360" w:lineRule="auto"/>
        <w:ind w:firstLine="420" w:firstLineChars="200"/>
        <w:rPr>
          <w:rFonts w:ascii="宋体" w:hAnsi="宋体"/>
        </w:rPr>
      </w:pPr>
      <w:r>
        <w:rPr>
          <w:rFonts w:hint="eastAsia" w:ascii="宋体" w:hAnsi="宋体"/>
        </w:rPr>
        <w:t>②</w:t>
      </w:r>
      <w:r>
        <w:rPr>
          <w:rFonts w:ascii="宋体" w:hAnsi="宋体"/>
        </w:rPr>
        <w:t xml:space="preserve"> 选用节能型设备</w:t>
      </w:r>
    </w:p>
    <w:p>
      <w:pPr>
        <w:snapToGrid w:val="0"/>
        <w:spacing w:line="360" w:lineRule="auto"/>
        <w:ind w:firstLine="420" w:firstLineChars="200"/>
        <w:rPr>
          <w:rFonts w:ascii="宋体" w:hAnsi="宋体"/>
        </w:rPr>
      </w:pPr>
      <w:r>
        <w:rPr>
          <w:rFonts w:ascii="宋体" w:hAnsi="宋体"/>
        </w:rPr>
        <w:t>设计中选用了低阻高效型五级旋风预热器、高效选粉机、链式输送机、空气梁篦冷机和S9系列节能型变压器等节能设备，此外尽可能缩短物料输送距离，尽量采用机械输送，合理确定输送能力，可有效地节省电耗。</w:t>
      </w:r>
    </w:p>
    <w:p>
      <w:pPr>
        <w:adjustRightInd w:val="0"/>
        <w:snapToGrid w:val="0"/>
        <w:spacing w:line="360" w:lineRule="auto"/>
        <w:ind w:firstLine="625" w:firstLineChars="298"/>
        <w:rPr>
          <w:rFonts w:ascii="宋体" w:hAnsi="宋体"/>
        </w:rPr>
      </w:pPr>
      <w:r>
        <w:rPr>
          <w:rFonts w:hint="eastAsia" w:ascii="宋体" w:hAnsi="宋体"/>
        </w:rPr>
        <w:t>③</w:t>
      </w:r>
      <w:r>
        <w:rPr>
          <w:rFonts w:ascii="宋体" w:hAnsi="宋体"/>
        </w:rPr>
        <w:t>选择节能调速方式</w:t>
      </w:r>
    </w:p>
    <w:p>
      <w:pPr>
        <w:adjustRightInd w:val="0"/>
        <w:snapToGrid w:val="0"/>
        <w:spacing w:line="360" w:lineRule="auto"/>
        <w:ind w:firstLine="625" w:firstLineChars="298"/>
        <w:rPr>
          <w:rFonts w:ascii="宋体" w:hAnsi="宋体"/>
        </w:rPr>
      </w:pPr>
      <w:r>
        <w:rPr>
          <w:rFonts w:ascii="宋体" w:hAnsi="宋体"/>
        </w:rPr>
        <w:t>对于需调速的设备尽量采用变频调速的方式，风机则尽量少用阀门调节流量，减少能量的无功损耗。可节省电耗约20%。</w:t>
      </w:r>
    </w:p>
    <w:p>
      <w:pPr>
        <w:adjustRightInd w:val="0"/>
        <w:snapToGrid w:val="0"/>
        <w:spacing w:line="360" w:lineRule="auto"/>
        <w:ind w:firstLine="625" w:firstLineChars="298"/>
        <w:rPr>
          <w:rFonts w:ascii="宋体" w:hAnsi="宋体"/>
        </w:rPr>
      </w:pPr>
      <w:r>
        <w:rPr>
          <w:rFonts w:hint="eastAsia" w:ascii="宋体" w:hAnsi="宋体"/>
        </w:rPr>
        <w:t>④</w:t>
      </w:r>
      <w:r>
        <w:rPr>
          <w:rFonts w:ascii="宋体" w:hAnsi="宋体"/>
        </w:rPr>
        <w:t xml:space="preserve"> 静电电容器补偿</w:t>
      </w:r>
    </w:p>
    <w:p>
      <w:pPr>
        <w:adjustRightInd w:val="0"/>
        <w:snapToGrid w:val="0"/>
        <w:spacing w:line="360" w:lineRule="auto"/>
        <w:ind w:firstLine="625" w:firstLineChars="298"/>
        <w:rPr>
          <w:rFonts w:ascii="宋体" w:hAnsi="宋体"/>
        </w:rPr>
      </w:pPr>
      <w:r>
        <w:rPr>
          <w:rFonts w:ascii="宋体" w:hAnsi="宋体"/>
        </w:rPr>
        <w:t>对配电室采取静电电容器补偿，以减少无功损耗；对大功率异步电动机用静电电容器补偿，提高设备的功率因数，实现节电效果。距离远的低压用电设备设二次配电点，尽量缩短配电线路，减少电能损耗。</w:t>
      </w:r>
    </w:p>
    <w:p>
      <w:pPr>
        <w:adjustRightInd w:val="0"/>
        <w:snapToGrid w:val="0"/>
        <w:spacing w:line="360" w:lineRule="auto"/>
        <w:ind w:firstLine="625" w:firstLineChars="298"/>
        <w:rPr>
          <w:rFonts w:ascii="宋体" w:hAnsi="宋体"/>
        </w:rPr>
      </w:pPr>
      <w:r>
        <w:rPr>
          <w:rFonts w:hint="eastAsia" w:ascii="宋体" w:hAnsi="宋体"/>
        </w:rPr>
        <w:t>⑤</w:t>
      </w:r>
      <w:r>
        <w:rPr>
          <w:rFonts w:ascii="宋体" w:hAnsi="宋体"/>
        </w:rPr>
        <w:t>采用液体变阻起动器</w:t>
      </w:r>
    </w:p>
    <w:p>
      <w:pPr>
        <w:adjustRightInd w:val="0"/>
        <w:snapToGrid w:val="0"/>
        <w:spacing w:line="360" w:lineRule="auto"/>
        <w:ind w:firstLine="625" w:firstLineChars="298"/>
        <w:rPr>
          <w:rFonts w:ascii="宋体" w:hAnsi="宋体"/>
        </w:rPr>
      </w:pPr>
      <w:r>
        <w:rPr>
          <w:rFonts w:ascii="宋体" w:hAnsi="宋体"/>
        </w:rPr>
        <w:t xml:space="preserve"> 对于大型绕线式电动机，采用液体变阻起动器起动，可减小起动电流，起到节电的作用。</w:t>
      </w:r>
    </w:p>
    <w:p>
      <w:pPr>
        <w:adjustRightInd w:val="0"/>
        <w:snapToGrid w:val="0"/>
        <w:spacing w:line="360" w:lineRule="auto"/>
        <w:ind w:firstLine="625" w:firstLineChars="298"/>
        <w:rPr>
          <w:rFonts w:ascii="宋体" w:hAnsi="宋体"/>
        </w:rPr>
      </w:pPr>
      <w:r>
        <w:rPr>
          <w:rFonts w:hint="eastAsia" w:ascii="宋体" w:hAnsi="宋体"/>
        </w:rPr>
        <w:t>⑥</w:t>
      </w:r>
      <w:r>
        <w:rPr>
          <w:rFonts w:ascii="宋体" w:hAnsi="宋体"/>
        </w:rPr>
        <w:t xml:space="preserve"> 选用节能灯具</w:t>
      </w:r>
    </w:p>
    <w:p>
      <w:pPr>
        <w:snapToGrid w:val="0"/>
        <w:spacing w:line="360" w:lineRule="auto"/>
        <w:ind w:firstLine="482"/>
        <w:rPr>
          <w:rFonts w:hint="eastAsia" w:ascii="宋体" w:hAnsi="宋体"/>
        </w:rPr>
      </w:pPr>
      <w:r>
        <w:rPr>
          <w:rFonts w:ascii="宋体" w:hAnsi="宋体"/>
        </w:rPr>
        <w:t>在照明系统设计时，采用高效节能型金属卤化物灯具，可节省电能。</w:t>
      </w:r>
    </w:p>
    <w:p>
      <w:pPr>
        <w:snapToGrid w:val="0"/>
        <w:spacing w:line="360" w:lineRule="auto"/>
        <w:ind w:firstLine="482"/>
        <w:rPr>
          <w:rFonts w:hint="eastAsia" w:ascii="宋体" w:hAnsi="宋体"/>
        </w:rPr>
      </w:pPr>
      <w:r>
        <w:rPr>
          <w:rFonts w:hint="eastAsia" w:ascii="宋体" w:hAnsi="宋体"/>
        </w:rPr>
        <w:t>（3）资源的综合利用</w:t>
      </w:r>
    </w:p>
    <w:p>
      <w:pPr>
        <w:adjustRightInd w:val="0"/>
        <w:snapToGrid w:val="0"/>
        <w:spacing w:line="360" w:lineRule="auto"/>
        <w:ind w:firstLine="478" w:firstLineChars="228"/>
        <w:rPr>
          <w:rFonts w:ascii="宋体" w:hAnsi="宋体"/>
        </w:rPr>
      </w:pPr>
      <w:r>
        <w:rPr>
          <w:rFonts w:ascii="宋体" w:hAnsi="宋体"/>
        </w:rPr>
        <w:t>本</w:t>
      </w:r>
      <w:r>
        <w:rPr>
          <w:rFonts w:hint="eastAsia" w:ascii="宋体" w:hAnsi="宋体"/>
        </w:rPr>
        <w:t>技改</w:t>
      </w:r>
      <w:r>
        <w:rPr>
          <w:rFonts w:ascii="宋体" w:hAnsi="宋体"/>
        </w:rPr>
        <w:t>项目为资源综合利用项目，重庆永荣青鹏煤业有限公司煤炭开采由于优质原煤煤层极薄，开采地质条件变化难控，随原煤开采夹带的煤矸石量很多，大量的煤矸石可以作为辅助材料用于生料配料和水泥配料，炉渣可以作为混合材用于水泥配料，化工废物硫酸渣可用于生料配料。经测算，本</w:t>
      </w:r>
      <w:r>
        <w:rPr>
          <w:rFonts w:hint="eastAsia" w:ascii="宋体" w:hAnsi="宋体"/>
        </w:rPr>
        <w:t>技改</w:t>
      </w:r>
      <w:r>
        <w:rPr>
          <w:rFonts w:ascii="宋体" w:hAnsi="宋体"/>
        </w:rPr>
        <w:t>项目投产后年消耗固体废物数量如下：</w:t>
      </w:r>
    </w:p>
    <w:p>
      <w:pPr>
        <w:adjustRightInd w:val="0"/>
        <w:snapToGrid w:val="0"/>
        <w:spacing w:line="360" w:lineRule="auto"/>
        <w:ind w:firstLine="478" w:firstLineChars="228"/>
        <w:rPr>
          <w:rFonts w:ascii="宋体" w:hAnsi="宋体"/>
        </w:rPr>
      </w:pPr>
      <w:r>
        <w:rPr>
          <w:rFonts w:ascii="宋体" w:hAnsi="宋体"/>
        </w:rPr>
        <w:t>煤矸石：9.2万吨；</w:t>
      </w:r>
    </w:p>
    <w:p>
      <w:pPr>
        <w:adjustRightInd w:val="0"/>
        <w:snapToGrid w:val="0"/>
        <w:spacing w:line="360" w:lineRule="auto"/>
        <w:ind w:firstLine="478" w:firstLineChars="228"/>
        <w:rPr>
          <w:rFonts w:ascii="宋体" w:hAnsi="宋体"/>
        </w:rPr>
      </w:pPr>
      <w:r>
        <w:rPr>
          <w:rFonts w:ascii="宋体" w:hAnsi="宋体"/>
        </w:rPr>
        <w:t>硫酸渣：1.6万吨；</w:t>
      </w:r>
    </w:p>
    <w:p>
      <w:pPr>
        <w:adjustRightInd w:val="0"/>
        <w:snapToGrid w:val="0"/>
        <w:spacing w:line="360" w:lineRule="auto"/>
        <w:ind w:firstLine="478" w:firstLineChars="228"/>
        <w:rPr>
          <w:rFonts w:hint="eastAsia" w:ascii="宋体" w:hAnsi="宋体"/>
        </w:rPr>
      </w:pPr>
      <w:r>
        <w:rPr>
          <w:rFonts w:ascii="宋体" w:hAnsi="宋体"/>
        </w:rPr>
        <w:t>炉渣：19万吨。</w:t>
      </w:r>
    </w:p>
    <w:p>
      <w:pPr>
        <w:adjustRightInd w:val="0"/>
        <w:snapToGrid w:val="0"/>
        <w:spacing w:line="360" w:lineRule="auto"/>
        <w:ind w:firstLine="478" w:firstLineChars="228"/>
        <w:rPr>
          <w:rFonts w:ascii="宋体" w:hAnsi="宋体"/>
        </w:rPr>
      </w:pPr>
      <w:r>
        <w:rPr>
          <w:rFonts w:hint="eastAsia" w:ascii="宋体" w:hAnsi="宋体"/>
        </w:rPr>
        <w:t>（4）</w:t>
      </w:r>
      <w:r>
        <w:rPr>
          <w:rFonts w:ascii="宋体" w:hAnsi="宋体"/>
        </w:rPr>
        <w:t>节能效果</w:t>
      </w:r>
    </w:p>
    <w:p>
      <w:pPr>
        <w:adjustRightInd w:val="0"/>
        <w:snapToGrid w:val="0"/>
        <w:spacing w:line="360" w:lineRule="auto"/>
        <w:ind w:firstLine="420" w:firstLineChars="200"/>
        <w:rPr>
          <w:rFonts w:ascii="宋体" w:hAnsi="宋体"/>
        </w:rPr>
      </w:pPr>
      <w:r>
        <w:rPr>
          <w:rFonts w:ascii="宋体" w:hAnsi="宋体"/>
        </w:rPr>
        <w:t>本</w:t>
      </w:r>
      <w:r>
        <w:rPr>
          <w:rFonts w:hint="eastAsia" w:ascii="宋体" w:hAnsi="宋体"/>
        </w:rPr>
        <w:t>技改</w:t>
      </w:r>
      <w:r>
        <w:rPr>
          <w:rFonts w:ascii="宋体" w:hAnsi="宋体"/>
        </w:rPr>
        <w:t>项目为用新型干法技术淘汰立窑的技术改造项目，特别是配套纯低温余热发电时技术，经改造后节能效果十分显著。</w:t>
      </w:r>
    </w:p>
    <w:p>
      <w:pPr>
        <w:autoSpaceDE w:val="0"/>
        <w:autoSpaceDN w:val="0"/>
        <w:adjustRightInd w:val="0"/>
        <w:snapToGrid w:val="0"/>
        <w:spacing w:line="360" w:lineRule="auto"/>
        <w:ind w:firstLine="420" w:firstLineChars="200"/>
        <w:rPr>
          <w:rFonts w:ascii="宋体" w:hAnsi="宋体"/>
        </w:rPr>
      </w:pPr>
      <w:r>
        <w:rPr>
          <w:rFonts w:ascii="宋体" w:hAnsi="宋体"/>
        </w:rPr>
        <w:t>据测算，公司现立窑生产线吨熟料综合煤耗高达150千克标煤，而新型干法生产线吨熟料综合煤耗为10</w:t>
      </w:r>
      <w:r>
        <w:rPr>
          <w:rFonts w:hint="eastAsia" w:ascii="宋体" w:hAnsi="宋体"/>
        </w:rPr>
        <w:t>7</w:t>
      </w:r>
      <w:r>
        <w:rPr>
          <w:rFonts w:ascii="宋体" w:hAnsi="宋体"/>
        </w:rPr>
        <w:t>千克标煤。同样的生产规模，采用新型干法工艺每吨熟料可节约</w:t>
      </w:r>
      <w:r>
        <w:rPr>
          <w:rFonts w:hint="eastAsia" w:ascii="宋体" w:hAnsi="宋体"/>
        </w:rPr>
        <w:t>43</w:t>
      </w:r>
      <w:r>
        <w:rPr>
          <w:rFonts w:ascii="宋体" w:hAnsi="宋体"/>
        </w:rPr>
        <w:t>千克标煤。原立窑生产线熟料产量为45万吨，年消耗标煤</w:t>
      </w:r>
      <w:r>
        <w:rPr>
          <w:rFonts w:hint="eastAsia" w:ascii="宋体" w:hAnsi="宋体"/>
        </w:rPr>
        <w:t>6.8</w:t>
      </w:r>
      <w:r>
        <w:rPr>
          <w:rFonts w:ascii="宋体" w:hAnsi="宋体"/>
        </w:rPr>
        <w:t>万吨，而本</w:t>
      </w:r>
      <w:r>
        <w:rPr>
          <w:rFonts w:hint="eastAsia" w:ascii="宋体" w:hAnsi="宋体"/>
        </w:rPr>
        <w:t>技改</w:t>
      </w:r>
      <w:r>
        <w:rPr>
          <w:rFonts w:ascii="宋体" w:hAnsi="宋体"/>
        </w:rPr>
        <w:t>项目</w:t>
      </w:r>
      <w:r>
        <w:rPr>
          <w:rFonts w:hint="eastAsia" w:ascii="宋体" w:hAnsi="宋体"/>
        </w:rPr>
        <w:t>实施</w:t>
      </w:r>
      <w:r>
        <w:rPr>
          <w:rFonts w:ascii="宋体" w:hAnsi="宋体"/>
        </w:rPr>
        <w:t>后熟料产量达77.5万吨，年消耗标煤</w:t>
      </w:r>
      <w:r>
        <w:rPr>
          <w:rFonts w:hint="eastAsia" w:ascii="宋体" w:hAnsi="宋体"/>
        </w:rPr>
        <w:t>8.3</w:t>
      </w:r>
      <w:r>
        <w:rPr>
          <w:rFonts w:ascii="宋体" w:hAnsi="宋体"/>
        </w:rPr>
        <w:t>万吨，同时本</w:t>
      </w:r>
      <w:r>
        <w:rPr>
          <w:rFonts w:hint="eastAsia" w:ascii="宋体" w:hAnsi="宋体"/>
        </w:rPr>
        <w:t>技改</w:t>
      </w:r>
      <w:r>
        <w:rPr>
          <w:rFonts w:ascii="宋体" w:hAnsi="宋体"/>
        </w:rPr>
        <w:t>项目配套建设纯低温余热发电工程，年发电量达到2479万KWh，全部用于水泥生产线用电，占全厂电耗量1/4，年节约标煤1.8万吨（按小火电计算）。因此项目完成后，产品产量提高40万吨，而社会煤耗却减少0.</w:t>
      </w:r>
      <w:r>
        <w:rPr>
          <w:rFonts w:hint="eastAsia" w:ascii="宋体" w:hAnsi="宋体"/>
        </w:rPr>
        <w:t>3</w:t>
      </w:r>
      <w:r>
        <w:rPr>
          <w:rFonts w:ascii="宋体" w:hAnsi="宋体"/>
        </w:rPr>
        <w:t>万吨，真正实现了节能增效的效果。</w:t>
      </w:r>
    </w:p>
    <w:p>
      <w:pPr>
        <w:spacing w:line="360" w:lineRule="auto"/>
        <w:rPr>
          <w:rFonts w:hint="eastAsia"/>
          <w:b/>
        </w:rPr>
      </w:pPr>
      <w:r>
        <w:rPr>
          <w:rFonts w:hint="eastAsia"/>
          <w:b/>
        </w:rPr>
        <w:t>4.1.3 清洁生产指标评价</w:t>
      </w:r>
    </w:p>
    <w:p>
      <w:pPr>
        <w:autoSpaceDE w:val="0"/>
        <w:autoSpaceDN w:val="0"/>
        <w:adjustRightInd w:val="0"/>
        <w:snapToGrid w:val="0"/>
        <w:spacing w:line="360" w:lineRule="auto"/>
        <w:ind w:firstLine="420" w:firstLineChars="200"/>
        <w:rPr>
          <w:rFonts w:ascii="宋体" w:hAnsi="宋体"/>
        </w:rPr>
      </w:pPr>
      <w:r>
        <w:rPr>
          <w:rFonts w:hint="eastAsia" w:ascii="宋体" w:hAnsi="宋体"/>
        </w:rPr>
        <w:t>（1）</w:t>
      </w:r>
      <w:r>
        <w:rPr>
          <w:rFonts w:ascii="宋体" w:hAnsi="宋体"/>
        </w:rPr>
        <w:t xml:space="preserve"> 生产工艺装备</w:t>
      </w:r>
    </w:p>
    <w:p>
      <w:pPr>
        <w:autoSpaceDE w:val="0"/>
        <w:autoSpaceDN w:val="0"/>
        <w:adjustRightInd w:val="0"/>
        <w:snapToGrid w:val="0"/>
        <w:spacing w:line="360" w:lineRule="auto"/>
        <w:ind w:firstLine="420" w:firstLineChars="200"/>
        <w:rPr>
          <w:rFonts w:hint="eastAsia" w:ascii="宋体" w:hAnsi="宋体"/>
        </w:rPr>
      </w:pPr>
      <w:r>
        <w:rPr>
          <w:rFonts w:ascii="宋体" w:hAnsi="宋体"/>
        </w:rPr>
        <w:t xml:space="preserve">对照《清洁生产标准 </w:t>
      </w:r>
      <w:r>
        <w:rPr>
          <w:rFonts w:hint="eastAsia" w:ascii="宋体" w:hAnsi="宋体"/>
        </w:rPr>
        <w:t>水泥工</w:t>
      </w:r>
      <w:r>
        <w:rPr>
          <w:rFonts w:ascii="宋体" w:hAnsi="宋体"/>
        </w:rPr>
        <w:t>业》</w:t>
      </w:r>
      <w:bookmarkStart w:id="194" w:name="OLE_LINK7"/>
      <w:r>
        <w:rPr>
          <w:rFonts w:ascii="宋体" w:hAnsi="宋体"/>
        </w:rPr>
        <w:t>HJ</w:t>
      </w:r>
      <w:r>
        <w:rPr>
          <w:rFonts w:hint="eastAsia" w:ascii="宋体" w:hAnsi="宋体"/>
        </w:rPr>
        <w:t xml:space="preserve"> 467</w:t>
      </w:r>
      <w:r>
        <w:rPr>
          <w:rFonts w:ascii="宋体" w:hAnsi="宋体"/>
        </w:rPr>
        <w:t>－200</w:t>
      </w:r>
      <w:r>
        <w:rPr>
          <w:rFonts w:hint="eastAsia" w:ascii="宋体" w:hAnsi="宋体"/>
        </w:rPr>
        <w:t>9</w:t>
      </w:r>
      <w:bookmarkEnd w:id="194"/>
      <w:r>
        <w:rPr>
          <w:rFonts w:ascii="宋体" w:hAnsi="宋体"/>
        </w:rPr>
        <w:t>，</w:t>
      </w:r>
      <w:r>
        <w:rPr>
          <w:rFonts w:hint="eastAsia" w:ascii="宋体" w:hAnsi="宋体"/>
        </w:rPr>
        <w:t>技改项目</w:t>
      </w:r>
      <w:r>
        <w:rPr>
          <w:rFonts w:ascii="宋体" w:hAnsi="宋体"/>
        </w:rPr>
        <w:t>的生产工艺装备清洁生产水平分析见表</w:t>
      </w:r>
      <w:r>
        <w:rPr>
          <w:rFonts w:hint="eastAsia" w:ascii="宋体" w:hAnsi="宋体"/>
        </w:rPr>
        <w:t>4</w:t>
      </w:r>
      <w:r>
        <w:rPr>
          <w:rFonts w:ascii="宋体" w:hAnsi="宋体"/>
        </w:rPr>
        <w:t>－1。</w:t>
      </w:r>
    </w:p>
    <w:p>
      <w:pPr>
        <w:autoSpaceDE w:val="0"/>
        <w:autoSpaceDN w:val="0"/>
        <w:adjustRightInd w:val="0"/>
        <w:snapToGrid w:val="0"/>
        <w:spacing w:line="360" w:lineRule="auto"/>
        <w:ind w:firstLine="420" w:firstLineChars="200"/>
        <w:rPr>
          <w:rFonts w:hint="eastAsia" w:ascii="宋体" w:hAnsi="宋体"/>
        </w:rPr>
      </w:pPr>
      <w:r>
        <w:rPr>
          <w:rFonts w:ascii="宋体" w:hAnsi="宋体"/>
        </w:rPr>
        <w:t>由表</w:t>
      </w:r>
      <w:r>
        <w:rPr>
          <w:rFonts w:hint="eastAsia" w:ascii="宋体" w:hAnsi="宋体"/>
        </w:rPr>
        <w:t>4</w:t>
      </w:r>
      <w:r>
        <w:rPr>
          <w:rFonts w:ascii="宋体" w:hAnsi="宋体"/>
        </w:rPr>
        <w:t>－1可知，</w:t>
      </w:r>
      <w:r>
        <w:rPr>
          <w:rFonts w:hint="eastAsia" w:ascii="宋体" w:hAnsi="宋体"/>
        </w:rPr>
        <w:t>技改项目</w:t>
      </w:r>
      <w:r>
        <w:rPr>
          <w:rFonts w:ascii="宋体" w:hAnsi="宋体"/>
        </w:rPr>
        <w:t>工艺与装备的清洁生产水平</w:t>
      </w:r>
      <w:r>
        <w:rPr>
          <w:rFonts w:hint="eastAsia" w:ascii="宋体" w:hAnsi="宋体"/>
        </w:rPr>
        <w:t>除了水泥熟料生产线规模为二级标准外，其余指标达到一级标准，说明拟建</w:t>
      </w:r>
      <w:r>
        <w:rPr>
          <w:rFonts w:ascii="宋体" w:hAnsi="宋体"/>
        </w:rPr>
        <w:t>工程的工艺与装备水平</w:t>
      </w:r>
      <w:r>
        <w:rPr>
          <w:rFonts w:hint="eastAsia" w:ascii="宋体" w:hAnsi="宋体"/>
        </w:rPr>
        <w:t>总体</w:t>
      </w:r>
      <w:r>
        <w:rPr>
          <w:rFonts w:ascii="宋体" w:hAnsi="宋体"/>
        </w:rPr>
        <w:t>较高。</w:t>
      </w: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rFonts w:hint="eastAsia" w:hAnsi="宋体"/>
          <w:b/>
          <w:kern w:val="28"/>
        </w:rPr>
      </w:pPr>
    </w:p>
    <w:p>
      <w:pPr>
        <w:autoSpaceDE w:val="0"/>
        <w:autoSpaceDN w:val="0"/>
        <w:adjustRightInd w:val="0"/>
        <w:snapToGrid w:val="0"/>
        <w:spacing w:line="348" w:lineRule="auto"/>
        <w:ind w:firstLine="422" w:firstLineChars="200"/>
        <w:jc w:val="center"/>
        <w:rPr>
          <w:b/>
          <w:kern w:val="0"/>
        </w:rPr>
      </w:pPr>
      <w:r>
        <w:rPr>
          <w:rFonts w:hAnsi="宋体"/>
          <w:b/>
          <w:kern w:val="28"/>
        </w:rPr>
        <w:t>表</w:t>
      </w:r>
      <w:r>
        <w:rPr>
          <w:rFonts w:hint="eastAsia" w:hAnsi="宋体"/>
          <w:b/>
          <w:kern w:val="28"/>
        </w:rPr>
        <w:t>4</w:t>
      </w:r>
      <w:r>
        <w:rPr>
          <w:rFonts w:hAnsi="宋体"/>
          <w:b/>
          <w:kern w:val="28"/>
        </w:rPr>
        <w:t>－1  生产工艺装备与清洁生产标准对照评价</w:t>
      </w:r>
    </w:p>
    <w:tbl>
      <w:tblPr>
        <w:tblStyle w:val="22"/>
        <w:tblW w:w="976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45"/>
        <w:gridCol w:w="717"/>
        <w:gridCol w:w="1840"/>
        <w:gridCol w:w="1514"/>
        <w:gridCol w:w="1885"/>
        <w:gridCol w:w="16"/>
        <w:gridCol w:w="1463"/>
        <w:gridCol w:w="16"/>
        <w:gridCol w:w="1163"/>
        <w:gridCol w:w="1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47" w:hRule="atLeast"/>
          <w:jc w:val="center"/>
        </w:trPr>
        <w:tc>
          <w:tcPr>
            <w:tcW w:w="1862" w:type="dxa"/>
            <w:gridSpan w:val="2"/>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1840"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514"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901" w:type="dxa"/>
            <w:gridSpan w:val="2"/>
            <w:tcBorders>
              <w:bottom w:val="single" w:color="000000" w:sz="12" w:space="0"/>
              <w:right w:val="single" w:color="auto" w:sz="6"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479" w:type="dxa"/>
            <w:gridSpan w:val="2"/>
            <w:tcBorders>
              <w:left w:val="single" w:color="auto" w:sz="6" w:space="0"/>
              <w:bottom w:val="single" w:color="000000" w:sz="12" w:space="0"/>
            </w:tcBorders>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技改项目</w:t>
            </w:r>
          </w:p>
        </w:tc>
        <w:tc>
          <w:tcPr>
            <w:tcW w:w="1173" w:type="dxa"/>
            <w:gridSpan w:val="2"/>
            <w:tcBorders>
              <w:bottom w:val="single" w:color="000000" w:sz="12" w:space="0"/>
            </w:tcBorders>
            <w:shd w:val="clear" w:color="auto" w:fill="auto"/>
            <w:noWrap w:val="0"/>
            <w:vAlign w:val="center"/>
          </w:tcPr>
          <w:p>
            <w:pPr>
              <w:adjustRightInd w:val="0"/>
              <w:snapToGrid w:val="0"/>
              <w:spacing w:after="60" w:line="240" w:lineRule="atLeast"/>
              <w:rPr>
                <w:rFonts w:hint="eastAsia"/>
                <w:kern w:val="0"/>
                <w:sz w:val="18"/>
                <w:szCs w:val="18"/>
              </w:rPr>
            </w:pPr>
            <w:r>
              <w:rPr>
                <w:rFonts w:hint="eastAsia" w:hAnsi="宋体"/>
                <w:kern w:val="0"/>
                <w:sz w:val="18"/>
                <w:szCs w:val="18"/>
              </w:rPr>
              <w:t>技改项目清洁生产指标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862" w:type="dxa"/>
            <w:gridSpan w:val="2"/>
            <w:shd w:val="clear" w:color="auto" w:fill="auto"/>
            <w:noWrap w:val="0"/>
            <w:vAlign w:val="center"/>
          </w:tcPr>
          <w:p>
            <w:pPr>
              <w:widowControl/>
              <w:adjustRightInd w:val="0"/>
              <w:snapToGrid w:val="0"/>
              <w:spacing w:after="60" w:line="240" w:lineRule="atLeast"/>
              <w:ind w:firstLine="360"/>
              <w:rPr>
                <w:rFonts w:hint="eastAsia"/>
                <w:kern w:val="0"/>
                <w:sz w:val="18"/>
                <w:szCs w:val="18"/>
              </w:rPr>
            </w:pPr>
            <w:r>
              <w:rPr>
                <w:kern w:val="0"/>
                <w:sz w:val="18"/>
                <w:szCs w:val="18"/>
              </w:rPr>
              <w:t>1</w:t>
            </w:r>
            <w:r>
              <w:rPr>
                <w:rFonts w:hAnsi="宋体"/>
                <w:kern w:val="0"/>
                <w:sz w:val="18"/>
                <w:szCs w:val="18"/>
              </w:rPr>
              <w:t>.</w:t>
            </w:r>
            <w:r>
              <w:rPr>
                <w:rFonts w:hint="eastAsia" w:hAnsi="宋体"/>
                <w:kern w:val="0"/>
                <w:sz w:val="18"/>
                <w:szCs w:val="18"/>
              </w:rPr>
              <w:t>水泥</w:t>
            </w:r>
            <w:r>
              <w:rPr>
                <w:rFonts w:hAnsi="宋体"/>
                <w:kern w:val="0"/>
                <w:sz w:val="18"/>
                <w:szCs w:val="18"/>
              </w:rPr>
              <w:t>熟料生产</w:t>
            </w:r>
            <w:r>
              <w:rPr>
                <w:rFonts w:hint="eastAsia" w:hAnsi="宋体"/>
                <w:kern w:val="0"/>
                <w:sz w:val="18"/>
                <w:szCs w:val="18"/>
              </w:rPr>
              <w:t>线规模</w:t>
            </w:r>
          </w:p>
        </w:tc>
        <w:tc>
          <w:tcPr>
            <w:tcW w:w="1840" w:type="dxa"/>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ascii="宋体" w:hAnsi="宋体"/>
                <w:kern w:val="0"/>
                <w:sz w:val="18"/>
                <w:szCs w:val="18"/>
              </w:rPr>
              <w:t>≥</w:t>
            </w:r>
            <w:r>
              <w:rPr>
                <w:rFonts w:hint="eastAsia"/>
                <w:kern w:val="0"/>
                <w:sz w:val="18"/>
                <w:szCs w:val="18"/>
              </w:rPr>
              <w:t xml:space="preserve">4000 </w:t>
            </w:r>
            <w:r>
              <w:rPr>
                <w:rFonts w:hint="eastAsia" w:hAnsi="宋体"/>
                <w:kern w:val="0"/>
                <w:sz w:val="18"/>
                <w:szCs w:val="18"/>
              </w:rPr>
              <w:t>t/d</w:t>
            </w:r>
          </w:p>
        </w:tc>
        <w:tc>
          <w:tcPr>
            <w:tcW w:w="3415" w:type="dxa"/>
            <w:gridSpan w:val="3"/>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w:t>
            </w:r>
            <w:r>
              <w:rPr>
                <w:rFonts w:hint="eastAsia"/>
                <w:kern w:val="0"/>
                <w:sz w:val="18"/>
                <w:szCs w:val="18"/>
              </w:rPr>
              <w:t xml:space="preserve">2000 </w:t>
            </w:r>
            <w:r>
              <w:rPr>
                <w:rFonts w:hint="eastAsia" w:hAnsi="宋体"/>
                <w:kern w:val="0"/>
                <w:sz w:val="18"/>
                <w:szCs w:val="18"/>
              </w:rPr>
              <w:t>t/d</w:t>
            </w:r>
          </w:p>
        </w:tc>
        <w:tc>
          <w:tcPr>
            <w:tcW w:w="1479" w:type="dxa"/>
            <w:gridSpan w:val="2"/>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2500</w:t>
            </w:r>
            <w:r>
              <w:rPr>
                <w:rFonts w:hint="eastAsia"/>
                <w:kern w:val="0"/>
                <w:sz w:val="18"/>
                <w:szCs w:val="18"/>
              </w:rPr>
              <w:t xml:space="preserve"> </w:t>
            </w:r>
            <w:r>
              <w:rPr>
                <w:rFonts w:hint="eastAsia" w:hAnsi="宋体"/>
                <w:kern w:val="0"/>
                <w:sz w:val="18"/>
                <w:szCs w:val="18"/>
              </w:rPr>
              <w:t>t/d</w:t>
            </w:r>
          </w:p>
        </w:tc>
        <w:tc>
          <w:tcPr>
            <w:tcW w:w="1173"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二</w:t>
            </w:r>
            <w:r>
              <w:rPr>
                <w:kern w:val="0"/>
                <w:sz w:val="18"/>
                <w:szCs w:val="18"/>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862" w:type="dxa"/>
            <w:gridSpan w:val="2"/>
            <w:shd w:val="clear" w:color="auto" w:fill="auto"/>
            <w:noWrap w:val="0"/>
            <w:vAlign w:val="center"/>
          </w:tcPr>
          <w:p>
            <w:pPr>
              <w:autoSpaceDE w:val="0"/>
              <w:autoSpaceDN w:val="0"/>
              <w:adjustRightInd w:val="0"/>
              <w:spacing w:after="60"/>
              <w:rPr>
                <w:rFonts w:hint="eastAsia" w:ascii="宋体" w:cs="宋体"/>
                <w:kern w:val="0"/>
                <w:sz w:val="20"/>
                <w:szCs w:val="20"/>
              </w:rPr>
            </w:pPr>
            <w:r>
              <w:rPr>
                <w:rFonts w:hint="eastAsia"/>
                <w:kern w:val="0"/>
                <w:sz w:val="18"/>
                <w:szCs w:val="18"/>
              </w:rPr>
              <w:t>2.水泥</w:t>
            </w:r>
            <w:r>
              <w:rPr>
                <w:rFonts w:hint="eastAsia" w:ascii="宋体" w:cs="宋体"/>
                <w:kern w:val="0"/>
                <w:sz w:val="18"/>
                <w:szCs w:val="18"/>
              </w:rPr>
              <w:t>粉磨站规模</w:t>
            </w:r>
          </w:p>
        </w:tc>
        <w:tc>
          <w:tcPr>
            <w:tcW w:w="1840" w:type="dxa"/>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100</w:t>
            </w:r>
            <w:r>
              <w:rPr>
                <w:rFonts w:hint="eastAsia" w:ascii="宋体" w:cs="宋体"/>
                <w:kern w:val="0"/>
                <w:sz w:val="18"/>
                <w:szCs w:val="18"/>
              </w:rPr>
              <w:t>万</w:t>
            </w:r>
            <w:r>
              <w:rPr>
                <w:kern w:val="0"/>
                <w:sz w:val="18"/>
                <w:szCs w:val="18"/>
              </w:rPr>
              <w:t>t/a</w:t>
            </w:r>
          </w:p>
        </w:tc>
        <w:tc>
          <w:tcPr>
            <w:tcW w:w="1514" w:type="dxa"/>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60</w:t>
            </w:r>
            <w:r>
              <w:rPr>
                <w:rFonts w:hint="eastAsia" w:ascii="宋体" w:cs="宋体"/>
                <w:kern w:val="0"/>
                <w:sz w:val="18"/>
                <w:szCs w:val="18"/>
              </w:rPr>
              <w:t>万</w:t>
            </w:r>
            <w:r>
              <w:rPr>
                <w:kern w:val="0"/>
                <w:sz w:val="18"/>
                <w:szCs w:val="18"/>
              </w:rPr>
              <w:t>t/a</w:t>
            </w:r>
          </w:p>
        </w:tc>
        <w:tc>
          <w:tcPr>
            <w:tcW w:w="1901" w:type="dxa"/>
            <w:gridSpan w:val="2"/>
            <w:tcBorders>
              <w:righ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ascii="宋体" w:hAnsi="宋体"/>
                <w:kern w:val="0"/>
                <w:sz w:val="18"/>
                <w:szCs w:val="18"/>
              </w:rPr>
              <w:t>≥</w:t>
            </w:r>
            <w:r>
              <w:rPr>
                <w:rFonts w:hint="eastAsia" w:ascii="宋体" w:hAnsi="宋体"/>
                <w:kern w:val="0"/>
                <w:sz w:val="18"/>
                <w:szCs w:val="18"/>
              </w:rPr>
              <w:t>40</w:t>
            </w:r>
            <w:r>
              <w:rPr>
                <w:rFonts w:hint="eastAsia" w:ascii="宋体" w:cs="宋体"/>
                <w:kern w:val="0"/>
                <w:sz w:val="18"/>
                <w:szCs w:val="18"/>
              </w:rPr>
              <w:t>万</w:t>
            </w:r>
            <w:r>
              <w:rPr>
                <w:kern w:val="0"/>
                <w:sz w:val="18"/>
                <w:szCs w:val="18"/>
              </w:rPr>
              <w:t>t/a</w:t>
            </w:r>
          </w:p>
        </w:tc>
        <w:tc>
          <w:tcPr>
            <w:tcW w:w="1479" w:type="dxa"/>
            <w:gridSpan w:val="2"/>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r>
              <w:rPr>
                <w:rFonts w:hint="eastAsia" w:ascii="宋体" w:cs="宋体"/>
                <w:kern w:val="0"/>
                <w:sz w:val="18"/>
                <w:szCs w:val="18"/>
              </w:rPr>
              <w:t>万</w:t>
            </w:r>
            <w:r>
              <w:rPr>
                <w:kern w:val="0"/>
                <w:sz w:val="18"/>
                <w:szCs w:val="18"/>
              </w:rPr>
              <w:t>t/a</w:t>
            </w:r>
          </w:p>
        </w:tc>
        <w:tc>
          <w:tcPr>
            <w:tcW w:w="1173"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454" w:hRule="atLeast"/>
          <w:jc w:val="center"/>
        </w:trPr>
        <w:tc>
          <w:tcPr>
            <w:tcW w:w="1862" w:type="dxa"/>
            <w:gridSpan w:val="2"/>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3</w:t>
            </w:r>
            <w:r>
              <w:rPr>
                <w:kern w:val="0"/>
                <w:sz w:val="18"/>
                <w:szCs w:val="18"/>
              </w:rPr>
              <w:t>.</w:t>
            </w:r>
            <w:r>
              <w:rPr>
                <w:rFonts w:hint="eastAsia" w:hAnsi="宋体"/>
                <w:kern w:val="0"/>
                <w:sz w:val="18"/>
                <w:szCs w:val="18"/>
              </w:rPr>
              <w:t>窑系统</w:t>
            </w:r>
          </w:p>
        </w:tc>
        <w:tc>
          <w:tcPr>
            <w:tcW w:w="3354" w:type="dxa"/>
            <w:gridSpan w:val="2"/>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窑外分解新型干法窑，袋收尘或电收尘</w:t>
            </w:r>
          </w:p>
        </w:tc>
        <w:tc>
          <w:tcPr>
            <w:tcW w:w="1885" w:type="dxa"/>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窑外分解新型干法窑及产业政策允许的其他窑，袋收尘或电收尘</w:t>
            </w:r>
          </w:p>
        </w:tc>
        <w:tc>
          <w:tcPr>
            <w:tcW w:w="1479" w:type="dxa"/>
            <w:gridSpan w:val="2"/>
            <w:tcBorders>
              <w:left w:val="single" w:color="auto" w:sz="6" w:space="0"/>
            </w:tcBorders>
            <w:shd w:val="clear" w:color="auto" w:fill="auto"/>
            <w:noWrap w:val="0"/>
            <w:vAlign w:val="center"/>
          </w:tcPr>
          <w:p>
            <w:pPr>
              <w:autoSpaceDE w:val="0"/>
              <w:autoSpaceDN w:val="0"/>
              <w:adjustRightInd w:val="0"/>
              <w:snapToGrid w:val="0"/>
              <w:spacing w:after="60" w:line="240" w:lineRule="atLeast"/>
              <w:ind w:firstLine="360"/>
              <w:jc w:val="center"/>
              <w:rPr>
                <w:rFonts w:hint="eastAsia"/>
                <w:kern w:val="0"/>
                <w:sz w:val="18"/>
                <w:szCs w:val="18"/>
              </w:rPr>
            </w:pPr>
            <w:r>
              <w:rPr>
                <w:rFonts w:hint="eastAsia" w:ascii="宋体" w:cs="宋体"/>
                <w:kern w:val="0"/>
                <w:sz w:val="18"/>
                <w:szCs w:val="18"/>
              </w:rPr>
              <w:t>窑外分解新型干法窑，袋收尘</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8"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4.</w:t>
            </w:r>
            <w:r>
              <w:rPr>
                <w:rFonts w:hint="eastAsia" w:ascii="宋体" w:cs="宋体"/>
                <w:kern w:val="0"/>
                <w:sz w:val="18"/>
                <w:szCs w:val="18"/>
              </w:rPr>
              <w:t>生料粉磨系统</w:t>
            </w:r>
          </w:p>
        </w:tc>
        <w:tc>
          <w:tcPr>
            <w:tcW w:w="1840" w:type="dxa"/>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立式磨，袋收尘或电收尘</w:t>
            </w:r>
          </w:p>
        </w:tc>
        <w:tc>
          <w:tcPr>
            <w:tcW w:w="1514" w:type="dxa"/>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磨机直径≥</w:t>
            </w:r>
            <w:r>
              <w:rPr>
                <w:kern w:val="0"/>
                <w:sz w:val="18"/>
                <w:szCs w:val="18"/>
              </w:rPr>
              <w:t>4.6m</w:t>
            </w:r>
            <w:r>
              <w:rPr>
                <w:rFonts w:hint="eastAsia" w:ascii="宋体" w:cs="宋体"/>
                <w:kern w:val="0"/>
                <w:sz w:val="18"/>
                <w:szCs w:val="18"/>
              </w:rPr>
              <w:t>圈流球磨机，袋收尘或电收尘</w:t>
            </w:r>
          </w:p>
        </w:tc>
        <w:tc>
          <w:tcPr>
            <w:tcW w:w="1901" w:type="dxa"/>
            <w:gridSpan w:val="2"/>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产业政策允许的其他磨机，袋收尘或电收尘</w:t>
            </w:r>
          </w:p>
        </w:tc>
        <w:tc>
          <w:tcPr>
            <w:tcW w:w="1479" w:type="dxa"/>
            <w:gridSpan w:val="2"/>
            <w:tcBorders>
              <w:left w:val="single" w:color="auto" w:sz="6" w:space="0"/>
            </w:tcBorders>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18"/>
                <w:szCs w:val="18"/>
              </w:rPr>
              <w:t>立式磨，袋收尘</w:t>
            </w:r>
          </w:p>
        </w:tc>
        <w:tc>
          <w:tcPr>
            <w:tcW w:w="1173"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300"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5.</w:t>
            </w:r>
            <w:r>
              <w:rPr>
                <w:rFonts w:hint="eastAsia" w:ascii="宋体" w:cs="宋体"/>
                <w:kern w:val="0"/>
                <w:sz w:val="18"/>
                <w:szCs w:val="18"/>
              </w:rPr>
              <w:t>煤粉制备系统</w:t>
            </w:r>
          </w:p>
        </w:tc>
        <w:tc>
          <w:tcPr>
            <w:tcW w:w="5239" w:type="dxa"/>
            <w:gridSpan w:val="3"/>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立式磨或风扫磨，袋收尘或电收尘</w:t>
            </w:r>
          </w:p>
        </w:tc>
        <w:tc>
          <w:tcPr>
            <w:tcW w:w="1479" w:type="dxa"/>
            <w:gridSpan w:val="2"/>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立式磨，袋收尘</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05"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6.</w:t>
            </w:r>
            <w:r>
              <w:rPr>
                <w:rFonts w:hint="eastAsia" w:ascii="宋体" w:cs="宋体"/>
                <w:kern w:val="0"/>
                <w:sz w:val="18"/>
                <w:szCs w:val="18"/>
              </w:rPr>
              <w:t>水泥粉磨系统</w:t>
            </w:r>
          </w:p>
        </w:tc>
        <w:tc>
          <w:tcPr>
            <w:tcW w:w="1840" w:type="dxa"/>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磨机直径≥</w:t>
            </w:r>
            <w:r>
              <w:rPr>
                <w:kern w:val="0"/>
                <w:sz w:val="18"/>
                <w:szCs w:val="18"/>
              </w:rPr>
              <w:t xml:space="preserve">4.2m </w:t>
            </w:r>
            <w:r>
              <w:rPr>
                <w:rFonts w:hint="eastAsia" w:ascii="宋体" w:cs="宋体"/>
                <w:kern w:val="0"/>
                <w:sz w:val="18"/>
                <w:szCs w:val="18"/>
              </w:rPr>
              <w:t>辊压机与球磨机组合的粉磨系统或立式磨，袋收尘</w:t>
            </w:r>
          </w:p>
        </w:tc>
        <w:tc>
          <w:tcPr>
            <w:tcW w:w="1514" w:type="dxa"/>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磨机直径≥</w:t>
            </w:r>
            <w:r>
              <w:rPr>
                <w:kern w:val="0"/>
                <w:sz w:val="18"/>
                <w:szCs w:val="18"/>
              </w:rPr>
              <w:t>3.8m</w:t>
            </w:r>
            <w:r>
              <w:rPr>
                <w:rFonts w:hint="eastAsia" w:ascii="宋体" w:cs="宋体"/>
                <w:kern w:val="0"/>
                <w:sz w:val="18"/>
                <w:szCs w:val="18"/>
              </w:rPr>
              <w:t>，辊压机与球磨机组合的粉磨系统或带高效选粉机的圈流球磨机，袋收尘</w:t>
            </w:r>
          </w:p>
        </w:tc>
        <w:tc>
          <w:tcPr>
            <w:tcW w:w="1901" w:type="dxa"/>
            <w:gridSpan w:val="2"/>
            <w:tcBorders>
              <w:righ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kern w:val="0"/>
                <w:sz w:val="18"/>
                <w:szCs w:val="18"/>
              </w:rPr>
              <w:t>2.6</w:t>
            </w:r>
            <w:r>
              <w:rPr>
                <w:rFonts w:hint="eastAsia" w:ascii="宋体" w:cs="宋体"/>
                <w:kern w:val="0"/>
                <w:sz w:val="18"/>
                <w:szCs w:val="18"/>
              </w:rPr>
              <w:t>≤磨机直径＜3</w:t>
            </w:r>
            <w:r>
              <w:rPr>
                <w:kern w:val="0"/>
                <w:sz w:val="18"/>
                <w:szCs w:val="18"/>
              </w:rPr>
              <w:t>.8m</w:t>
            </w:r>
            <w:r>
              <w:rPr>
                <w:rFonts w:hint="eastAsia" w:ascii="宋体" w:cs="宋体"/>
                <w:kern w:val="0"/>
                <w:sz w:val="18"/>
                <w:szCs w:val="18"/>
              </w:rPr>
              <w:t>，圈流球磨机或高细磨，袋收尘</w:t>
            </w:r>
          </w:p>
        </w:tc>
        <w:tc>
          <w:tcPr>
            <w:tcW w:w="1479" w:type="dxa"/>
            <w:gridSpan w:val="2"/>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Φ4.2m×13m水泥磨，袋除尘</w:t>
            </w:r>
          </w:p>
        </w:tc>
        <w:tc>
          <w:tcPr>
            <w:tcW w:w="1173"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1"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7.</w:t>
            </w:r>
            <w:r>
              <w:rPr>
                <w:rFonts w:hint="eastAsia" w:ascii="宋体" w:cs="宋体"/>
                <w:kern w:val="0"/>
                <w:sz w:val="18"/>
                <w:szCs w:val="18"/>
              </w:rPr>
              <w:t>动力配置</w:t>
            </w:r>
          </w:p>
        </w:tc>
        <w:tc>
          <w:tcPr>
            <w:tcW w:w="1840" w:type="dxa"/>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高、低压变频</w:t>
            </w:r>
          </w:p>
        </w:tc>
        <w:tc>
          <w:tcPr>
            <w:tcW w:w="3415" w:type="dxa"/>
            <w:gridSpan w:val="3"/>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暂波调整或滤波调整或水电阻调整</w:t>
            </w:r>
          </w:p>
        </w:tc>
        <w:tc>
          <w:tcPr>
            <w:tcW w:w="1479" w:type="dxa"/>
            <w:gridSpan w:val="2"/>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高、低压变频</w:t>
            </w:r>
          </w:p>
        </w:tc>
        <w:tc>
          <w:tcPr>
            <w:tcW w:w="1173"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300"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8.</w:t>
            </w:r>
            <w:r>
              <w:rPr>
                <w:rFonts w:hint="eastAsia" w:ascii="宋体" w:cs="宋体"/>
                <w:kern w:val="0"/>
                <w:sz w:val="18"/>
                <w:szCs w:val="18"/>
              </w:rPr>
              <w:t>生产过程控制水平</w:t>
            </w:r>
          </w:p>
        </w:tc>
        <w:tc>
          <w:tcPr>
            <w:tcW w:w="3354" w:type="dxa"/>
            <w:gridSpan w:val="2"/>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采用现场总线或</w:t>
            </w:r>
            <w:r>
              <w:rPr>
                <w:kern w:val="0"/>
                <w:sz w:val="18"/>
                <w:szCs w:val="18"/>
              </w:rPr>
              <w:t xml:space="preserve">DCS </w:t>
            </w:r>
            <w:r>
              <w:rPr>
                <w:rFonts w:hint="eastAsia" w:ascii="宋体" w:cs="宋体"/>
                <w:kern w:val="0"/>
                <w:sz w:val="18"/>
                <w:szCs w:val="18"/>
              </w:rPr>
              <w:t>或</w:t>
            </w:r>
            <w:r>
              <w:rPr>
                <w:kern w:val="0"/>
                <w:sz w:val="18"/>
                <w:szCs w:val="18"/>
              </w:rPr>
              <w:t xml:space="preserve">PLC </w:t>
            </w:r>
            <w:r>
              <w:rPr>
                <w:rFonts w:hint="eastAsia" w:ascii="宋体" w:cs="宋体"/>
                <w:kern w:val="0"/>
                <w:sz w:val="18"/>
                <w:szCs w:val="18"/>
              </w:rPr>
              <w:t>控制系统、生料质量控制系统、生产管理信息分析系统，窑头、窑尾安装大气污染物连续监测装置</w:t>
            </w:r>
          </w:p>
        </w:tc>
        <w:tc>
          <w:tcPr>
            <w:tcW w:w="1885" w:type="dxa"/>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采用了</w:t>
            </w:r>
            <w:r>
              <w:rPr>
                <w:kern w:val="0"/>
                <w:sz w:val="18"/>
                <w:szCs w:val="18"/>
              </w:rPr>
              <w:t xml:space="preserve">DCS </w:t>
            </w:r>
            <w:r>
              <w:rPr>
                <w:rFonts w:hint="eastAsia" w:ascii="宋体" w:cs="宋体"/>
                <w:kern w:val="0"/>
                <w:sz w:val="18"/>
                <w:szCs w:val="18"/>
              </w:rPr>
              <w:t>或</w:t>
            </w:r>
            <w:r>
              <w:rPr>
                <w:kern w:val="0"/>
                <w:sz w:val="18"/>
                <w:szCs w:val="18"/>
              </w:rPr>
              <w:t>PLC</w:t>
            </w:r>
            <w:r>
              <w:rPr>
                <w:rFonts w:hint="eastAsia" w:ascii="宋体" w:cs="宋体"/>
                <w:kern w:val="0"/>
                <w:sz w:val="18"/>
                <w:szCs w:val="18"/>
              </w:rPr>
              <w:t>操作控制系统</w:t>
            </w:r>
          </w:p>
        </w:tc>
        <w:tc>
          <w:tcPr>
            <w:tcW w:w="1479" w:type="dxa"/>
            <w:gridSpan w:val="2"/>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采用</w:t>
            </w:r>
            <w:r>
              <w:rPr>
                <w:kern w:val="0"/>
                <w:sz w:val="18"/>
                <w:szCs w:val="18"/>
              </w:rPr>
              <w:t>DCS</w:t>
            </w:r>
            <w:r>
              <w:rPr>
                <w:rFonts w:hint="eastAsia" w:ascii="宋体" w:cs="宋体"/>
                <w:kern w:val="0"/>
                <w:sz w:val="18"/>
                <w:szCs w:val="18"/>
              </w:rPr>
              <w:t>控制系统、生料质量控制系统、生产管理信息分析系统，窑头、窑尾安装大气污染物连续监测装置</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755"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9.</w:t>
            </w:r>
            <w:r>
              <w:rPr>
                <w:rFonts w:hint="eastAsia" w:ascii="宋体" w:cs="宋体"/>
                <w:kern w:val="0"/>
                <w:sz w:val="18"/>
                <w:szCs w:val="18"/>
              </w:rPr>
              <w:t>收尘设备同步运转率</w:t>
            </w:r>
          </w:p>
        </w:tc>
        <w:tc>
          <w:tcPr>
            <w:tcW w:w="5239" w:type="dxa"/>
            <w:gridSpan w:val="3"/>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p>
        </w:tc>
        <w:tc>
          <w:tcPr>
            <w:tcW w:w="1479" w:type="dxa"/>
            <w:gridSpan w:val="2"/>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hAnsi="宋体"/>
                <w:kern w:val="0"/>
                <w:sz w:val="18"/>
                <w:szCs w:val="18"/>
              </w:rPr>
              <w:t>100%</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102" w:hRule="atLeast"/>
          <w:jc w:val="center"/>
        </w:trPr>
        <w:tc>
          <w:tcPr>
            <w:tcW w:w="1145" w:type="dxa"/>
            <w:vMerge w:val="restart"/>
            <w:shd w:val="clear" w:color="auto" w:fill="auto"/>
            <w:noWrap w:val="0"/>
            <w:vAlign w:val="center"/>
          </w:tcPr>
          <w:p>
            <w:pPr>
              <w:autoSpaceDE w:val="0"/>
              <w:autoSpaceDN w:val="0"/>
              <w:adjustRightInd w:val="0"/>
              <w:spacing w:after="60"/>
              <w:rPr>
                <w:rFonts w:hint="eastAsia" w:ascii="宋体" w:cs="宋体"/>
                <w:kern w:val="0"/>
                <w:sz w:val="18"/>
                <w:szCs w:val="18"/>
              </w:rPr>
            </w:pPr>
            <w:r>
              <w:rPr>
                <w:rFonts w:hint="eastAsia" w:ascii="宋体" w:cs="宋体"/>
                <w:kern w:val="0"/>
                <w:sz w:val="18"/>
                <w:szCs w:val="18"/>
              </w:rPr>
              <w:t>10.包装（袋装水泥）</w:t>
            </w:r>
          </w:p>
        </w:tc>
        <w:tc>
          <w:tcPr>
            <w:tcW w:w="717" w:type="dxa"/>
            <w:tcBorders>
              <w:right w:val="single" w:color="auto" w:sz="4" w:space="0"/>
            </w:tcBorders>
            <w:shd w:val="clear" w:color="auto" w:fill="auto"/>
            <w:noWrap w:val="0"/>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包装方式</w:t>
            </w:r>
          </w:p>
        </w:tc>
        <w:tc>
          <w:tcPr>
            <w:tcW w:w="3354" w:type="dxa"/>
            <w:gridSpan w:val="2"/>
            <w:tcBorders>
              <w:left w:val="single" w:color="auto" w:sz="4" w:space="0"/>
              <w:right w:val="single" w:color="auto" w:sz="4" w:space="0"/>
            </w:tcBorders>
            <w:shd w:val="clear" w:color="auto" w:fill="auto"/>
            <w:noWrap w:val="0"/>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hAnsi="宋体"/>
                <w:kern w:val="0"/>
                <w:sz w:val="18"/>
                <w:szCs w:val="18"/>
              </w:rPr>
              <w:t>机械化、袋收尘</w:t>
            </w:r>
          </w:p>
        </w:tc>
        <w:tc>
          <w:tcPr>
            <w:tcW w:w="1885" w:type="dxa"/>
            <w:tcBorders>
              <w:left w:val="single" w:color="auto" w:sz="4" w:space="0"/>
            </w:tcBorders>
            <w:shd w:val="clear" w:color="auto" w:fill="auto"/>
            <w:noWrap w:val="0"/>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hAnsi="宋体"/>
                <w:kern w:val="0"/>
                <w:sz w:val="18"/>
                <w:szCs w:val="18"/>
              </w:rPr>
              <w:t>半机械化，袋收尘</w:t>
            </w:r>
          </w:p>
        </w:tc>
        <w:tc>
          <w:tcPr>
            <w:tcW w:w="1479" w:type="dxa"/>
            <w:gridSpan w:val="2"/>
            <w:shd w:val="clear" w:color="auto" w:fill="auto"/>
            <w:noWrap w:val="0"/>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机械化、袋收尘</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102" w:hRule="atLeast"/>
          <w:jc w:val="center"/>
        </w:trPr>
        <w:tc>
          <w:tcPr>
            <w:tcW w:w="1145" w:type="dxa"/>
            <w:vMerge w:val="continue"/>
            <w:shd w:val="clear" w:color="auto" w:fill="auto"/>
            <w:noWrap w:val="0"/>
            <w:vAlign w:val="center"/>
          </w:tcPr>
          <w:p>
            <w:pPr>
              <w:autoSpaceDE w:val="0"/>
              <w:autoSpaceDN w:val="0"/>
              <w:adjustRightInd w:val="0"/>
              <w:spacing w:after="60"/>
              <w:ind w:firstLine="400"/>
              <w:jc w:val="center"/>
              <w:rPr>
                <w:rFonts w:hint="eastAsia" w:ascii="宋体" w:cs="宋体"/>
                <w:kern w:val="0"/>
                <w:sz w:val="18"/>
                <w:szCs w:val="18"/>
              </w:rPr>
            </w:pPr>
          </w:p>
        </w:tc>
        <w:tc>
          <w:tcPr>
            <w:tcW w:w="717" w:type="dxa"/>
            <w:tcBorders>
              <w:right w:val="single" w:color="auto" w:sz="4" w:space="0"/>
            </w:tcBorders>
            <w:shd w:val="clear" w:color="auto" w:fill="auto"/>
            <w:noWrap w:val="0"/>
            <w:vAlign w:val="center"/>
          </w:tcPr>
          <w:p>
            <w:pPr>
              <w:widowControl/>
              <w:adjustRightInd w:val="0"/>
              <w:snapToGrid w:val="0"/>
              <w:spacing w:after="60" w:line="240" w:lineRule="atLeast"/>
              <w:rPr>
                <w:rFonts w:hint="eastAsia" w:ascii="宋体" w:hAnsi="宋体"/>
                <w:kern w:val="0"/>
                <w:sz w:val="18"/>
                <w:szCs w:val="18"/>
              </w:rPr>
            </w:pPr>
            <w:r>
              <w:rPr>
                <w:rFonts w:hint="eastAsia" w:ascii="宋体" w:hAnsi="宋体"/>
                <w:kern w:val="0"/>
                <w:sz w:val="18"/>
                <w:szCs w:val="18"/>
              </w:rPr>
              <w:t>破包率/%</w:t>
            </w:r>
          </w:p>
        </w:tc>
        <w:tc>
          <w:tcPr>
            <w:tcW w:w="1840" w:type="dxa"/>
            <w:tcBorders>
              <w:left w:val="single" w:color="auto" w:sz="4" w:space="0"/>
              <w:right w:val="single" w:color="auto" w:sz="4" w:space="0"/>
            </w:tcBorders>
            <w:shd w:val="clear" w:color="auto" w:fill="auto"/>
            <w:noWrap w:val="0"/>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w:t>
            </w:r>
            <w:r>
              <w:rPr>
                <w:rFonts w:ascii="宋体" w:cs="宋体"/>
                <w:kern w:val="0"/>
                <w:sz w:val="18"/>
                <w:szCs w:val="18"/>
              </w:rPr>
              <w:t xml:space="preserve"> 1</w:t>
            </w:r>
          </w:p>
        </w:tc>
        <w:tc>
          <w:tcPr>
            <w:tcW w:w="1514" w:type="dxa"/>
            <w:tcBorders>
              <w:left w:val="single" w:color="auto" w:sz="4" w:space="0"/>
              <w:right w:val="single" w:color="auto" w:sz="4" w:space="0"/>
            </w:tcBorders>
            <w:shd w:val="clear" w:color="auto" w:fill="auto"/>
            <w:noWrap w:val="0"/>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≤2</w:t>
            </w:r>
          </w:p>
        </w:tc>
        <w:tc>
          <w:tcPr>
            <w:tcW w:w="1885" w:type="dxa"/>
            <w:tcBorders>
              <w:left w:val="single" w:color="auto" w:sz="4" w:space="0"/>
            </w:tcBorders>
            <w:shd w:val="clear" w:color="auto" w:fill="auto"/>
            <w:noWrap w:val="0"/>
            <w:vAlign w:val="center"/>
          </w:tcPr>
          <w:p>
            <w:pPr>
              <w:widowControl/>
              <w:adjustRightInd w:val="0"/>
              <w:snapToGrid w:val="0"/>
              <w:spacing w:after="60" w:line="240" w:lineRule="atLeast"/>
              <w:jc w:val="center"/>
              <w:rPr>
                <w:rFonts w:hint="eastAsia" w:ascii="宋体" w:hAnsi="宋体"/>
                <w:kern w:val="0"/>
                <w:sz w:val="18"/>
                <w:szCs w:val="18"/>
              </w:rPr>
            </w:pPr>
            <w:r>
              <w:rPr>
                <w:rFonts w:hint="eastAsia" w:ascii="宋体" w:cs="宋体"/>
                <w:kern w:val="0"/>
                <w:sz w:val="18"/>
                <w:szCs w:val="18"/>
              </w:rPr>
              <w:t>≤3</w:t>
            </w:r>
          </w:p>
        </w:tc>
        <w:tc>
          <w:tcPr>
            <w:tcW w:w="1479" w:type="dxa"/>
            <w:gridSpan w:val="2"/>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w:t>
            </w:r>
            <w:r>
              <w:rPr>
                <w:rFonts w:ascii="宋体" w:cs="宋体"/>
                <w:kern w:val="0"/>
                <w:sz w:val="18"/>
                <w:szCs w:val="18"/>
              </w:rPr>
              <w:t xml:space="preserve"> 1</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gridAfter w:val="1"/>
          <w:wAfter w:w="10" w:type="dxa"/>
          <w:trHeight w:val="977" w:hRule="atLeast"/>
          <w:jc w:val="center"/>
        </w:trPr>
        <w:tc>
          <w:tcPr>
            <w:tcW w:w="1862" w:type="dxa"/>
            <w:gridSpan w:val="2"/>
            <w:shd w:val="clear" w:color="auto" w:fill="auto"/>
            <w:noWrap w:val="0"/>
            <w:vAlign w:val="center"/>
          </w:tcPr>
          <w:p>
            <w:pPr>
              <w:autoSpaceDE w:val="0"/>
              <w:autoSpaceDN w:val="0"/>
              <w:adjustRightInd w:val="0"/>
              <w:spacing w:after="60"/>
              <w:ind w:firstLine="400"/>
              <w:jc w:val="center"/>
              <w:rPr>
                <w:rFonts w:hint="eastAsia" w:ascii="宋体" w:cs="宋体"/>
                <w:kern w:val="0"/>
                <w:sz w:val="20"/>
                <w:szCs w:val="20"/>
              </w:rPr>
            </w:pPr>
            <w:r>
              <w:rPr>
                <w:rFonts w:hint="eastAsia" w:ascii="宋体" w:cs="宋体"/>
                <w:kern w:val="0"/>
                <w:sz w:val="20"/>
                <w:szCs w:val="20"/>
              </w:rPr>
              <w:t>11.装卸及运输</w:t>
            </w:r>
          </w:p>
        </w:tc>
        <w:tc>
          <w:tcPr>
            <w:tcW w:w="3354" w:type="dxa"/>
            <w:gridSpan w:val="2"/>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机械化装卸与输送；装卸过程采取有效措施防止扬尘；运输中全部封闭或覆盖。散装采用专用散装罐车（包括火车及汽车）运输</w:t>
            </w:r>
          </w:p>
        </w:tc>
        <w:tc>
          <w:tcPr>
            <w:tcW w:w="1885" w:type="dxa"/>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半机械化或人工装卸与输送；装卸过程应采取有效措施防止扬尘；运输中全部封闭或覆盖。散装应采用专用散装罐车（包括火车及汽车）运输</w:t>
            </w:r>
          </w:p>
        </w:tc>
        <w:tc>
          <w:tcPr>
            <w:tcW w:w="1479" w:type="dxa"/>
            <w:gridSpan w:val="2"/>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hint="eastAsia" w:ascii="宋体" w:hAnsi="宋体"/>
                <w:kern w:val="0"/>
                <w:sz w:val="18"/>
                <w:szCs w:val="18"/>
              </w:rPr>
            </w:pPr>
            <w:r>
              <w:rPr>
                <w:rFonts w:hint="eastAsia" w:ascii="宋体" w:cs="宋体"/>
                <w:kern w:val="0"/>
                <w:sz w:val="18"/>
                <w:szCs w:val="18"/>
              </w:rPr>
              <w:t>机械化装卸与输送；装卸过程采取措施防止扬尘；运输中全部封闭或散装罐车运输</w:t>
            </w:r>
          </w:p>
        </w:tc>
        <w:tc>
          <w:tcPr>
            <w:tcW w:w="1179" w:type="dxa"/>
            <w:gridSpan w:val="2"/>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kern w:val="0"/>
                <w:sz w:val="18"/>
                <w:szCs w:val="18"/>
              </w:rPr>
              <w:t>一级</w:t>
            </w:r>
          </w:p>
        </w:tc>
      </w:tr>
    </w:tbl>
    <w:p>
      <w:pPr>
        <w:pStyle w:val="11"/>
        <w:spacing w:line="360" w:lineRule="auto"/>
        <w:ind w:firstLine="480" w:firstLineChars="200"/>
        <w:rPr>
          <w:rFonts w:hint="eastAsia" w:ascii="Times New Roman" w:hAnsi="Times New Roman"/>
          <w:sz w:val="24"/>
          <w:szCs w:val="24"/>
        </w:rPr>
      </w:pPr>
    </w:p>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ascii="宋体" w:hAnsi="宋体"/>
        </w:rPr>
      </w:pPr>
      <w:r>
        <w:rPr>
          <w:rFonts w:hint="eastAsia" w:ascii="宋体" w:hAnsi="宋体"/>
        </w:rPr>
        <w:t>（2）资源能源利用指标</w:t>
      </w:r>
    </w:p>
    <w:p>
      <w:pPr>
        <w:autoSpaceDE w:val="0"/>
        <w:autoSpaceDN w:val="0"/>
        <w:adjustRightInd w:val="0"/>
        <w:snapToGrid w:val="0"/>
        <w:spacing w:line="348" w:lineRule="auto"/>
        <w:ind w:firstLine="420" w:firstLineChars="200"/>
        <w:rPr>
          <w:rFonts w:hint="eastAsia" w:ascii="宋体" w:hAnsi="宋体"/>
        </w:rPr>
      </w:pPr>
      <w:r>
        <w:rPr>
          <w:rFonts w:hint="eastAsia" w:ascii="宋体" w:hAnsi="宋体"/>
        </w:rPr>
        <w:t>技改项目</w:t>
      </w:r>
      <w:r>
        <w:rPr>
          <w:rFonts w:ascii="宋体" w:hAnsi="宋体"/>
        </w:rPr>
        <w:t xml:space="preserve">资源能源利用指标与《清洁生产标准 </w:t>
      </w:r>
      <w:r>
        <w:rPr>
          <w:rFonts w:hint="eastAsia" w:ascii="宋体" w:hAnsi="宋体"/>
        </w:rPr>
        <w:t>水泥工</w:t>
      </w:r>
      <w:r>
        <w:rPr>
          <w:rFonts w:ascii="宋体" w:hAnsi="宋体"/>
        </w:rPr>
        <w:t>业》HJ</w:t>
      </w:r>
      <w:r>
        <w:rPr>
          <w:rFonts w:hint="eastAsia" w:ascii="宋体" w:hAnsi="宋体"/>
        </w:rPr>
        <w:t xml:space="preserve"> 467</w:t>
      </w:r>
      <w:r>
        <w:rPr>
          <w:rFonts w:ascii="宋体" w:hAnsi="宋体"/>
        </w:rPr>
        <w:t>－200</w:t>
      </w:r>
      <w:r>
        <w:rPr>
          <w:rFonts w:hint="eastAsia" w:ascii="宋体" w:hAnsi="宋体"/>
        </w:rPr>
        <w:t>9</w:t>
      </w:r>
      <w:r>
        <w:rPr>
          <w:rFonts w:ascii="宋体" w:hAnsi="宋体"/>
        </w:rPr>
        <w:t>的比较结果见表</w:t>
      </w:r>
      <w:r>
        <w:rPr>
          <w:rFonts w:hint="eastAsia" w:ascii="宋体" w:hAnsi="宋体"/>
        </w:rPr>
        <w:t>4</w:t>
      </w:r>
      <w:r>
        <w:rPr>
          <w:rFonts w:ascii="宋体" w:hAnsi="宋体"/>
        </w:rPr>
        <w:t>－2。</w:t>
      </w:r>
    </w:p>
    <w:p>
      <w:pPr>
        <w:autoSpaceDE w:val="0"/>
        <w:autoSpaceDN w:val="0"/>
        <w:adjustRightInd w:val="0"/>
        <w:snapToGrid w:val="0"/>
        <w:spacing w:line="348" w:lineRule="auto"/>
        <w:ind w:leftChars="-2" w:hanging="4" w:hangingChars="2"/>
        <w:jc w:val="center"/>
        <w:rPr>
          <w:rFonts w:hint="eastAsia"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2  资源能源</w:t>
      </w:r>
      <w:r>
        <w:rPr>
          <w:rFonts w:hAnsi="宋体"/>
          <w:b/>
          <w:kern w:val="28"/>
        </w:rPr>
        <w:t>指标与清洁生产标准对照评价</w:t>
      </w:r>
    </w:p>
    <w:tbl>
      <w:tblPr>
        <w:tblStyle w:val="22"/>
        <w:tblW w:w="883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57"/>
        <w:gridCol w:w="1313"/>
        <w:gridCol w:w="1313"/>
        <w:gridCol w:w="1313"/>
        <w:gridCol w:w="153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7" w:hRule="atLeast"/>
          <w:jc w:val="center"/>
        </w:trPr>
        <w:tc>
          <w:tcPr>
            <w:tcW w:w="3357"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1313"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313" w:type="dxa"/>
            <w:tcBorders>
              <w:bottom w:val="single" w:color="000000" w:sz="12" w:space="0"/>
              <w:right w:val="single" w:color="auto" w:sz="6"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313" w:type="dxa"/>
            <w:tcBorders>
              <w:left w:val="single" w:color="auto" w:sz="6" w:space="0"/>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537" w:type="dxa"/>
            <w:tcBorders>
              <w:bottom w:val="single" w:color="000000" w:sz="12" w:space="0"/>
            </w:tcBorders>
            <w:shd w:val="clear" w:color="auto" w:fill="auto"/>
            <w:noWrap w:val="0"/>
            <w:vAlign w:val="center"/>
          </w:tcPr>
          <w:p>
            <w:pPr>
              <w:adjustRightInd w:val="0"/>
              <w:snapToGrid w:val="0"/>
              <w:spacing w:after="60" w:line="240" w:lineRule="atLeast"/>
              <w:ind w:firstLine="360"/>
              <w:jc w:val="center"/>
              <w:rPr>
                <w:rFonts w:hint="eastAsia"/>
                <w:kern w:val="0"/>
                <w:sz w:val="18"/>
                <w:szCs w:val="18"/>
              </w:rPr>
            </w:pPr>
            <w:r>
              <w:rPr>
                <w:rFonts w:hint="eastAsia" w:hAnsi="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1.</w:t>
            </w:r>
            <w:r>
              <w:rPr>
                <w:rFonts w:hAnsi="宋体"/>
                <w:kern w:val="0"/>
                <w:sz w:val="18"/>
                <w:szCs w:val="18"/>
              </w:rPr>
              <w:t>可比熟料综合煤耗（折标煤）</w:t>
            </w:r>
            <w:r>
              <w:rPr>
                <w:kern w:val="0"/>
                <w:sz w:val="18"/>
                <w:szCs w:val="18"/>
              </w:rPr>
              <w:t>/(kg/t)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106</w:t>
            </w:r>
          </w:p>
        </w:tc>
        <w:tc>
          <w:tcPr>
            <w:tcW w:w="1313" w:type="dxa"/>
            <w:tcBorders>
              <w:right w:val="single" w:color="auto" w:sz="6" w:space="0"/>
            </w:tcBorders>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115</w:t>
            </w:r>
          </w:p>
        </w:tc>
        <w:tc>
          <w:tcPr>
            <w:tcW w:w="1313" w:type="dxa"/>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120</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107</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 xml:space="preserve">2. </w:t>
            </w:r>
            <w:r>
              <w:rPr>
                <w:rFonts w:hAnsi="宋体"/>
                <w:kern w:val="0"/>
                <w:sz w:val="18"/>
                <w:szCs w:val="18"/>
              </w:rPr>
              <w:t>可比熟料综合能耗（折标煤）</w:t>
            </w:r>
            <w:r>
              <w:rPr>
                <w:kern w:val="0"/>
                <w:sz w:val="18"/>
                <w:szCs w:val="18"/>
              </w:rPr>
              <w:t>/(kg/t)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114</w:t>
            </w:r>
          </w:p>
        </w:tc>
        <w:tc>
          <w:tcPr>
            <w:tcW w:w="1313" w:type="dxa"/>
            <w:tcBorders>
              <w:right w:val="single" w:color="auto" w:sz="6" w:space="0"/>
            </w:tcBorders>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w:t>
            </w:r>
            <w:r>
              <w:rPr>
                <w:rFonts w:ascii="宋体" w:hAnsi="宋体"/>
                <w:kern w:val="0"/>
                <w:sz w:val="18"/>
                <w:szCs w:val="18"/>
              </w:rPr>
              <w:t>123</w:t>
            </w:r>
          </w:p>
        </w:tc>
        <w:tc>
          <w:tcPr>
            <w:tcW w:w="1313" w:type="dxa"/>
            <w:tcBorders>
              <w:left w:val="single" w:color="auto" w:sz="6" w:space="0"/>
            </w:tcBorders>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sz w:val="18"/>
                <w:szCs w:val="18"/>
              </w:rPr>
              <w:t>≤134</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115</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adjustRightInd w:val="0"/>
              <w:snapToGrid w:val="0"/>
              <w:spacing w:after="60" w:line="240" w:lineRule="atLeast"/>
              <w:ind w:firstLine="360"/>
              <w:jc w:val="center"/>
              <w:rPr>
                <w:sz w:val="18"/>
                <w:szCs w:val="18"/>
              </w:rPr>
            </w:pPr>
            <w:r>
              <w:rPr>
                <w:sz w:val="18"/>
                <w:szCs w:val="18"/>
              </w:rPr>
              <w:t>3.</w:t>
            </w:r>
            <w:r>
              <w:rPr>
                <w:rFonts w:hAnsi="宋体"/>
                <w:kern w:val="0"/>
                <w:sz w:val="18"/>
                <w:szCs w:val="18"/>
              </w:rPr>
              <w:t>可比水泥综合能耗（折标煤）</w:t>
            </w:r>
            <w:r>
              <w:rPr>
                <w:kern w:val="0"/>
                <w:sz w:val="18"/>
                <w:szCs w:val="18"/>
              </w:rPr>
              <w:t>/(kg/t)</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≤93</w:t>
            </w:r>
          </w:p>
        </w:tc>
        <w:tc>
          <w:tcPr>
            <w:tcW w:w="1313" w:type="dxa"/>
            <w:tcBorders>
              <w:right w:val="single" w:color="auto" w:sz="6" w:space="0"/>
            </w:tcBorders>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≤100</w:t>
            </w:r>
          </w:p>
        </w:tc>
        <w:tc>
          <w:tcPr>
            <w:tcW w:w="1313" w:type="dxa"/>
            <w:tcBorders>
              <w:left w:val="single" w:color="auto" w:sz="6" w:space="0"/>
            </w:tcBorders>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≤110</w:t>
            </w:r>
          </w:p>
        </w:tc>
        <w:tc>
          <w:tcPr>
            <w:tcW w:w="1537" w:type="dxa"/>
            <w:shd w:val="clear" w:color="auto" w:fill="auto"/>
            <w:noWrap w:val="0"/>
            <w:vAlign w:val="center"/>
          </w:tcPr>
          <w:p>
            <w:pPr>
              <w:adjustRightInd w:val="0"/>
              <w:snapToGrid w:val="0"/>
              <w:spacing w:after="60" w:line="240" w:lineRule="atLeast"/>
              <w:ind w:firstLine="360"/>
              <w:jc w:val="center"/>
              <w:rPr>
                <w:sz w:val="18"/>
                <w:szCs w:val="18"/>
              </w:rPr>
            </w:pPr>
            <w:r>
              <w:rPr>
                <w:rFonts w:hint="eastAsia"/>
                <w:sz w:val="18"/>
                <w:szCs w:val="18"/>
              </w:rPr>
              <w:t>95</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6" w:hRule="atLeast"/>
          <w:jc w:val="center"/>
        </w:trPr>
        <w:tc>
          <w:tcPr>
            <w:tcW w:w="3357" w:type="dxa"/>
            <w:shd w:val="clear" w:color="auto" w:fill="auto"/>
            <w:noWrap w:val="0"/>
            <w:vAlign w:val="center"/>
          </w:tcPr>
          <w:p>
            <w:pPr>
              <w:adjustRightInd w:val="0"/>
              <w:snapToGrid w:val="0"/>
              <w:spacing w:after="60" w:line="240" w:lineRule="atLeast"/>
              <w:ind w:firstLine="360"/>
              <w:jc w:val="center"/>
              <w:rPr>
                <w:sz w:val="18"/>
                <w:szCs w:val="18"/>
              </w:rPr>
            </w:pPr>
            <w:r>
              <w:rPr>
                <w:sz w:val="18"/>
                <w:szCs w:val="18"/>
              </w:rPr>
              <w:t>4.</w:t>
            </w:r>
            <w:r>
              <w:rPr>
                <w:rFonts w:hAnsi="宋体"/>
                <w:kern w:val="0"/>
                <w:sz w:val="18"/>
                <w:szCs w:val="18"/>
              </w:rPr>
              <w:t>可比熟料综合电耗</w:t>
            </w:r>
            <w:r>
              <w:rPr>
                <w:kern w:val="0"/>
                <w:sz w:val="18"/>
                <w:szCs w:val="18"/>
              </w:rPr>
              <w:t>/[(kW•h)/t]</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≤62</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≤65</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≤73</w:t>
            </w:r>
          </w:p>
        </w:tc>
        <w:tc>
          <w:tcPr>
            <w:tcW w:w="1537" w:type="dxa"/>
            <w:shd w:val="clear" w:color="auto" w:fill="auto"/>
            <w:noWrap w:val="0"/>
            <w:vAlign w:val="center"/>
          </w:tcPr>
          <w:p>
            <w:pPr>
              <w:adjustRightInd w:val="0"/>
              <w:snapToGrid w:val="0"/>
              <w:spacing w:after="60" w:line="240" w:lineRule="atLeast"/>
              <w:ind w:firstLine="360"/>
              <w:jc w:val="center"/>
              <w:rPr>
                <w:sz w:val="18"/>
                <w:szCs w:val="18"/>
              </w:rPr>
            </w:pPr>
            <w:r>
              <w:rPr>
                <w:rFonts w:hint="eastAsia"/>
                <w:sz w:val="18"/>
                <w:szCs w:val="18"/>
              </w:rPr>
              <w:t>57.8</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 xml:space="preserve">5. </w:t>
            </w:r>
            <w:r>
              <w:rPr>
                <w:rFonts w:hAnsi="宋体"/>
                <w:kern w:val="0"/>
                <w:sz w:val="18"/>
                <w:szCs w:val="18"/>
              </w:rPr>
              <w:t>可比水泥综合电耗</w:t>
            </w:r>
            <w:r>
              <w:rPr>
                <w:kern w:val="0"/>
                <w:sz w:val="18"/>
                <w:szCs w:val="18"/>
              </w:rPr>
              <w:t>/[(kW•h)/t]</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≤90</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≤100</w:t>
            </w:r>
          </w:p>
        </w:tc>
        <w:tc>
          <w:tcPr>
            <w:tcW w:w="1313" w:type="dxa"/>
            <w:shd w:val="clear" w:color="auto" w:fill="auto"/>
            <w:noWrap w:val="0"/>
            <w:vAlign w:val="center"/>
          </w:tcPr>
          <w:p>
            <w:pPr>
              <w:adjustRightInd w:val="0"/>
              <w:snapToGrid w:val="0"/>
              <w:spacing w:after="60" w:line="240" w:lineRule="atLeast"/>
              <w:ind w:firstLine="360"/>
              <w:jc w:val="center"/>
              <w:rPr>
                <w:rFonts w:ascii="宋体" w:hAnsi="宋体"/>
                <w:sz w:val="18"/>
                <w:szCs w:val="18"/>
              </w:rPr>
            </w:pPr>
            <w:r>
              <w:rPr>
                <w:rFonts w:ascii="宋体" w:hAnsi="宋体"/>
                <w:sz w:val="18"/>
                <w:szCs w:val="18"/>
              </w:rPr>
              <w:t>≤115</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91</w:t>
            </w:r>
            <w:r>
              <w:rPr>
                <w:kern w:val="0"/>
                <w:sz w:val="18"/>
                <w:szCs w:val="18"/>
              </w:rPr>
              <w:t>(</w:t>
            </w:r>
            <w:r>
              <w:rPr>
                <w:rFonts w:hint="eastAsia" w:hAnsi="宋体"/>
                <w:kern w:val="0"/>
                <w:sz w:val="18"/>
                <w:szCs w:val="18"/>
              </w:rPr>
              <w:t>二</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6.</w:t>
            </w:r>
            <w:r>
              <w:rPr>
                <w:rFonts w:hAnsi="宋体"/>
                <w:kern w:val="0"/>
                <w:sz w:val="18"/>
                <w:szCs w:val="18"/>
              </w:rPr>
              <w:t>单位熟料新鲜水用量</w:t>
            </w:r>
            <w:r>
              <w:rPr>
                <w:kern w:val="0"/>
                <w:sz w:val="18"/>
                <w:szCs w:val="18"/>
              </w:rPr>
              <w:t>/(t/t)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≤0.3</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≤0.5</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≤0.75</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0.</w:t>
            </w:r>
            <w:r>
              <w:rPr>
                <w:rFonts w:hint="eastAsia"/>
                <w:kern w:val="0"/>
                <w:sz w:val="18"/>
                <w:szCs w:val="18"/>
              </w:rPr>
              <w:t>29</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7.</w:t>
            </w:r>
            <w:r>
              <w:rPr>
                <w:rFonts w:hAnsi="宋体"/>
                <w:kern w:val="0"/>
                <w:sz w:val="18"/>
                <w:szCs w:val="18"/>
              </w:rPr>
              <w:t>循环水利用率</w:t>
            </w:r>
            <w:r>
              <w:rPr>
                <w:kern w:val="0"/>
                <w:sz w:val="18"/>
                <w:szCs w:val="18"/>
              </w:rPr>
              <w: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≥95</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≥90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≥85</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96.4</w:t>
            </w:r>
            <w:r>
              <w:rPr>
                <w:kern w:val="0"/>
                <w:sz w:val="18"/>
                <w:szCs w:val="18"/>
              </w:rPr>
              <w:t>(</w:t>
            </w:r>
            <w:r>
              <w:rPr>
                <w:rFonts w:hAnsi="宋体"/>
                <w:kern w:val="0"/>
                <w:sz w:val="18"/>
                <w:szCs w:val="18"/>
              </w:rPr>
              <w:t>一级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8.</w:t>
            </w:r>
            <w:r>
              <w:rPr>
                <w:rFonts w:hAnsi="宋体"/>
                <w:kern w:val="0"/>
                <w:sz w:val="18"/>
                <w:szCs w:val="18"/>
              </w:rPr>
              <w:t>水泥散装率</w:t>
            </w:r>
            <w:r>
              <w:rPr>
                <w:kern w:val="0"/>
                <w:sz w:val="18"/>
                <w:szCs w:val="18"/>
              </w:rPr>
              <w: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≥70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≥40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≥30</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70(</w:t>
            </w:r>
            <w:r>
              <w:rPr>
                <w:rFonts w:hAnsi="宋体"/>
                <w:kern w:val="0"/>
                <w:sz w:val="18"/>
                <w:szCs w:val="18"/>
              </w:rPr>
              <w:t>一级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9.</w:t>
            </w:r>
            <w:r>
              <w:rPr>
                <w:rFonts w:hAnsi="宋体"/>
                <w:kern w:val="0"/>
                <w:sz w:val="18"/>
                <w:szCs w:val="18"/>
              </w:rPr>
              <w:t>原料配料中使用工业废物</w:t>
            </w:r>
            <w:r>
              <w:rPr>
                <w:kern w:val="0"/>
                <w:sz w:val="18"/>
                <w:szCs w:val="18"/>
              </w:rPr>
              <w: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≥15</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≥10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≥5</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22.67</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5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kern w:val="0"/>
                <w:sz w:val="18"/>
                <w:szCs w:val="18"/>
              </w:rPr>
              <w:t>10.</w:t>
            </w:r>
            <w:r>
              <w:rPr>
                <w:rFonts w:hAnsi="宋体"/>
                <w:kern w:val="0"/>
                <w:sz w:val="18"/>
                <w:szCs w:val="18"/>
              </w:rPr>
              <w:t>窑系统废气余热利用率</w:t>
            </w:r>
            <w:r>
              <w:rPr>
                <w:kern w:val="0"/>
                <w:sz w:val="18"/>
                <w:szCs w:val="18"/>
              </w:rPr>
              <w:t>/%</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≥70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≥50</w:t>
            </w:r>
          </w:p>
        </w:tc>
        <w:tc>
          <w:tcPr>
            <w:tcW w:w="1313" w:type="dxa"/>
            <w:shd w:val="clear" w:color="auto" w:fill="auto"/>
            <w:noWrap w:val="0"/>
            <w:vAlign w:val="center"/>
          </w:tcPr>
          <w:p>
            <w:pPr>
              <w:widowControl/>
              <w:adjustRightInd w:val="0"/>
              <w:snapToGrid w:val="0"/>
              <w:spacing w:after="60" w:line="240" w:lineRule="atLeast"/>
              <w:ind w:firstLine="360"/>
              <w:jc w:val="center"/>
              <w:rPr>
                <w:rFonts w:ascii="宋体" w:hAnsi="宋体"/>
                <w:kern w:val="0"/>
                <w:sz w:val="18"/>
                <w:szCs w:val="18"/>
              </w:rPr>
            </w:pPr>
            <w:r>
              <w:rPr>
                <w:rFonts w:ascii="宋体" w:hAnsi="宋体"/>
                <w:kern w:val="0"/>
                <w:sz w:val="18"/>
                <w:szCs w:val="18"/>
              </w:rPr>
              <w:t>≥30</w:t>
            </w:r>
          </w:p>
        </w:tc>
        <w:tc>
          <w:tcPr>
            <w:tcW w:w="153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kern w:val="0"/>
                <w:sz w:val="18"/>
                <w:szCs w:val="18"/>
              </w:rPr>
              <w:t>70</w:t>
            </w:r>
            <w:r>
              <w:rPr>
                <w:kern w:val="0"/>
                <w:sz w:val="18"/>
                <w:szCs w:val="18"/>
              </w:rPr>
              <w:t>(</w:t>
            </w:r>
            <w:r>
              <w:rPr>
                <w:rFonts w:hint="eastAsia" w:hAnsi="宋体"/>
                <w:kern w:val="0"/>
                <w:sz w:val="18"/>
                <w:szCs w:val="18"/>
              </w:rPr>
              <w:t>一</w:t>
            </w:r>
            <w:r>
              <w:rPr>
                <w:rFonts w:hAnsi="宋体"/>
                <w:kern w:val="0"/>
                <w:sz w:val="18"/>
                <w:szCs w:val="18"/>
              </w:rPr>
              <w:t>级</w:t>
            </w:r>
            <w:r>
              <w:rPr>
                <w:kern w:val="0"/>
                <w:sz w:val="18"/>
                <w:szCs w:val="18"/>
              </w:rPr>
              <w:t>)</w:t>
            </w:r>
          </w:p>
        </w:tc>
      </w:tr>
    </w:tbl>
    <w:p>
      <w:pPr>
        <w:autoSpaceDE w:val="0"/>
        <w:autoSpaceDN w:val="0"/>
        <w:adjustRightInd w:val="0"/>
        <w:snapToGrid w:val="0"/>
        <w:spacing w:line="348" w:lineRule="auto"/>
        <w:ind w:firstLine="420" w:firstLineChars="200"/>
        <w:jc w:val="left"/>
        <w:rPr>
          <w:rFonts w:hint="eastAsia" w:ascii="宋体" w:hAnsi="宋体"/>
        </w:rPr>
      </w:pPr>
    </w:p>
    <w:p>
      <w:pPr>
        <w:autoSpaceDE w:val="0"/>
        <w:autoSpaceDN w:val="0"/>
        <w:adjustRightInd w:val="0"/>
        <w:snapToGrid w:val="0"/>
        <w:spacing w:line="348" w:lineRule="auto"/>
        <w:ind w:firstLine="420" w:firstLineChars="200"/>
        <w:jc w:val="left"/>
        <w:rPr>
          <w:rFonts w:hint="eastAsia" w:ascii="宋体" w:hAnsi="宋体"/>
        </w:rPr>
      </w:pPr>
      <w:r>
        <w:rPr>
          <w:rFonts w:ascii="宋体" w:hAnsi="宋体"/>
        </w:rPr>
        <w:t>由表</w:t>
      </w:r>
      <w:r>
        <w:rPr>
          <w:rFonts w:hint="eastAsia" w:ascii="宋体" w:hAnsi="宋体"/>
        </w:rPr>
        <w:t>4</w:t>
      </w:r>
      <w:r>
        <w:rPr>
          <w:rFonts w:ascii="宋体" w:hAnsi="宋体"/>
        </w:rPr>
        <w:t>－</w:t>
      </w:r>
      <w:r>
        <w:rPr>
          <w:rFonts w:hint="eastAsia" w:ascii="宋体" w:hAnsi="宋体"/>
        </w:rPr>
        <w:t>2</w:t>
      </w:r>
      <w:r>
        <w:rPr>
          <w:rFonts w:ascii="宋体" w:hAnsi="宋体"/>
        </w:rPr>
        <w:t>可知，</w:t>
      </w:r>
      <w:r>
        <w:rPr>
          <w:rFonts w:hint="eastAsia" w:ascii="宋体" w:hAnsi="宋体"/>
        </w:rPr>
        <w:t>技改项目可比熟料综合电耗、单位熟料新鲜水用量、循环水利用率、水泥散装率、窑系统废气余热利用率和原料配料中使用工业废物均达到清洁生产</w:t>
      </w:r>
      <w:bookmarkStart w:id="195" w:name="OLE_LINK14"/>
      <w:r>
        <w:rPr>
          <w:rFonts w:hint="eastAsia" w:ascii="宋体" w:hAnsi="宋体"/>
        </w:rPr>
        <w:t>一级标准</w:t>
      </w:r>
      <w:bookmarkEnd w:id="195"/>
      <w:r>
        <w:rPr>
          <w:rFonts w:hint="eastAsia" w:ascii="宋体" w:hAnsi="宋体"/>
        </w:rPr>
        <w:t>，可比熟料综合煤耗、可比熟料综合能耗、可比水泥综合能耗、可比水泥综合电耗均达到清洁生产二级标准，总体资源能源消耗较低。</w:t>
      </w:r>
    </w:p>
    <w:p>
      <w:pPr>
        <w:autoSpaceDE w:val="0"/>
        <w:autoSpaceDN w:val="0"/>
        <w:adjustRightInd w:val="0"/>
        <w:snapToGrid w:val="0"/>
        <w:spacing w:line="348" w:lineRule="auto"/>
        <w:ind w:firstLine="420" w:firstLineChars="200"/>
        <w:jc w:val="left"/>
        <w:rPr>
          <w:rFonts w:ascii="宋体" w:hAnsi="宋体"/>
        </w:rPr>
      </w:pPr>
      <w:r>
        <w:rPr>
          <w:rFonts w:hint="eastAsia" w:ascii="宋体" w:hAnsi="宋体"/>
        </w:rPr>
        <w:t>（3）</w:t>
      </w:r>
      <w:r>
        <w:rPr>
          <w:rFonts w:ascii="宋体" w:hAnsi="宋体"/>
        </w:rPr>
        <w:t>产品指标</w:t>
      </w:r>
    </w:p>
    <w:p>
      <w:pPr>
        <w:autoSpaceDE w:val="0"/>
        <w:autoSpaceDN w:val="0"/>
        <w:adjustRightInd w:val="0"/>
        <w:snapToGrid w:val="0"/>
        <w:spacing w:line="348" w:lineRule="auto"/>
        <w:ind w:firstLine="420" w:firstLineChars="200"/>
        <w:rPr>
          <w:rFonts w:hint="eastAsia" w:ascii="宋体" w:hAnsi="宋体"/>
        </w:rPr>
      </w:pPr>
      <w:r>
        <w:rPr>
          <w:rFonts w:hint="eastAsia" w:ascii="宋体" w:hAnsi="宋体"/>
        </w:rPr>
        <w:t>技改项目产品</w:t>
      </w:r>
      <w:r>
        <w:rPr>
          <w:rFonts w:ascii="宋体" w:hAnsi="宋体"/>
        </w:rPr>
        <w:t xml:space="preserve">指标与《清洁生产标准 </w:t>
      </w:r>
      <w:r>
        <w:rPr>
          <w:rFonts w:hint="eastAsia" w:ascii="宋体" w:hAnsi="宋体"/>
        </w:rPr>
        <w:t>水泥工</w:t>
      </w:r>
      <w:r>
        <w:rPr>
          <w:rFonts w:ascii="宋体" w:hAnsi="宋体"/>
        </w:rPr>
        <w:t>业》HJ</w:t>
      </w:r>
      <w:r>
        <w:rPr>
          <w:rFonts w:hint="eastAsia" w:ascii="宋体" w:hAnsi="宋体"/>
        </w:rPr>
        <w:t xml:space="preserve"> 467</w:t>
      </w:r>
      <w:r>
        <w:rPr>
          <w:rFonts w:ascii="宋体" w:hAnsi="宋体"/>
        </w:rPr>
        <w:t>－200</w:t>
      </w:r>
      <w:r>
        <w:rPr>
          <w:rFonts w:hint="eastAsia" w:ascii="宋体" w:hAnsi="宋体"/>
        </w:rPr>
        <w:t>9</w:t>
      </w:r>
      <w:r>
        <w:rPr>
          <w:rFonts w:ascii="宋体" w:hAnsi="宋体"/>
        </w:rPr>
        <w:t>的比较结果见表</w:t>
      </w:r>
      <w:r>
        <w:rPr>
          <w:rFonts w:hint="eastAsia" w:ascii="宋体" w:hAnsi="宋体"/>
        </w:rPr>
        <w:t>4</w:t>
      </w:r>
      <w:r>
        <w:rPr>
          <w:rFonts w:ascii="宋体" w:hAnsi="宋体"/>
        </w:rPr>
        <w:t>－</w:t>
      </w:r>
      <w:r>
        <w:rPr>
          <w:rFonts w:hint="eastAsia" w:ascii="宋体" w:hAnsi="宋体"/>
        </w:rPr>
        <w:t>3</w:t>
      </w:r>
      <w:r>
        <w:rPr>
          <w:rFonts w:ascii="宋体" w:hAnsi="宋体"/>
        </w:rPr>
        <w:t>。</w:t>
      </w:r>
    </w:p>
    <w:p>
      <w:pPr>
        <w:autoSpaceDE w:val="0"/>
        <w:autoSpaceDN w:val="0"/>
        <w:adjustRightInd w:val="0"/>
        <w:snapToGrid w:val="0"/>
        <w:spacing w:line="348" w:lineRule="auto"/>
        <w:ind w:leftChars="-2" w:hanging="4" w:hangingChars="2"/>
        <w:jc w:val="center"/>
        <w:rPr>
          <w:rFonts w:hint="eastAsia"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3  产品指标</w:t>
      </w:r>
      <w:r>
        <w:rPr>
          <w:rFonts w:hAnsi="宋体"/>
          <w:b/>
          <w:kern w:val="28"/>
        </w:rPr>
        <w:t>与清洁生产标准对照评价</w:t>
      </w:r>
    </w:p>
    <w:tbl>
      <w:tblPr>
        <w:tblStyle w:val="22"/>
        <w:tblW w:w="889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13"/>
        <w:gridCol w:w="1943"/>
        <w:gridCol w:w="1943"/>
        <w:gridCol w:w="1945"/>
        <w:gridCol w:w="145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3" w:hRule="atLeast"/>
          <w:jc w:val="center"/>
        </w:trPr>
        <w:tc>
          <w:tcPr>
            <w:tcW w:w="1613" w:type="dxa"/>
            <w:tcBorders>
              <w:bottom w:val="single" w:color="000000" w:sz="12" w:space="0"/>
            </w:tcBorders>
            <w:shd w:val="clear" w:color="auto" w:fill="auto"/>
            <w:noWrap w:val="0"/>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清洁生产指标</w:t>
            </w:r>
          </w:p>
        </w:tc>
        <w:tc>
          <w:tcPr>
            <w:tcW w:w="1943" w:type="dxa"/>
            <w:tcBorders>
              <w:bottom w:val="single" w:color="000000" w:sz="12" w:space="0"/>
            </w:tcBorders>
            <w:shd w:val="clear" w:color="auto" w:fill="auto"/>
            <w:noWrap w:val="0"/>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一级</w:t>
            </w:r>
          </w:p>
        </w:tc>
        <w:tc>
          <w:tcPr>
            <w:tcW w:w="1943" w:type="dxa"/>
            <w:tcBorders>
              <w:bottom w:val="single" w:color="000000" w:sz="12" w:space="0"/>
            </w:tcBorders>
            <w:shd w:val="clear" w:color="auto" w:fill="auto"/>
            <w:noWrap w:val="0"/>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二级</w:t>
            </w:r>
          </w:p>
        </w:tc>
        <w:tc>
          <w:tcPr>
            <w:tcW w:w="1945" w:type="dxa"/>
            <w:tcBorders>
              <w:bottom w:val="single" w:color="000000" w:sz="12" w:space="0"/>
            </w:tcBorders>
            <w:shd w:val="clear" w:color="auto" w:fill="auto"/>
            <w:noWrap w:val="0"/>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三级</w:t>
            </w:r>
          </w:p>
        </w:tc>
        <w:tc>
          <w:tcPr>
            <w:tcW w:w="1452" w:type="dxa"/>
            <w:tcBorders>
              <w:bottom w:val="single" w:color="000000" w:sz="12" w:space="0"/>
            </w:tcBorders>
            <w:shd w:val="clear" w:color="auto" w:fill="auto"/>
            <w:noWrap w:val="0"/>
            <w:vAlign w:val="center"/>
          </w:tcPr>
          <w:p>
            <w:pPr>
              <w:spacing w:after="60"/>
              <w:ind w:firstLine="360"/>
              <w:jc w:val="center"/>
              <w:rPr>
                <w:rFonts w:ascii="宋体" w:hAnsi="宋体" w:cs="宋体"/>
                <w:kern w:val="0"/>
                <w:sz w:val="18"/>
                <w:szCs w:val="18"/>
              </w:rPr>
            </w:pPr>
            <w:r>
              <w:rPr>
                <w:rFonts w:hint="eastAsia" w:ascii="宋体" w:hAnsi="宋体" w:cs="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1613" w:type="dxa"/>
            <w:shd w:val="clear" w:color="auto" w:fill="auto"/>
            <w:noWrap w:val="0"/>
            <w:vAlign w:val="center"/>
          </w:tcPr>
          <w:p>
            <w:pPr>
              <w:autoSpaceDE w:val="0"/>
              <w:autoSpaceDN w:val="0"/>
              <w:adjustRightInd w:val="0"/>
              <w:spacing w:after="60"/>
              <w:ind w:firstLine="360"/>
              <w:jc w:val="left"/>
              <w:rPr>
                <w:rFonts w:hint="eastAsia"/>
                <w:kern w:val="0"/>
                <w:sz w:val="20"/>
                <w:szCs w:val="20"/>
              </w:rPr>
            </w:pPr>
            <w:r>
              <w:rPr>
                <w:kern w:val="0"/>
                <w:sz w:val="18"/>
                <w:szCs w:val="18"/>
              </w:rPr>
              <w:t>1</w:t>
            </w:r>
            <w:r>
              <w:rPr>
                <w:rFonts w:hint="eastAsia" w:ascii="宋体" w:cs="宋体"/>
                <w:kern w:val="0"/>
                <w:sz w:val="18"/>
                <w:szCs w:val="18"/>
              </w:rPr>
              <w:t>．质量指标</w:t>
            </w:r>
          </w:p>
        </w:tc>
        <w:tc>
          <w:tcPr>
            <w:tcW w:w="5831" w:type="dxa"/>
            <w:gridSpan w:val="3"/>
            <w:shd w:val="clear" w:color="auto" w:fill="auto"/>
            <w:noWrap w:val="0"/>
            <w:vAlign w:val="top"/>
          </w:tcPr>
          <w:p>
            <w:pPr>
              <w:autoSpaceDE w:val="0"/>
              <w:autoSpaceDN w:val="0"/>
              <w:adjustRightInd w:val="0"/>
              <w:spacing w:after="60"/>
              <w:ind w:firstLine="360"/>
              <w:jc w:val="left"/>
              <w:rPr>
                <w:kern w:val="0"/>
                <w:sz w:val="18"/>
                <w:szCs w:val="18"/>
              </w:rPr>
            </w:pPr>
            <w:r>
              <w:rPr>
                <w:rFonts w:hint="eastAsia" w:ascii="宋体" w:cs="宋体"/>
                <w:kern w:val="0"/>
                <w:sz w:val="18"/>
                <w:szCs w:val="18"/>
              </w:rPr>
              <w:t>水泥、熟料产品质量应符合</w:t>
            </w:r>
            <w:r>
              <w:rPr>
                <w:kern w:val="0"/>
                <w:sz w:val="18"/>
                <w:szCs w:val="18"/>
              </w:rPr>
              <w:t>GB175</w:t>
            </w:r>
            <w:r>
              <w:rPr>
                <w:rFonts w:hint="eastAsia" w:ascii="宋体" w:cs="宋体"/>
                <w:kern w:val="0"/>
                <w:sz w:val="18"/>
                <w:szCs w:val="18"/>
              </w:rPr>
              <w:t>、</w:t>
            </w:r>
            <w:r>
              <w:rPr>
                <w:kern w:val="0"/>
                <w:sz w:val="18"/>
                <w:szCs w:val="18"/>
              </w:rPr>
              <w:t>GB 13590</w:t>
            </w:r>
            <w:r>
              <w:rPr>
                <w:rFonts w:hint="eastAsia" w:ascii="宋体" w:cs="宋体"/>
                <w:kern w:val="0"/>
                <w:sz w:val="18"/>
                <w:szCs w:val="18"/>
              </w:rPr>
              <w:t>、</w:t>
            </w:r>
            <w:r>
              <w:rPr>
                <w:kern w:val="0"/>
                <w:sz w:val="18"/>
                <w:szCs w:val="18"/>
              </w:rPr>
              <w:t>GB/T 21372</w:t>
            </w:r>
            <w:r>
              <w:rPr>
                <w:rFonts w:hint="eastAsia" w:ascii="宋体" w:cs="宋体"/>
                <w:kern w:val="0"/>
                <w:sz w:val="18"/>
                <w:szCs w:val="18"/>
              </w:rPr>
              <w:t>、</w:t>
            </w:r>
            <w:r>
              <w:rPr>
                <w:kern w:val="0"/>
                <w:sz w:val="18"/>
                <w:szCs w:val="18"/>
              </w:rPr>
              <w:t>JC600</w:t>
            </w:r>
          </w:p>
          <w:p>
            <w:pPr>
              <w:widowControl/>
              <w:spacing w:after="60"/>
              <w:ind w:firstLine="360"/>
              <w:rPr>
                <w:rFonts w:hint="eastAsia" w:ascii="宋体" w:hAnsi="宋体" w:cs="宋体"/>
                <w:spacing w:val="-20"/>
                <w:kern w:val="0"/>
                <w:sz w:val="18"/>
                <w:szCs w:val="18"/>
              </w:rPr>
            </w:pPr>
            <w:r>
              <w:rPr>
                <w:rFonts w:hint="eastAsia" w:ascii="宋体" w:cs="宋体"/>
                <w:kern w:val="0"/>
                <w:sz w:val="18"/>
                <w:szCs w:val="18"/>
              </w:rPr>
              <w:t>和《水泥企业质量管理规程》的有关要求，产品出厂合格率，</w:t>
            </w:r>
            <w:r>
              <w:rPr>
                <w:kern w:val="0"/>
                <w:sz w:val="18"/>
                <w:szCs w:val="18"/>
              </w:rPr>
              <w:t>28</w:t>
            </w:r>
            <w:r>
              <w:rPr>
                <w:rFonts w:hint="eastAsia" w:ascii="宋体" w:cs="宋体"/>
                <w:kern w:val="0"/>
                <w:sz w:val="18"/>
                <w:szCs w:val="18"/>
              </w:rPr>
              <w:t>天抗压富余强度、袋装重量、均匀性等质量指标合格率均应达到</w:t>
            </w:r>
            <w:r>
              <w:rPr>
                <w:kern w:val="0"/>
                <w:sz w:val="18"/>
                <w:szCs w:val="18"/>
              </w:rPr>
              <w:t>100%</w:t>
            </w:r>
          </w:p>
        </w:tc>
        <w:tc>
          <w:tcPr>
            <w:tcW w:w="1452" w:type="dxa"/>
            <w:shd w:val="clear" w:color="auto" w:fill="auto"/>
            <w:noWrap w:val="0"/>
            <w:vAlign w:val="center"/>
          </w:tcPr>
          <w:p>
            <w:pPr>
              <w:widowControl/>
              <w:spacing w:after="60"/>
              <w:ind w:firstLine="360"/>
              <w:jc w:val="center"/>
              <w:rPr>
                <w:rFonts w:hint="eastAsia" w:ascii="宋体" w:hAnsi="宋体" w:cs="宋体"/>
                <w:kern w:val="0"/>
                <w:sz w:val="18"/>
                <w:szCs w:val="18"/>
              </w:rPr>
            </w:pPr>
            <w:r>
              <w:rPr>
                <w:rFonts w:hint="eastAsia" w:ascii="宋体" w:hAnsi="宋体" w:cs="宋体"/>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5" w:hRule="atLeast"/>
          <w:jc w:val="center"/>
        </w:trPr>
        <w:tc>
          <w:tcPr>
            <w:tcW w:w="1613" w:type="dxa"/>
            <w:shd w:val="clear" w:color="auto" w:fill="auto"/>
            <w:noWrap w:val="0"/>
            <w:vAlign w:val="center"/>
          </w:tcPr>
          <w:p>
            <w:pPr>
              <w:autoSpaceDE w:val="0"/>
              <w:autoSpaceDN w:val="0"/>
              <w:adjustRightInd w:val="0"/>
              <w:spacing w:after="60"/>
              <w:ind w:firstLine="360"/>
              <w:jc w:val="left"/>
              <w:rPr>
                <w:rFonts w:hint="eastAsia"/>
                <w:kern w:val="0"/>
                <w:sz w:val="20"/>
                <w:szCs w:val="20"/>
              </w:rPr>
            </w:pPr>
            <w:r>
              <w:rPr>
                <w:kern w:val="0"/>
                <w:sz w:val="18"/>
                <w:szCs w:val="18"/>
              </w:rPr>
              <w:t>2</w:t>
            </w:r>
            <w:r>
              <w:rPr>
                <w:rFonts w:hint="eastAsia" w:ascii="宋体" w:cs="宋体"/>
                <w:kern w:val="0"/>
                <w:sz w:val="18"/>
                <w:szCs w:val="18"/>
              </w:rPr>
              <w:t>．放射性</w:t>
            </w:r>
          </w:p>
        </w:tc>
        <w:tc>
          <w:tcPr>
            <w:tcW w:w="5831" w:type="dxa"/>
            <w:gridSpan w:val="3"/>
            <w:shd w:val="clear" w:color="auto" w:fill="auto"/>
            <w:noWrap w:val="0"/>
            <w:vAlign w:val="center"/>
          </w:tcPr>
          <w:p>
            <w:pPr>
              <w:autoSpaceDE w:val="0"/>
              <w:autoSpaceDN w:val="0"/>
              <w:adjustRightInd w:val="0"/>
              <w:spacing w:after="60"/>
              <w:ind w:firstLine="360"/>
              <w:jc w:val="left"/>
              <w:rPr>
                <w:rFonts w:ascii="宋体" w:cs="宋体"/>
                <w:kern w:val="0"/>
                <w:sz w:val="18"/>
                <w:szCs w:val="18"/>
              </w:rPr>
            </w:pPr>
            <w:r>
              <w:rPr>
                <w:rFonts w:hint="eastAsia" w:ascii="宋体" w:cs="宋体"/>
                <w:kern w:val="0"/>
                <w:sz w:val="18"/>
                <w:szCs w:val="18"/>
              </w:rPr>
              <w:t>对用于</w:t>
            </w:r>
            <w:r>
              <w:rPr>
                <w:kern w:val="0"/>
                <w:sz w:val="18"/>
                <w:szCs w:val="18"/>
              </w:rPr>
              <w:t xml:space="preserve">I </w:t>
            </w:r>
            <w:r>
              <w:rPr>
                <w:rFonts w:hint="eastAsia" w:ascii="宋体" w:cs="宋体"/>
                <w:kern w:val="0"/>
                <w:sz w:val="18"/>
                <w:szCs w:val="18"/>
              </w:rPr>
              <w:t>类民用建筑主体材料的矿渣硅酸盐水泥、复合硅酸盐水泥</w:t>
            </w:r>
          </w:p>
          <w:p>
            <w:pPr>
              <w:autoSpaceDE w:val="0"/>
              <w:autoSpaceDN w:val="0"/>
              <w:adjustRightInd w:val="0"/>
              <w:spacing w:after="60"/>
              <w:ind w:firstLine="360"/>
              <w:jc w:val="left"/>
              <w:rPr>
                <w:rFonts w:ascii="宋体" w:cs="宋体"/>
                <w:kern w:val="0"/>
                <w:sz w:val="18"/>
                <w:szCs w:val="18"/>
              </w:rPr>
            </w:pPr>
            <w:r>
              <w:rPr>
                <w:rFonts w:hint="eastAsia" w:ascii="宋体" w:cs="宋体"/>
                <w:kern w:val="0"/>
                <w:sz w:val="18"/>
                <w:szCs w:val="18"/>
              </w:rPr>
              <w:t>和钢渣硅酸盐水泥，其产品中天然放射性比活度的内、外照射指数</w:t>
            </w:r>
          </w:p>
          <w:p>
            <w:pPr>
              <w:widowControl/>
              <w:spacing w:after="60"/>
              <w:ind w:firstLine="360"/>
              <w:rPr>
                <w:rFonts w:hint="eastAsia" w:ascii="宋体" w:hAnsi="宋体" w:cs="宋体"/>
                <w:spacing w:val="-20"/>
                <w:kern w:val="0"/>
                <w:sz w:val="18"/>
                <w:szCs w:val="18"/>
              </w:rPr>
            </w:pPr>
            <w:r>
              <w:rPr>
                <w:kern w:val="0"/>
                <w:sz w:val="18"/>
                <w:szCs w:val="18"/>
              </w:rPr>
              <w:t>I</w:t>
            </w:r>
            <w:r>
              <w:rPr>
                <w:kern w:val="0"/>
                <w:sz w:val="16"/>
                <w:szCs w:val="16"/>
              </w:rPr>
              <w:t>Ra</w:t>
            </w:r>
            <w:r>
              <w:rPr>
                <w:rFonts w:hint="eastAsia" w:ascii="宋体" w:cs="宋体"/>
                <w:kern w:val="0"/>
                <w:sz w:val="18"/>
                <w:szCs w:val="18"/>
              </w:rPr>
              <w:t>、</w:t>
            </w:r>
            <w:r>
              <w:rPr>
                <w:kern w:val="0"/>
                <w:sz w:val="18"/>
                <w:szCs w:val="18"/>
              </w:rPr>
              <w:t xml:space="preserve">Ir </w:t>
            </w:r>
            <w:r>
              <w:rPr>
                <w:rFonts w:hint="eastAsia" w:ascii="宋体" w:cs="宋体"/>
                <w:kern w:val="0"/>
                <w:sz w:val="18"/>
                <w:szCs w:val="18"/>
              </w:rPr>
              <w:t>应满足</w:t>
            </w:r>
            <w:r>
              <w:rPr>
                <w:kern w:val="0"/>
                <w:sz w:val="18"/>
                <w:szCs w:val="18"/>
              </w:rPr>
              <w:t xml:space="preserve">GB 6566 </w:t>
            </w:r>
            <w:r>
              <w:rPr>
                <w:rFonts w:hint="eastAsia" w:ascii="宋体" w:cs="宋体"/>
                <w:kern w:val="0"/>
                <w:sz w:val="18"/>
                <w:szCs w:val="18"/>
              </w:rPr>
              <w:t>标准要求</w:t>
            </w:r>
          </w:p>
        </w:tc>
        <w:tc>
          <w:tcPr>
            <w:tcW w:w="1452" w:type="dxa"/>
            <w:shd w:val="clear" w:color="auto" w:fill="auto"/>
            <w:noWrap w:val="0"/>
            <w:vAlign w:val="center"/>
          </w:tcPr>
          <w:p>
            <w:pPr>
              <w:widowControl/>
              <w:spacing w:after="60"/>
              <w:ind w:firstLine="360"/>
              <w:jc w:val="center"/>
              <w:rPr>
                <w:rFonts w:ascii="宋体" w:hAnsi="宋体" w:cs="宋体"/>
                <w:kern w:val="0"/>
                <w:sz w:val="18"/>
                <w:szCs w:val="18"/>
              </w:rPr>
            </w:pPr>
            <w:r>
              <w:rPr>
                <w:rFonts w:hint="eastAsia" w:ascii="宋体" w:hAnsi="宋体" w:cs="宋体"/>
                <w:kern w:val="0"/>
                <w:sz w:val="18"/>
                <w:szCs w:val="18"/>
              </w:rPr>
              <w:t>一级</w:t>
            </w:r>
          </w:p>
        </w:tc>
      </w:tr>
    </w:tbl>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r>
        <w:rPr>
          <w:kern w:val="0"/>
        </w:rPr>
        <w:t>由表</w:t>
      </w:r>
      <w:r>
        <w:rPr>
          <w:rFonts w:hint="eastAsia"/>
          <w:kern w:val="0"/>
        </w:rPr>
        <w:t>4</w:t>
      </w:r>
      <w:r>
        <w:rPr>
          <w:kern w:val="0"/>
        </w:rPr>
        <w:t>－</w:t>
      </w:r>
      <w:r>
        <w:rPr>
          <w:rFonts w:hint="eastAsia"/>
          <w:kern w:val="0"/>
        </w:rPr>
        <w:t>3</w:t>
      </w:r>
      <w:r>
        <w:rPr>
          <w:kern w:val="0"/>
        </w:rPr>
        <w:t>可知，</w:t>
      </w:r>
      <w:r>
        <w:rPr>
          <w:rFonts w:hint="eastAsia"/>
          <w:kern w:val="0"/>
        </w:rPr>
        <w:t>技改项目的产品指标均满足</w:t>
      </w:r>
      <w:r>
        <w:rPr>
          <w:kern w:val="0"/>
        </w:rPr>
        <w:t>清洁生产</w:t>
      </w:r>
      <w:r>
        <w:rPr>
          <w:rFonts w:hint="eastAsia"/>
          <w:kern w:val="0"/>
        </w:rPr>
        <w:t>一级标准的要求</w:t>
      </w:r>
      <w:r>
        <w:rPr>
          <w:kern w:val="0"/>
        </w:rPr>
        <w:t>。</w:t>
      </w:r>
    </w:p>
    <w:p>
      <w:pPr>
        <w:autoSpaceDE w:val="0"/>
        <w:autoSpaceDN w:val="0"/>
        <w:adjustRightInd w:val="0"/>
        <w:snapToGrid w:val="0"/>
        <w:spacing w:line="348" w:lineRule="auto"/>
        <w:ind w:firstLine="420" w:firstLineChars="200"/>
        <w:rPr>
          <w:rFonts w:hint="eastAsia"/>
          <w:kern w:val="0"/>
        </w:rPr>
      </w:pPr>
      <w:r>
        <w:rPr>
          <w:rFonts w:hint="eastAsia"/>
          <w:kern w:val="0"/>
        </w:rPr>
        <w:t>（4）</w:t>
      </w:r>
      <w:r>
        <w:rPr>
          <w:kern w:val="0"/>
        </w:rPr>
        <w:t>污染物产生指标</w:t>
      </w:r>
      <w:r>
        <w:rPr>
          <w:rFonts w:hint="eastAsia"/>
          <w:kern w:val="0"/>
        </w:rPr>
        <w:t>及废物回收利用指标</w:t>
      </w:r>
    </w:p>
    <w:p>
      <w:pPr>
        <w:autoSpaceDE w:val="0"/>
        <w:autoSpaceDN w:val="0"/>
        <w:adjustRightInd w:val="0"/>
        <w:snapToGrid w:val="0"/>
        <w:spacing w:line="348" w:lineRule="auto"/>
        <w:ind w:firstLine="420" w:firstLineChars="200"/>
        <w:rPr>
          <w:kern w:val="0"/>
        </w:rPr>
      </w:pPr>
      <w:r>
        <w:rPr>
          <w:rFonts w:hint="eastAsia"/>
          <w:kern w:val="0"/>
        </w:rPr>
        <w:t>技改项目</w:t>
      </w:r>
      <w:r>
        <w:rPr>
          <w:kern w:val="0"/>
        </w:rPr>
        <w:t>的污染物产生指标</w:t>
      </w:r>
      <w:r>
        <w:rPr>
          <w:rFonts w:hint="eastAsia"/>
          <w:kern w:val="0"/>
        </w:rPr>
        <w:t>、废物回收利用指标</w:t>
      </w:r>
      <w:r>
        <w:rPr>
          <w:kern w:val="0"/>
        </w:rPr>
        <w:t>与《清洁生产标准</w:t>
      </w:r>
      <w:r>
        <w:rPr>
          <w:rFonts w:hint="eastAsia"/>
          <w:kern w:val="0"/>
        </w:rPr>
        <w:t xml:space="preserve"> 水泥工</w:t>
      </w:r>
      <w:r>
        <w:rPr>
          <w:kern w:val="0"/>
        </w:rPr>
        <w:t>业》的比较结果见表</w:t>
      </w:r>
      <w:r>
        <w:rPr>
          <w:rFonts w:hint="eastAsia"/>
          <w:kern w:val="0"/>
        </w:rPr>
        <w:t>4</w:t>
      </w:r>
      <w:r>
        <w:rPr>
          <w:kern w:val="0"/>
        </w:rPr>
        <w:t>－4。</w:t>
      </w:r>
    </w:p>
    <w:p>
      <w:pPr>
        <w:adjustRightInd w:val="0"/>
        <w:snapToGrid w:val="0"/>
        <w:spacing w:line="348" w:lineRule="auto"/>
        <w:jc w:val="center"/>
        <w:rPr>
          <w:rFonts w:hAnsi="宋体"/>
          <w:b/>
          <w:kern w:val="28"/>
        </w:rPr>
      </w:pPr>
      <w:r>
        <w:rPr>
          <w:rFonts w:hint="eastAsia" w:hAnsi="宋体"/>
          <w:b/>
          <w:kern w:val="28"/>
        </w:rPr>
        <w:t>表4</w:t>
      </w:r>
      <w:r>
        <w:rPr>
          <w:rFonts w:hAnsi="宋体"/>
          <w:b/>
          <w:kern w:val="28"/>
        </w:rPr>
        <w:t>－4  污染物产生指标与清洁生产标准对照评价</w:t>
      </w:r>
    </w:p>
    <w:tbl>
      <w:tblPr>
        <w:tblStyle w:val="22"/>
        <w:tblW w:w="903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37"/>
        <w:gridCol w:w="1305"/>
        <w:gridCol w:w="1305"/>
        <w:gridCol w:w="1306"/>
        <w:gridCol w:w="178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6" w:hRule="atLeast"/>
          <w:jc w:val="center"/>
        </w:trPr>
        <w:tc>
          <w:tcPr>
            <w:tcW w:w="3337" w:type="dxa"/>
            <w:tcBorders>
              <w:bottom w:val="single" w:color="000000" w:sz="12" w:space="0"/>
            </w:tcBorders>
            <w:shd w:val="clear" w:color="auto" w:fill="auto"/>
            <w:noWrap w:val="0"/>
            <w:vAlign w:val="center"/>
          </w:tcPr>
          <w:p>
            <w:pPr>
              <w:widowControl/>
              <w:spacing w:after="60"/>
              <w:ind w:firstLine="480"/>
              <w:jc w:val="center"/>
              <w:rPr>
                <w:kern w:val="0"/>
                <w:szCs w:val="21"/>
              </w:rPr>
            </w:pPr>
            <w:r>
              <w:rPr>
                <w:rFonts w:hAnsi="宋体"/>
                <w:kern w:val="0"/>
                <w:szCs w:val="21"/>
              </w:rPr>
              <w:t>清洁生产指标</w:t>
            </w:r>
          </w:p>
        </w:tc>
        <w:tc>
          <w:tcPr>
            <w:tcW w:w="1305" w:type="dxa"/>
            <w:tcBorders>
              <w:bottom w:val="single" w:color="000000" w:sz="12" w:space="0"/>
              <w:right w:val="single" w:color="auto" w:sz="6" w:space="0"/>
            </w:tcBorders>
            <w:shd w:val="clear" w:color="auto" w:fill="auto"/>
            <w:noWrap w:val="0"/>
            <w:vAlign w:val="center"/>
          </w:tcPr>
          <w:p>
            <w:pPr>
              <w:widowControl/>
              <w:spacing w:after="60"/>
              <w:ind w:firstLine="480"/>
              <w:jc w:val="center"/>
              <w:rPr>
                <w:kern w:val="0"/>
                <w:szCs w:val="21"/>
              </w:rPr>
            </w:pPr>
            <w:r>
              <w:rPr>
                <w:rFonts w:hAnsi="宋体"/>
                <w:kern w:val="0"/>
                <w:szCs w:val="21"/>
              </w:rPr>
              <w:t>一级</w:t>
            </w:r>
          </w:p>
        </w:tc>
        <w:tc>
          <w:tcPr>
            <w:tcW w:w="1305" w:type="dxa"/>
            <w:tcBorders>
              <w:left w:val="single" w:color="auto" w:sz="6" w:space="0"/>
              <w:bottom w:val="single" w:color="000000" w:sz="12" w:space="0"/>
              <w:right w:val="single" w:color="auto" w:sz="6" w:space="0"/>
            </w:tcBorders>
            <w:shd w:val="clear" w:color="auto" w:fill="auto"/>
            <w:noWrap w:val="0"/>
            <w:vAlign w:val="center"/>
          </w:tcPr>
          <w:p>
            <w:pPr>
              <w:widowControl/>
              <w:spacing w:after="60"/>
              <w:ind w:firstLine="480"/>
              <w:jc w:val="center"/>
              <w:rPr>
                <w:kern w:val="0"/>
                <w:szCs w:val="21"/>
              </w:rPr>
            </w:pPr>
            <w:r>
              <w:rPr>
                <w:rFonts w:hAnsi="宋体"/>
                <w:kern w:val="0"/>
                <w:szCs w:val="21"/>
              </w:rPr>
              <w:t>二级</w:t>
            </w:r>
          </w:p>
        </w:tc>
        <w:tc>
          <w:tcPr>
            <w:tcW w:w="1306" w:type="dxa"/>
            <w:tcBorders>
              <w:left w:val="single" w:color="auto" w:sz="6" w:space="0"/>
              <w:bottom w:val="single" w:color="000000" w:sz="12" w:space="0"/>
            </w:tcBorders>
            <w:shd w:val="clear" w:color="auto" w:fill="auto"/>
            <w:noWrap w:val="0"/>
            <w:vAlign w:val="center"/>
          </w:tcPr>
          <w:p>
            <w:pPr>
              <w:widowControl/>
              <w:spacing w:after="60"/>
              <w:ind w:firstLine="480"/>
              <w:jc w:val="center"/>
              <w:rPr>
                <w:kern w:val="0"/>
                <w:szCs w:val="21"/>
              </w:rPr>
            </w:pPr>
            <w:r>
              <w:rPr>
                <w:rFonts w:hAnsi="宋体"/>
                <w:kern w:val="0"/>
                <w:szCs w:val="21"/>
              </w:rPr>
              <w:t>三级</w:t>
            </w:r>
          </w:p>
        </w:tc>
        <w:tc>
          <w:tcPr>
            <w:tcW w:w="1782" w:type="dxa"/>
            <w:tcBorders>
              <w:bottom w:val="single" w:color="000000" w:sz="12" w:space="0"/>
            </w:tcBorders>
            <w:shd w:val="clear" w:color="auto" w:fill="auto"/>
            <w:noWrap w:val="0"/>
            <w:vAlign w:val="center"/>
          </w:tcPr>
          <w:p>
            <w:pPr>
              <w:spacing w:after="60"/>
              <w:ind w:firstLine="480"/>
              <w:jc w:val="center"/>
              <w:rPr>
                <w:kern w:val="0"/>
                <w:szCs w:val="21"/>
              </w:rPr>
            </w:pPr>
            <w:r>
              <w:rPr>
                <w:rFonts w:hAnsi="宋体"/>
                <w:kern w:val="0"/>
                <w:szCs w:val="21"/>
              </w:rPr>
              <w:t>拟建工程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3337" w:type="dxa"/>
            <w:shd w:val="clear" w:color="auto" w:fill="auto"/>
            <w:noWrap w:val="0"/>
            <w:vAlign w:val="top"/>
          </w:tcPr>
          <w:p>
            <w:pPr>
              <w:autoSpaceDE w:val="0"/>
              <w:autoSpaceDN w:val="0"/>
              <w:adjustRightInd w:val="0"/>
              <w:spacing w:after="60"/>
              <w:ind w:firstLine="480"/>
              <w:rPr>
                <w:kern w:val="0"/>
                <w:sz w:val="20"/>
                <w:szCs w:val="20"/>
              </w:rPr>
            </w:pPr>
            <w:r>
              <w:rPr>
                <w:kern w:val="0"/>
                <w:szCs w:val="21"/>
              </w:rPr>
              <w:t>1.</w:t>
            </w:r>
            <w:r>
              <w:rPr>
                <w:rFonts w:hint="eastAsia" w:ascii="宋体" w:cs="宋体"/>
                <w:kern w:val="0"/>
                <w:sz w:val="18"/>
                <w:szCs w:val="18"/>
              </w:rPr>
              <w:t>二氧化硫产生量</w:t>
            </w:r>
            <w:r>
              <w:rPr>
                <w:rFonts w:ascii="宋体" w:cs="宋体"/>
                <w:kern w:val="0"/>
                <w:sz w:val="18"/>
                <w:szCs w:val="18"/>
              </w:rPr>
              <w:t xml:space="preserve"> </w:t>
            </w:r>
            <w:r>
              <w:rPr>
                <w:kern w:val="0"/>
                <w:sz w:val="18"/>
                <w:szCs w:val="18"/>
              </w:rPr>
              <w:t>/</w:t>
            </w:r>
            <w:r>
              <w:rPr>
                <w:rFonts w:hint="eastAsia" w:ascii="宋体" w:cs="宋体"/>
                <w:kern w:val="0"/>
                <w:sz w:val="18"/>
                <w:szCs w:val="18"/>
              </w:rPr>
              <w:t>（</w:t>
            </w:r>
            <w:r>
              <w:rPr>
                <w:kern w:val="0"/>
                <w:sz w:val="18"/>
                <w:szCs w:val="18"/>
              </w:rPr>
              <w:t>kg/t</w:t>
            </w:r>
            <w:r>
              <w:rPr>
                <w:rFonts w:hint="eastAsia" w:ascii="宋体" w:cs="宋体"/>
                <w:kern w:val="0"/>
                <w:sz w:val="18"/>
                <w:szCs w:val="18"/>
              </w:rPr>
              <w:t>）</w:t>
            </w:r>
          </w:p>
          <w:p>
            <w:pPr>
              <w:widowControl/>
              <w:spacing w:after="60"/>
              <w:ind w:firstLine="360"/>
              <w:rPr>
                <w:kern w:val="0"/>
                <w:szCs w:val="21"/>
              </w:rPr>
            </w:pPr>
            <w:r>
              <w:rPr>
                <w:rFonts w:hint="eastAsia" w:ascii="宋体" w:cs="宋体"/>
                <w:kern w:val="0"/>
                <w:sz w:val="18"/>
                <w:szCs w:val="18"/>
              </w:rPr>
              <w:t>燃料用煤的全硫量</w:t>
            </w:r>
            <w:r>
              <w:rPr>
                <w:kern w:val="0"/>
                <w:sz w:val="18"/>
                <w:szCs w:val="18"/>
              </w:rPr>
              <w:t>&lt;1.5%</w:t>
            </w:r>
          </w:p>
        </w:tc>
        <w:tc>
          <w:tcPr>
            <w:tcW w:w="1305" w:type="dxa"/>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0.</w:t>
            </w:r>
            <w:r>
              <w:rPr>
                <w:rFonts w:hint="eastAsia"/>
                <w:kern w:val="0"/>
                <w:sz w:val="18"/>
                <w:szCs w:val="18"/>
              </w:rPr>
              <w:t>2</w:t>
            </w:r>
            <w:r>
              <w:rPr>
                <w:kern w:val="0"/>
                <w:sz w:val="18"/>
                <w:szCs w:val="18"/>
              </w:rPr>
              <w:t>0</w:t>
            </w:r>
          </w:p>
        </w:tc>
        <w:tc>
          <w:tcPr>
            <w:tcW w:w="2611" w:type="dxa"/>
            <w:gridSpan w:val="2"/>
            <w:shd w:val="clear" w:color="auto" w:fill="auto"/>
            <w:noWrap w:val="0"/>
            <w:vAlign w:val="center"/>
          </w:tcPr>
          <w:p>
            <w:pPr>
              <w:widowControl/>
              <w:spacing w:after="60"/>
              <w:ind w:firstLine="480"/>
              <w:jc w:val="center"/>
              <w:rPr>
                <w:rFonts w:hint="eastAsia"/>
                <w:kern w:val="0"/>
                <w:sz w:val="21"/>
                <w:szCs w:val="21"/>
              </w:rPr>
            </w:pPr>
            <w:r>
              <w:rPr>
                <w:rFonts w:hint="eastAsia"/>
                <w:kern w:val="0"/>
                <w:sz w:val="21"/>
                <w:szCs w:val="21"/>
              </w:rPr>
              <w:t>≤</w:t>
            </w:r>
            <w:r>
              <w:rPr>
                <w:kern w:val="0"/>
                <w:sz w:val="21"/>
                <w:szCs w:val="21"/>
              </w:rPr>
              <w:t>0.</w:t>
            </w:r>
            <w:r>
              <w:rPr>
                <w:rFonts w:hint="eastAsia"/>
                <w:kern w:val="0"/>
                <w:sz w:val="21"/>
                <w:szCs w:val="21"/>
              </w:rPr>
              <w:t>3</w:t>
            </w:r>
            <w:r>
              <w:rPr>
                <w:kern w:val="0"/>
                <w:sz w:val="21"/>
                <w:szCs w:val="21"/>
              </w:rPr>
              <w:t>0</w:t>
            </w:r>
          </w:p>
        </w:tc>
        <w:tc>
          <w:tcPr>
            <w:tcW w:w="1782" w:type="dxa"/>
            <w:shd w:val="clear" w:color="auto" w:fill="auto"/>
            <w:noWrap w:val="0"/>
            <w:vAlign w:val="center"/>
          </w:tcPr>
          <w:p>
            <w:pPr>
              <w:widowControl/>
              <w:spacing w:after="60"/>
              <w:rPr>
                <w:kern w:val="0"/>
                <w:sz w:val="21"/>
                <w:szCs w:val="21"/>
              </w:rPr>
            </w:pPr>
            <w:r>
              <w:rPr>
                <w:rFonts w:hint="eastAsia"/>
                <w:kern w:val="0"/>
                <w:sz w:val="21"/>
                <w:szCs w:val="21"/>
              </w:rPr>
              <w:t>0.279</w:t>
            </w:r>
            <w:r>
              <w:rPr>
                <w:kern w:val="0"/>
                <w:sz w:val="21"/>
                <w:szCs w:val="21"/>
              </w:rPr>
              <w:t>（</w:t>
            </w:r>
            <w:r>
              <w:rPr>
                <w:rFonts w:hint="eastAsia"/>
                <w:kern w:val="0"/>
                <w:sz w:val="21"/>
                <w:szCs w:val="21"/>
              </w:rPr>
              <w:t>二</w:t>
            </w:r>
            <w:r>
              <w:rPr>
                <w:kern w:val="0"/>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66" w:hRule="atLeast"/>
          <w:jc w:val="center"/>
        </w:trPr>
        <w:tc>
          <w:tcPr>
            <w:tcW w:w="3337" w:type="dxa"/>
            <w:shd w:val="clear" w:color="auto" w:fill="auto"/>
            <w:noWrap w:val="0"/>
            <w:vAlign w:val="center"/>
          </w:tcPr>
          <w:p>
            <w:pPr>
              <w:widowControl/>
              <w:spacing w:after="60"/>
              <w:ind w:firstLine="480"/>
              <w:jc w:val="center"/>
              <w:rPr>
                <w:kern w:val="0"/>
                <w:szCs w:val="21"/>
              </w:rPr>
            </w:pPr>
            <w:r>
              <w:rPr>
                <w:kern w:val="0"/>
                <w:szCs w:val="21"/>
              </w:rPr>
              <w:t>2.</w:t>
            </w:r>
            <w:r>
              <w:rPr>
                <w:rFonts w:hint="eastAsia" w:ascii="宋体" w:cs="宋体"/>
                <w:kern w:val="0"/>
                <w:sz w:val="18"/>
                <w:szCs w:val="18"/>
              </w:rPr>
              <w:t>氮氧化物</w:t>
            </w:r>
            <w:r>
              <w:rPr>
                <w:kern w:val="0"/>
                <w:sz w:val="18"/>
                <w:szCs w:val="18"/>
              </w:rPr>
              <w:t>(</w:t>
            </w:r>
            <w:r>
              <w:rPr>
                <w:rFonts w:hint="eastAsia" w:ascii="宋体" w:cs="宋体"/>
                <w:kern w:val="0"/>
                <w:sz w:val="18"/>
                <w:szCs w:val="18"/>
              </w:rPr>
              <w:t>以</w:t>
            </w:r>
            <w:r>
              <w:rPr>
                <w:kern w:val="0"/>
                <w:sz w:val="18"/>
                <w:szCs w:val="18"/>
              </w:rPr>
              <w:t>NO</w:t>
            </w:r>
            <w:r>
              <w:rPr>
                <w:kern w:val="0"/>
                <w:sz w:val="12"/>
                <w:szCs w:val="12"/>
              </w:rPr>
              <w:t xml:space="preserve">2 </w:t>
            </w:r>
            <w:r>
              <w:rPr>
                <w:rFonts w:hint="eastAsia" w:ascii="宋体" w:cs="宋体"/>
                <w:kern w:val="0"/>
                <w:sz w:val="18"/>
                <w:szCs w:val="18"/>
              </w:rPr>
              <w:t>计</w:t>
            </w:r>
            <w:r>
              <w:rPr>
                <w:kern w:val="0"/>
                <w:sz w:val="18"/>
                <w:szCs w:val="18"/>
              </w:rPr>
              <w:t xml:space="preserve">) </w:t>
            </w:r>
            <w:r>
              <w:rPr>
                <w:rFonts w:hint="eastAsia" w:ascii="宋体" w:cs="宋体"/>
                <w:kern w:val="0"/>
                <w:sz w:val="18"/>
                <w:szCs w:val="18"/>
              </w:rPr>
              <w:t>产生量</w:t>
            </w:r>
            <w:r>
              <w:rPr>
                <w:kern w:val="0"/>
                <w:sz w:val="18"/>
                <w:szCs w:val="18"/>
              </w:rPr>
              <w:t>/</w:t>
            </w:r>
            <w:r>
              <w:rPr>
                <w:rFonts w:hint="eastAsia" w:ascii="宋体" w:cs="宋体"/>
                <w:kern w:val="0"/>
                <w:sz w:val="18"/>
                <w:szCs w:val="18"/>
              </w:rPr>
              <w:t>（</w:t>
            </w:r>
            <w:r>
              <w:rPr>
                <w:kern w:val="0"/>
                <w:sz w:val="18"/>
                <w:szCs w:val="18"/>
              </w:rPr>
              <w:t>kg/t</w:t>
            </w:r>
            <w:r>
              <w:rPr>
                <w:rFonts w:hint="eastAsia" w:ascii="宋体" w:cs="宋体"/>
                <w:kern w:val="0"/>
                <w:sz w:val="18"/>
                <w:szCs w:val="18"/>
              </w:rPr>
              <w:t>）</w:t>
            </w:r>
          </w:p>
        </w:tc>
        <w:tc>
          <w:tcPr>
            <w:tcW w:w="1305" w:type="dxa"/>
            <w:tcBorders>
              <w:right w:val="single" w:color="auto" w:sz="6" w:space="0"/>
            </w:tcBorders>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2.00</w:t>
            </w:r>
          </w:p>
        </w:tc>
        <w:tc>
          <w:tcPr>
            <w:tcW w:w="2611" w:type="dxa"/>
            <w:gridSpan w:val="2"/>
            <w:shd w:val="clear" w:color="auto" w:fill="auto"/>
            <w:noWrap w:val="0"/>
            <w:vAlign w:val="center"/>
          </w:tcPr>
          <w:p>
            <w:pPr>
              <w:autoSpaceDE w:val="0"/>
              <w:autoSpaceDN w:val="0"/>
              <w:adjustRightInd w:val="0"/>
              <w:spacing w:after="60"/>
              <w:ind w:firstLine="360"/>
              <w:jc w:val="center"/>
              <w:rPr>
                <w:rFonts w:hint="eastAsia" w:ascii="宋体" w:cs="宋体"/>
                <w:kern w:val="0"/>
                <w:sz w:val="20"/>
                <w:szCs w:val="20"/>
              </w:rPr>
            </w:pPr>
            <w:r>
              <w:rPr>
                <w:rFonts w:hint="eastAsia" w:ascii="宋体" w:cs="宋体"/>
                <w:kern w:val="0"/>
                <w:sz w:val="18"/>
                <w:szCs w:val="18"/>
              </w:rPr>
              <w:t>≤</w:t>
            </w:r>
            <w:r>
              <w:rPr>
                <w:kern w:val="0"/>
                <w:sz w:val="18"/>
                <w:szCs w:val="18"/>
              </w:rPr>
              <w:t>2.40</w:t>
            </w:r>
          </w:p>
        </w:tc>
        <w:tc>
          <w:tcPr>
            <w:tcW w:w="1782" w:type="dxa"/>
            <w:shd w:val="clear" w:color="auto" w:fill="auto"/>
            <w:noWrap w:val="0"/>
            <w:vAlign w:val="center"/>
          </w:tcPr>
          <w:p>
            <w:pPr>
              <w:widowControl/>
              <w:spacing w:after="60"/>
              <w:rPr>
                <w:rFonts w:hint="eastAsia"/>
                <w:kern w:val="0"/>
                <w:sz w:val="21"/>
                <w:szCs w:val="21"/>
              </w:rPr>
            </w:pPr>
            <w:r>
              <w:rPr>
                <w:rFonts w:hint="eastAsia"/>
                <w:kern w:val="0"/>
                <w:sz w:val="21"/>
                <w:szCs w:val="21"/>
              </w:rPr>
              <w:t>1.74</w:t>
            </w:r>
            <w:r>
              <w:rPr>
                <w:kern w:val="0"/>
                <w:sz w:val="21"/>
                <w:szCs w:val="21"/>
              </w:rPr>
              <w:t>（</w:t>
            </w:r>
            <w:r>
              <w:rPr>
                <w:rFonts w:hint="eastAsia"/>
                <w:kern w:val="0"/>
                <w:sz w:val="21"/>
                <w:szCs w:val="21"/>
              </w:rPr>
              <w:t>一</w:t>
            </w:r>
            <w:r>
              <w:rPr>
                <w:kern w:val="0"/>
                <w:sz w:val="21"/>
                <w:szCs w:val="21"/>
              </w:rPr>
              <w:t>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5" w:hRule="atLeast"/>
          <w:jc w:val="center"/>
        </w:trPr>
        <w:tc>
          <w:tcPr>
            <w:tcW w:w="3337" w:type="dxa"/>
            <w:shd w:val="clear" w:color="auto" w:fill="auto"/>
            <w:noWrap w:val="0"/>
            <w:vAlign w:val="center"/>
          </w:tcPr>
          <w:p>
            <w:pPr>
              <w:autoSpaceDE w:val="0"/>
              <w:autoSpaceDN w:val="0"/>
              <w:adjustRightInd w:val="0"/>
              <w:spacing w:after="60"/>
              <w:ind w:firstLine="480"/>
              <w:jc w:val="center"/>
              <w:rPr>
                <w:rFonts w:hint="eastAsia"/>
                <w:szCs w:val="21"/>
              </w:rPr>
            </w:pPr>
            <w:r>
              <w:rPr>
                <w:rFonts w:hint="eastAsia"/>
                <w:szCs w:val="21"/>
              </w:rPr>
              <w:t>3.</w:t>
            </w:r>
            <w:r>
              <w:rPr>
                <w:rFonts w:hint="eastAsia" w:ascii="宋体" w:cs="宋体"/>
                <w:kern w:val="0"/>
                <w:sz w:val="18"/>
                <w:szCs w:val="18"/>
              </w:rPr>
              <w:t>窑灰、粉尘、废弃料回收利用率</w:t>
            </w:r>
            <w:r>
              <w:rPr>
                <w:kern w:val="0"/>
                <w:sz w:val="18"/>
                <w:szCs w:val="18"/>
              </w:rPr>
              <w:t>/</w:t>
            </w:r>
            <w:r>
              <w:rPr>
                <w:rFonts w:hint="eastAsia" w:ascii="宋体" w:cs="宋体"/>
                <w:kern w:val="0"/>
                <w:sz w:val="18"/>
                <w:szCs w:val="18"/>
              </w:rPr>
              <w:t>％</w:t>
            </w:r>
          </w:p>
        </w:tc>
        <w:tc>
          <w:tcPr>
            <w:tcW w:w="3916" w:type="dxa"/>
            <w:gridSpan w:val="3"/>
            <w:shd w:val="clear" w:color="auto" w:fill="auto"/>
            <w:noWrap w:val="0"/>
            <w:vAlign w:val="center"/>
          </w:tcPr>
          <w:p>
            <w:pPr>
              <w:autoSpaceDE w:val="0"/>
              <w:autoSpaceDN w:val="0"/>
              <w:adjustRightInd w:val="0"/>
              <w:spacing w:after="60"/>
              <w:ind w:firstLine="360"/>
              <w:jc w:val="center"/>
              <w:rPr>
                <w:rFonts w:hint="eastAsia" w:ascii="宋体" w:cs="宋体"/>
                <w:kern w:val="0"/>
                <w:sz w:val="18"/>
                <w:szCs w:val="18"/>
              </w:rPr>
            </w:pPr>
            <w:r>
              <w:rPr>
                <w:kern w:val="0"/>
                <w:sz w:val="18"/>
                <w:szCs w:val="18"/>
              </w:rPr>
              <w:t>100</w:t>
            </w:r>
          </w:p>
        </w:tc>
        <w:tc>
          <w:tcPr>
            <w:tcW w:w="1782" w:type="dxa"/>
            <w:shd w:val="clear" w:color="auto" w:fill="auto"/>
            <w:noWrap w:val="0"/>
            <w:vAlign w:val="center"/>
          </w:tcPr>
          <w:p>
            <w:pPr>
              <w:widowControl/>
              <w:spacing w:after="60"/>
              <w:ind w:firstLine="360"/>
              <w:jc w:val="center"/>
              <w:rPr>
                <w:rFonts w:hint="eastAsia"/>
                <w:kern w:val="0"/>
                <w:szCs w:val="21"/>
              </w:rPr>
            </w:pPr>
            <w:r>
              <w:rPr>
                <w:rFonts w:hint="eastAsia" w:ascii="宋体" w:hAnsi="宋体" w:cs="宋体"/>
                <w:kern w:val="0"/>
                <w:sz w:val="18"/>
                <w:szCs w:val="18"/>
              </w:rPr>
              <w:t>一级</w:t>
            </w:r>
          </w:p>
        </w:tc>
      </w:tr>
    </w:tbl>
    <w:p>
      <w:pPr>
        <w:autoSpaceDE w:val="0"/>
        <w:autoSpaceDN w:val="0"/>
        <w:adjustRightInd w:val="0"/>
        <w:snapToGrid w:val="0"/>
        <w:spacing w:line="348" w:lineRule="auto"/>
        <w:ind w:firstLine="560" w:firstLineChars="200"/>
        <w:rPr>
          <w:rFonts w:hint="eastAsia"/>
          <w:kern w:val="0"/>
          <w:sz w:val="28"/>
          <w:szCs w:val="28"/>
        </w:rPr>
      </w:pPr>
    </w:p>
    <w:p>
      <w:pPr>
        <w:autoSpaceDE w:val="0"/>
        <w:autoSpaceDN w:val="0"/>
        <w:adjustRightInd w:val="0"/>
        <w:snapToGrid w:val="0"/>
        <w:spacing w:line="348" w:lineRule="auto"/>
        <w:ind w:firstLine="420" w:firstLineChars="200"/>
        <w:rPr>
          <w:rFonts w:hint="eastAsia"/>
          <w:kern w:val="0"/>
        </w:rPr>
      </w:pPr>
      <w:r>
        <w:rPr>
          <w:rFonts w:hint="eastAsia"/>
          <w:kern w:val="0"/>
        </w:rPr>
        <w:t>由</w:t>
      </w:r>
      <w:r>
        <w:rPr>
          <w:kern w:val="0"/>
        </w:rPr>
        <w:t>表</w:t>
      </w:r>
      <w:r>
        <w:rPr>
          <w:rFonts w:hint="eastAsia"/>
          <w:kern w:val="0"/>
        </w:rPr>
        <w:t>4</w:t>
      </w:r>
      <w:r>
        <w:rPr>
          <w:kern w:val="0"/>
        </w:rPr>
        <w:t>－4</w:t>
      </w:r>
      <w:r>
        <w:rPr>
          <w:rFonts w:hint="eastAsia"/>
          <w:kern w:val="0"/>
        </w:rPr>
        <w:t>可知，技改项目</w:t>
      </w:r>
      <w:r>
        <w:rPr>
          <w:kern w:val="0"/>
        </w:rPr>
        <w:t>的</w:t>
      </w:r>
      <w:r>
        <w:rPr>
          <w:rFonts w:hint="eastAsia"/>
          <w:kern w:val="0"/>
        </w:rPr>
        <w:t>窑灰、粉尘、废弃料回收利用率和氮氧化物产生量为清洁生产一级标准，二氧化硫产生量指标达到清洁生产二级标准，技改项目</w:t>
      </w:r>
      <w:r>
        <w:rPr>
          <w:kern w:val="0"/>
        </w:rPr>
        <w:t>污染物产生指标</w:t>
      </w:r>
      <w:r>
        <w:rPr>
          <w:rFonts w:hint="eastAsia"/>
          <w:kern w:val="0"/>
        </w:rPr>
        <w:t>及废物回收利用指标先进。</w:t>
      </w:r>
    </w:p>
    <w:p>
      <w:pPr>
        <w:autoSpaceDE w:val="0"/>
        <w:autoSpaceDN w:val="0"/>
        <w:adjustRightInd w:val="0"/>
        <w:snapToGrid w:val="0"/>
        <w:spacing w:line="348" w:lineRule="auto"/>
        <w:ind w:firstLine="420" w:firstLineChars="200"/>
        <w:rPr>
          <w:kern w:val="0"/>
        </w:rPr>
      </w:pPr>
      <w:r>
        <w:rPr>
          <w:rFonts w:hint="eastAsia"/>
          <w:kern w:val="0"/>
        </w:rPr>
        <w:t>（5）</w:t>
      </w:r>
      <w:r>
        <w:rPr>
          <w:kern w:val="0"/>
        </w:rPr>
        <w:t>环境管理要求</w:t>
      </w:r>
    </w:p>
    <w:p>
      <w:pPr>
        <w:autoSpaceDE w:val="0"/>
        <w:autoSpaceDN w:val="0"/>
        <w:adjustRightInd w:val="0"/>
        <w:snapToGrid w:val="0"/>
        <w:spacing w:line="348" w:lineRule="auto"/>
        <w:ind w:firstLine="420" w:firstLineChars="200"/>
        <w:rPr>
          <w:rFonts w:hint="eastAsia"/>
          <w:kern w:val="0"/>
        </w:rPr>
      </w:pPr>
      <w:r>
        <w:rPr>
          <w:rFonts w:hint="eastAsia"/>
          <w:kern w:val="0"/>
        </w:rPr>
        <w:t>技改项目</w:t>
      </w:r>
      <w:r>
        <w:rPr>
          <w:kern w:val="0"/>
        </w:rPr>
        <w:t xml:space="preserve">环境管理要求与《清洁生产标准 </w:t>
      </w:r>
      <w:r>
        <w:rPr>
          <w:rFonts w:hint="eastAsia"/>
          <w:kern w:val="0"/>
        </w:rPr>
        <w:t>水泥工</w:t>
      </w:r>
      <w:r>
        <w:rPr>
          <w:kern w:val="0"/>
        </w:rPr>
        <w:t>业》的比较结果见表</w:t>
      </w:r>
      <w:r>
        <w:rPr>
          <w:rFonts w:hint="eastAsia"/>
          <w:kern w:val="0"/>
        </w:rPr>
        <w:t>4</w:t>
      </w:r>
      <w:r>
        <w:rPr>
          <w:kern w:val="0"/>
        </w:rPr>
        <w:t>－</w:t>
      </w:r>
      <w:r>
        <w:rPr>
          <w:rFonts w:hint="eastAsia"/>
          <w:kern w:val="0"/>
        </w:rPr>
        <w:t>5</w:t>
      </w:r>
      <w:r>
        <w:rPr>
          <w:kern w:val="0"/>
        </w:rPr>
        <w:t>。</w:t>
      </w:r>
    </w:p>
    <w:p>
      <w:pPr>
        <w:autoSpaceDE w:val="0"/>
        <w:autoSpaceDN w:val="0"/>
        <w:adjustRightInd w:val="0"/>
        <w:snapToGrid w:val="0"/>
        <w:spacing w:line="348" w:lineRule="auto"/>
        <w:ind w:firstLine="420" w:firstLineChars="200"/>
        <w:rPr>
          <w:rFonts w:hint="eastAsia"/>
          <w:kern w:val="0"/>
        </w:rPr>
      </w:pPr>
      <w:r>
        <w:rPr>
          <w:kern w:val="0"/>
        </w:rPr>
        <w:t>由表</w:t>
      </w:r>
      <w:r>
        <w:rPr>
          <w:rFonts w:hint="eastAsia"/>
          <w:kern w:val="0"/>
        </w:rPr>
        <w:t>4</w:t>
      </w:r>
      <w:r>
        <w:rPr>
          <w:kern w:val="0"/>
        </w:rPr>
        <w:t>－</w:t>
      </w:r>
      <w:r>
        <w:rPr>
          <w:rFonts w:hint="eastAsia"/>
          <w:kern w:val="0"/>
        </w:rPr>
        <w:t>5</w:t>
      </w:r>
      <w:r>
        <w:rPr>
          <w:kern w:val="0"/>
        </w:rPr>
        <w:t>可</w:t>
      </w:r>
      <w:r>
        <w:rPr>
          <w:rFonts w:hint="eastAsia"/>
          <w:kern w:val="0"/>
        </w:rPr>
        <w:t>知</w:t>
      </w:r>
      <w:r>
        <w:rPr>
          <w:kern w:val="0"/>
        </w:rPr>
        <w:t>，</w:t>
      </w:r>
      <w:r>
        <w:rPr>
          <w:rFonts w:hint="eastAsia"/>
          <w:kern w:val="0"/>
        </w:rPr>
        <w:t>拟建</w:t>
      </w:r>
      <w:r>
        <w:rPr>
          <w:kern w:val="0"/>
        </w:rPr>
        <w:t>工程</w:t>
      </w:r>
      <w:r>
        <w:rPr>
          <w:rFonts w:hint="eastAsia"/>
          <w:kern w:val="0"/>
        </w:rPr>
        <w:t>环境管理要求满足</w:t>
      </w:r>
      <w:r>
        <w:rPr>
          <w:kern w:val="0"/>
        </w:rPr>
        <w:t>《清洁生产标准</w:t>
      </w:r>
      <w:r>
        <w:rPr>
          <w:rFonts w:hint="eastAsia"/>
          <w:kern w:val="0"/>
        </w:rPr>
        <w:t xml:space="preserve"> 水泥工</w:t>
      </w:r>
      <w:r>
        <w:rPr>
          <w:kern w:val="0"/>
        </w:rPr>
        <w:t>业》要求。</w:t>
      </w:r>
    </w:p>
    <w:p>
      <w:pPr>
        <w:autoSpaceDE w:val="0"/>
        <w:autoSpaceDN w:val="0"/>
        <w:adjustRightInd w:val="0"/>
        <w:snapToGrid w:val="0"/>
        <w:spacing w:line="348" w:lineRule="auto"/>
        <w:ind w:firstLine="420" w:firstLineChars="200"/>
        <w:rPr>
          <w:rFonts w:hint="eastAsia"/>
          <w:kern w:val="0"/>
        </w:rPr>
      </w:pPr>
      <w:r>
        <w:rPr>
          <w:rFonts w:hint="eastAsia"/>
          <w:kern w:val="0"/>
        </w:rPr>
        <w:t>上述从</w:t>
      </w:r>
      <w:r>
        <w:rPr>
          <w:kern w:val="0"/>
        </w:rPr>
        <w:t>生产工艺装备</w:t>
      </w:r>
      <w:r>
        <w:rPr>
          <w:rFonts w:hint="eastAsia"/>
          <w:kern w:val="0"/>
        </w:rPr>
        <w:t>、资源能源利用指标、</w:t>
      </w:r>
      <w:r>
        <w:rPr>
          <w:kern w:val="0"/>
        </w:rPr>
        <w:t>产品指标</w:t>
      </w:r>
      <w:r>
        <w:rPr>
          <w:rFonts w:hint="eastAsia"/>
          <w:kern w:val="0"/>
        </w:rPr>
        <w:t>、</w:t>
      </w:r>
      <w:r>
        <w:rPr>
          <w:kern w:val="0"/>
        </w:rPr>
        <w:t>污染物产生指标</w:t>
      </w:r>
      <w:r>
        <w:rPr>
          <w:rFonts w:hint="eastAsia"/>
          <w:kern w:val="0"/>
        </w:rPr>
        <w:t>、废物回收利用指标及环境管理要求等方面与</w:t>
      </w:r>
      <w:r>
        <w:rPr>
          <w:kern w:val="0"/>
        </w:rPr>
        <w:t>《清洁生产标准</w:t>
      </w:r>
      <w:r>
        <w:rPr>
          <w:rFonts w:hint="eastAsia"/>
          <w:kern w:val="0"/>
        </w:rPr>
        <w:t xml:space="preserve"> 水泥工</w:t>
      </w:r>
      <w:r>
        <w:rPr>
          <w:kern w:val="0"/>
        </w:rPr>
        <w:t>业》</w:t>
      </w:r>
      <w:r>
        <w:rPr>
          <w:rFonts w:hint="eastAsia"/>
          <w:kern w:val="0"/>
        </w:rPr>
        <w:t>进行对照，分析表明，拟建工程清洁生产水平总体较高， 除了原料粉磨系统的磨机指标处于清洁生产三级标准外，其余指标均达到清洁生产二级及以上标准，达到国内先进水平标准。</w:t>
      </w:r>
    </w:p>
    <w:p>
      <w:pPr>
        <w:spacing w:line="360" w:lineRule="auto"/>
        <w:outlineLvl w:val="2"/>
        <w:rPr>
          <w:rFonts w:hint="eastAsia"/>
          <w:b/>
        </w:rPr>
      </w:pPr>
      <w:r>
        <w:rPr>
          <w:rFonts w:hint="eastAsia"/>
          <w:b/>
        </w:rPr>
        <w:t>4.1.4 清洁生产总体水平</w:t>
      </w:r>
      <w:bookmarkStart w:id="196" w:name="_Toc24471279"/>
    </w:p>
    <w:bookmarkEnd w:id="196"/>
    <w:p>
      <w:pPr>
        <w:spacing w:line="360" w:lineRule="auto"/>
        <w:ind w:firstLine="420" w:firstLineChars="200"/>
        <w:rPr>
          <w:rFonts w:hint="eastAsia"/>
        </w:rPr>
      </w:pPr>
      <w:r>
        <w:rPr>
          <w:rFonts w:hint="eastAsia"/>
        </w:rPr>
        <w:t>综上所述，技改项目采用了国内外先进的工艺技术和生产设备，且在整个工艺流程中充分考虑了能量的利用，有效地降低能耗，对生产过程中产生的“三废”尽量回收利用，做到一水多用，循环使用，同时注重生产全过程污染控制，既节约了资源，控制了物料流失，又大大地减少了外排污染物对环境的影响，通过与清洁生产指标的对照，表明技改项目符合清洁生产要求。从整体上看，技改项目达到国内清洁生产先进企业水平。</w:t>
      </w: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0" w:firstLineChars="200"/>
        <w:rPr>
          <w:rFonts w:hint="eastAsia"/>
          <w:kern w:val="0"/>
        </w:rPr>
      </w:pPr>
    </w:p>
    <w:p>
      <w:pPr>
        <w:autoSpaceDE w:val="0"/>
        <w:autoSpaceDN w:val="0"/>
        <w:adjustRightInd w:val="0"/>
        <w:snapToGrid w:val="0"/>
        <w:spacing w:line="348" w:lineRule="auto"/>
        <w:ind w:firstLine="422" w:firstLineChars="200"/>
        <w:jc w:val="center"/>
        <w:rPr>
          <w:rFonts w:hAnsi="宋体"/>
          <w:b/>
          <w:kern w:val="28"/>
        </w:rPr>
      </w:pPr>
      <w:r>
        <w:rPr>
          <w:rFonts w:hAnsi="宋体"/>
          <w:b/>
          <w:kern w:val="28"/>
        </w:rPr>
        <w:t>表</w:t>
      </w:r>
      <w:r>
        <w:rPr>
          <w:rFonts w:hint="eastAsia" w:hAnsi="宋体"/>
          <w:b/>
          <w:kern w:val="28"/>
        </w:rPr>
        <w:t>4</w:t>
      </w:r>
      <w:r>
        <w:rPr>
          <w:rFonts w:hAnsi="宋体"/>
          <w:b/>
          <w:kern w:val="28"/>
        </w:rPr>
        <w:t>－</w:t>
      </w:r>
      <w:r>
        <w:rPr>
          <w:rFonts w:hint="eastAsia" w:hAnsi="宋体"/>
          <w:b/>
          <w:kern w:val="28"/>
        </w:rPr>
        <w:t>5</w:t>
      </w:r>
      <w:r>
        <w:rPr>
          <w:rFonts w:hAnsi="宋体"/>
          <w:b/>
          <w:kern w:val="28"/>
        </w:rPr>
        <w:t xml:space="preserve">  环境管理要求与清洁生产标准对照评价</w:t>
      </w:r>
    </w:p>
    <w:tbl>
      <w:tblPr>
        <w:tblStyle w:val="22"/>
        <w:tblW w:w="910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41"/>
        <w:gridCol w:w="2154"/>
        <w:gridCol w:w="1821"/>
        <w:gridCol w:w="1903"/>
        <w:gridCol w:w="17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9" w:hRule="atLeast"/>
          <w:jc w:val="center"/>
        </w:trPr>
        <w:tc>
          <w:tcPr>
            <w:tcW w:w="1441"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清洁生产指标</w:t>
            </w:r>
          </w:p>
        </w:tc>
        <w:tc>
          <w:tcPr>
            <w:tcW w:w="2154"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一级</w:t>
            </w:r>
          </w:p>
        </w:tc>
        <w:tc>
          <w:tcPr>
            <w:tcW w:w="1821"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二级</w:t>
            </w:r>
          </w:p>
        </w:tc>
        <w:tc>
          <w:tcPr>
            <w:tcW w:w="1903" w:type="dxa"/>
            <w:tcBorders>
              <w:bottom w:val="single" w:color="000000" w:sz="12" w:space="0"/>
            </w:tcBorders>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三级</w:t>
            </w:r>
          </w:p>
        </w:tc>
        <w:tc>
          <w:tcPr>
            <w:tcW w:w="1787" w:type="dxa"/>
            <w:tcBorders>
              <w:bottom w:val="single" w:color="000000" w:sz="12" w:space="0"/>
            </w:tcBorders>
            <w:shd w:val="clear" w:color="auto" w:fill="auto"/>
            <w:noWrap w:val="0"/>
            <w:vAlign w:val="center"/>
          </w:tcPr>
          <w:p>
            <w:pPr>
              <w:adjustRightInd w:val="0"/>
              <w:snapToGrid w:val="0"/>
              <w:spacing w:after="60" w:line="240" w:lineRule="atLeast"/>
              <w:ind w:firstLine="360"/>
              <w:jc w:val="center"/>
              <w:rPr>
                <w:rFonts w:hint="eastAsia"/>
                <w:kern w:val="0"/>
                <w:sz w:val="18"/>
                <w:szCs w:val="18"/>
              </w:rPr>
            </w:pPr>
            <w:r>
              <w:rPr>
                <w:rFonts w:hint="eastAsia" w:hAnsi="宋体"/>
                <w:kern w:val="0"/>
                <w:sz w:val="18"/>
                <w:szCs w:val="18"/>
              </w:rPr>
              <w:t>技改项目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00" w:hRule="atLeast"/>
          <w:jc w:val="center"/>
        </w:trPr>
        <w:tc>
          <w:tcPr>
            <w:tcW w:w="1441" w:type="dxa"/>
            <w:shd w:val="clear" w:color="auto" w:fill="auto"/>
            <w:noWrap w:val="0"/>
            <w:vAlign w:val="center"/>
          </w:tcPr>
          <w:p>
            <w:pPr>
              <w:widowControl/>
              <w:adjustRightInd w:val="0"/>
              <w:snapToGrid w:val="0"/>
              <w:spacing w:after="60" w:line="240" w:lineRule="atLeast"/>
              <w:rPr>
                <w:kern w:val="0"/>
                <w:sz w:val="18"/>
                <w:szCs w:val="18"/>
              </w:rPr>
            </w:pPr>
            <w:r>
              <w:rPr>
                <w:kern w:val="0"/>
                <w:sz w:val="18"/>
                <w:szCs w:val="18"/>
              </w:rPr>
              <w:t>1.</w:t>
            </w:r>
            <w:r>
              <w:rPr>
                <w:rFonts w:hAnsi="宋体"/>
                <w:kern w:val="0"/>
                <w:sz w:val="18"/>
                <w:szCs w:val="18"/>
              </w:rPr>
              <w:t>环境法律法规标准</w:t>
            </w:r>
          </w:p>
        </w:tc>
        <w:tc>
          <w:tcPr>
            <w:tcW w:w="5878" w:type="dxa"/>
            <w:gridSpan w:val="3"/>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符合国家和地方有关环境法律、法规，污染物排放</w:t>
            </w:r>
            <w:r>
              <w:rPr>
                <w:kern w:val="0"/>
                <w:sz w:val="18"/>
                <w:szCs w:val="18"/>
              </w:rPr>
              <w:t>(</w:t>
            </w:r>
            <w:r>
              <w:rPr>
                <w:rFonts w:hAnsi="宋体"/>
                <w:kern w:val="0"/>
                <w:sz w:val="18"/>
                <w:szCs w:val="18"/>
              </w:rPr>
              <w:t>包括焚烧危险废物和生活垃圾</w:t>
            </w:r>
            <w:r>
              <w:rPr>
                <w:kern w:val="0"/>
                <w:sz w:val="18"/>
                <w:szCs w:val="18"/>
              </w:rPr>
              <w:t>)</w:t>
            </w:r>
            <w:r>
              <w:rPr>
                <w:rFonts w:hAnsi="宋体"/>
                <w:kern w:val="0"/>
                <w:sz w:val="18"/>
                <w:szCs w:val="18"/>
              </w:rPr>
              <w:t>应达到国家和地方排放标准、总量减排和排污许可证管理要求</w:t>
            </w:r>
          </w:p>
        </w:tc>
        <w:tc>
          <w:tcPr>
            <w:tcW w:w="1787" w:type="dxa"/>
            <w:shd w:val="clear" w:color="auto" w:fill="auto"/>
            <w:noWrap w:val="0"/>
            <w:vAlign w:val="center"/>
          </w:tcPr>
          <w:p>
            <w:pPr>
              <w:widowControl/>
              <w:adjustRightInd w:val="0"/>
              <w:snapToGrid w:val="0"/>
              <w:spacing w:after="60" w:line="240" w:lineRule="atLeast"/>
              <w:ind w:firstLine="360"/>
              <w:jc w:val="center"/>
              <w:rPr>
                <w:rFonts w:hint="eastAsia"/>
                <w:kern w:val="0"/>
                <w:sz w:val="18"/>
                <w:szCs w:val="18"/>
              </w:rPr>
            </w:pPr>
            <w:r>
              <w:rPr>
                <w:rFonts w:hint="eastAsia" w:hAnsi="宋体"/>
                <w:kern w:val="0"/>
                <w:sz w:val="18"/>
                <w:szCs w:val="18"/>
              </w:rPr>
              <w:t>一级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1441" w:type="dxa"/>
            <w:shd w:val="clear" w:color="auto" w:fill="auto"/>
            <w:noWrap w:val="0"/>
            <w:vAlign w:val="center"/>
          </w:tcPr>
          <w:p>
            <w:pPr>
              <w:widowControl/>
              <w:adjustRightInd w:val="0"/>
              <w:snapToGrid w:val="0"/>
              <w:spacing w:after="60" w:line="240" w:lineRule="atLeast"/>
              <w:rPr>
                <w:kern w:val="0"/>
                <w:sz w:val="18"/>
                <w:szCs w:val="18"/>
              </w:rPr>
            </w:pPr>
            <w:r>
              <w:rPr>
                <w:kern w:val="0"/>
                <w:sz w:val="18"/>
                <w:szCs w:val="18"/>
              </w:rPr>
              <w:t>2.</w:t>
            </w:r>
            <w:r>
              <w:rPr>
                <w:rFonts w:hAnsi="宋体"/>
                <w:kern w:val="0"/>
                <w:sz w:val="18"/>
                <w:szCs w:val="18"/>
              </w:rPr>
              <w:t>组织机构</w:t>
            </w:r>
          </w:p>
        </w:tc>
        <w:tc>
          <w:tcPr>
            <w:tcW w:w="5878" w:type="dxa"/>
            <w:gridSpan w:val="3"/>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建立健全专门环境管理机构和专职管理人员，开展环保和清洁生产有关工作</w:t>
            </w:r>
          </w:p>
        </w:tc>
        <w:tc>
          <w:tcPr>
            <w:tcW w:w="178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Ansi="宋体"/>
                <w:kern w:val="0"/>
                <w:sz w:val="18"/>
                <w:szCs w:val="18"/>
              </w:rPr>
              <w:t>设置环保管理机构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6" w:hRule="atLeast"/>
          <w:jc w:val="center"/>
        </w:trPr>
        <w:tc>
          <w:tcPr>
            <w:tcW w:w="1441" w:type="dxa"/>
            <w:shd w:val="clear" w:color="auto" w:fill="auto"/>
            <w:noWrap w:val="0"/>
            <w:vAlign w:val="center"/>
          </w:tcPr>
          <w:p>
            <w:pPr>
              <w:widowControl/>
              <w:adjustRightInd w:val="0"/>
              <w:snapToGrid w:val="0"/>
              <w:spacing w:after="60" w:line="240" w:lineRule="atLeast"/>
              <w:rPr>
                <w:kern w:val="0"/>
                <w:sz w:val="18"/>
                <w:szCs w:val="18"/>
              </w:rPr>
            </w:pPr>
            <w:r>
              <w:rPr>
                <w:kern w:val="0"/>
                <w:sz w:val="18"/>
                <w:szCs w:val="18"/>
              </w:rPr>
              <w:t>3.</w:t>
            </w:r>
            <w:r>
              <w:rPr>
                <w:rFonts w:hAnsi="宋体"/>
                <w:kern w:val="0"/>
                <w:sz w:val="18"/>
                <w:szCs w:val="18"/>
              </w:rPr>
              <w:t>环境审核</w:t>
            </w:r>
          </w:p>
        </w:tc>
        <w:tc>
          <w:tcPr>
            <w:tcW w:w="2154" w:type="dxa"/>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按照《清洁生产审核暂行办法》要求进行了审核；按照</w:t>
            </w:r>
            <w:r>
              <w:rPr>
                <w:kern w:val="0"/>
                <w:sz w:val="18"/>
                <w:szCs w:val="18"/>
              </w:rPr>
              <w:t xml:space="preserve">GB/T24001 </w:t>
            </w:r>
            <w:r>
              <w:rPr>
                <w:rFonts w:hAnsi="宋体"/>
                <w:kern w:val="0"/>
                <w:sz w:val="18"/>
                <w:szCs w:val="18"/>
              </w:rPr>
              <w:t>建立并运行环境管理体系并通过认证</w:t>
            </w:r>
          </w:p>
        </w:tc>
        <w:tc>
          <w:tcPr>
            <w:tcW w:w="3724" w:type="dxa"/>
            <w:gridSpan w:val="2"/>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按照《清洁生产审核暂行办法》要求进行了审核；按照</w:t>
            </w:r>
            <w:r>
              <w:rPr>
                <w:kern w:val="0"/>
                <w:sz w:val="18"/>
                <w:szCs w:val="18"/>
              </w:rPr>
              <w:t xml:space="preserve">GB/T 24001 </w:t>
            </w:r>
            <w:r>
              <w:rPr>
                <w:rFonts w:hAnsi="宋体"/>
                <w:kern w:val="0"/>
                <w:sz w:val="18"/>
                <w:szCs w:val="18"/>
              </w:rPr>
              <w:t>建立并运行环境管理体系，环境管理手册、程序文件及作业文件齐备，原始记录及统计数据齐全有效</w:t>
            </w:r>
          </w:p>
        </w:tc>
        <w:tc>
          <w:tcPr>
            <w:tcW w:w="1787" w:type="dxa"/>
            <w:shd w:val="clear" w:color="auto" w:fill="auto"/>
            <w:noWrap w:val="0"/>
            <w:vAlign w:val="center"/>
          </w:tcPr>
          <w:p>
            <w:pPr>
              <w:widowControl/>
              <w:adjustRightInd w:val="0"/>
              <w:snapToGrid w:val="0"/>
              <w:spacing w:after="60" w:line="240" w:lineRule="atLeast"/>
              <w:ind w:firstLine="360"/>
              <w:jc w:val="center"/>
              <w:rPr>
                <w:kern w:val="0"/>
                <w:sz w:val="18"/>
                <w:szCs w:val="18"/>
              </w:rPr>
            </w:pPr>
            <w:r>
              <w:rPr>
                <w:rFonts w:hint="eastAsia" w:hAnsi="宋体"/>
                <w:kern w:val="0"/>
                <w:sz w:val="18"/>
                <w:szCs w:val="18"/>
              </w:rPr>
              <w:t>本技改项目</w:t>
            </w:r>
            <w:r>
              <w:rPr>
                <w:rFonts w:hAnsi="宋体"/>
                <w:kern w:val="0"/>
                <w:sz w:val="18"/>
                <w:szCs w:val="18"/>
              </w:rPr>
              <w:t>建成后即将开展清洁生产审核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1441" w:type="dxa"/>
            <w:shd w:val="clear" w:color="auto" w:fill="auto"/>
            <w:noWrap w:val="0"/>
            <w:vAlign w:val="center"/>
          </w:tcPr>
          <w:p>
            <w:pPr>
              <w:widowControl/>
              <w:adjustRightInd w:val="0"/>
              <w:snapToGrid w:val="0"/>
              <w:spacing w:after="60" w:line="240" w:lineRule="atLeast"/>
              <w:rPr>
                <w:kern w:val="0"/>
                <w:sz w:val="18"/>
                <w:szCs w:val="18"/>
              </w:rPr>
            </w:pPr>
            <w:r>
              <w:rPr>
                <w:kern w:val="0"/>
                <w:sz w:val="18"/>
                <w:szCs w:val="18"/>
              </w:rPr>
              <w:t>4.</w:t>
            </w:r>
            <w:r>
              <w:rPr>
                <w:rFonts w:hAnsi="宋体"/>
                <w:kern w:val="0"/>
                <w:sz w:val="18"/>
                <w:szCs w:val="18"/>
              </w:rPr>
              <w:t>岗位培训</w:t>
            </w:r>
          </w:p>
        </w:tc>
        <w:tc>
          <w:tcPr>
            <w:tcW w:w="3975" w:type="dxa"/>
            <w:gridSpan w:val="2"/>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所有岗位进行过严格培训</w:t>
            </w:r>
          </w:p>
        </w:tc>
        <w:tc>
          <w:tcPr>
            <w:tcW w:w="1903" w:type="dxa"/>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主要岗位进行过严格培训</w:t>
            </w:r>
          </w:p>
        </w:tc>
        <w:tc>
          <w:tcPr>
            <w:tcW w:w="1787" w:type="dxa"/>
            <w:shd w:val="clear" w:color="auto" w:fill="auto"/>
            <w:noWrap w:val="0"/>
            <w:vAlign w:val="center"/>
          </w:tcPr>
          <w:p>
            <w:pPr>
              <w:adjustRightInd w:val="0"/>
              <w:snapToGrid w:val="0"/>
              <w:spacing w:after="60" w:line="240" w:lineRule="atLeast"/>
              <w:ind w:firstLine="360"/>
              <w:jc w:val="center"/>
              <w:rPr>
                <w:kern w:val="0"/>
                <w:sz w:val="18"/>
                <w:szCs w:val="18"/>
              </w:rPr>
            </w:pPr>
            <w:r>
              <w:rPr>
                <w:rFonts w:hAnsi="宋体"/>
                <w:kern w:val="0"/>
                <w:sz w:val="18"/>
                <w:szCs w:val="18"/>
              </w:rPr>
              <w:t>所有岗位进行严格培训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1441" w:type="dxa"/>
            <w:shd w:val="clear" w:color="auto" w:fill="auto"/>
            <w:noWrap w:val="0"/>
            <w:vAlign w:val="center"/>
          </w:tcPr>
          <w:p>
            <w:pPr>
              <w:autoSpaceDE w:val="0"/>
              <w:autoSpaceDN w:val="0"/>
              <w:adjustRightInd w:val="0"/>
              <w:snapToGrid w:val="0"/>
              <w:spacing w:after="60" w:line="240" w:lineRule="atLeast"/>
              <w:rPr>
                <w:kern w:val="0"/>
                <w:sz w:val="18"/>
                <w:szCs w:val="18"/>
              </w:rPr>
            </w:pPr>
            <w:r>
              <w:rPr>
                <w:kern w:val="0"/>
                <w:sz w:val="18"/>
                <w:szCs w:val="18"/>
              </w:rPr>
              <w:t>5.</w:t>
            </w:r>
            <w:r>
              <w:rPr>
                <w:rFonts w:hAnsi="宋体"/>
                <w:kern w:val="0"/>
                <w:sz w:val="18"/>
                <w:szCs w:val="18"/>
              </w:rPr>
              <w:t>各岗位操作管理、设备管理</w:t>
            </w:r>
          </w:p>
        </w:tc>
        <w:tc>
          <w:tcPr>
            <w:tcW w:w="2154" w:type="dxa"/>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建立完善的管理制度并严格执行，设备完好率达</w:t>
            </w:r>
            <w:r>
              <w:rPr>
                <w:kern w:val="0"/>
                <w:sz w:val="18"/>
                <w:szCs w:val="18"/>
              </w:rPr>
              <w:t>100</w:t>
            </w:r>
            <w:r>
              <w:rPr>
                <w:rFonts w:hAnsi="宋体"/>
                <w:kern w:val="0"/>
                <w:sz w:val="18"/>
                <w:szCs w:val="18"/>
              </w:rPr>
              <w:t>％</w:t>
            </w:r>
          </w:p>
        </w:tc>
        <w:tc>
          <w:tcPr>
            <w:tcW w:w="1821" w:type="dxa"/>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建立完善的管理制度并严格执行，设备完好率达</w:t>
            </w:r>
            <w:r>
              <w:rPr>
                <w:kern w:val="0"/>
                <w:sz w:val="18"/>
                <w:szCs w:val="18"/>
              </w:rPr>
              <w:t>98</w:t>
            </w:r>
            <w:r>
              <w:rPr>
                <w:rFonts w:hAnsi="宋体"/>
                <w:kern w:val="0"/>
                <w:sz w:val="18"/>
                <w:szCs w:val="18"/>
              </w:rPr>
              <w:t>％</w:t>
            </w:r>
          </w:p>
        </w:tc>
        <w:tc>
          <w:tcPr>
            <w:tcW w:w="1903" w:type="dxa"/>
            <w:shd w:val="clear" w:color="auto" w:fill="auto"/>
            <w:noWrap w:val="0"/>
            <w:vAlign w:val="center"/>
          </w:tcPr>
          <w:p>
            <w:pPr>
              <w:widowControl/>
              <w:adjustRightInd w:val="0"/>
              <w:snapToGrid w:val="0"/>
              <w:spacing w:after="60" w:line="240" w:lineRule="atLeast"/>
              <w:ind w:firstLine="360"/>
              <w:rPr>
                <w:kern w:val="0"/>
                <w:sz w:val="18"/>
                <w:szCs w:val="18"/>
              </w:rPr>
            </w:pPr>
            <w:r>
              <w:rPr>
                <w:rFonts w:hAnsi="宋体"/>
                <w:kern w:val="0"/>
                <w:sz w:val="18"/>
                <w:szCs w:val="18"/>
              </w:rPr>
              <w:t>建立较完善的管理制度并严格执行，设备完好率达</w:t>
            </w:r>
            <w:r>
              <w:rPr>
                <w:kern w:val="0"/>
                <w:sz w:val="18"/>
                <w:szCs w:val="18"/>
              </w:rPr>
              <w:t>95</w:t>
            </w:r>
            <w:r>
              <w:rPr>
                <w:rFonts w:hAnsi="宋体"/>
                <w:kern w:val="0"/>
                <w:sz w:val="18"/>
                <w:szCs w:val="18"/>
              </w:rPr>
              <w:t>％</w:t>
            </w:r>
          </w:p>
        </w:tc>
        <w:tc>
          <w:tcPr>
            <w:tcW w:w="1787" w:type="dxa"/>
            <w:shd w:val="clear" w:color="auto" w:fill="auto"/>
            <w:noWrap w:val="0"/>
            <w:vAlign w:val="center"/>
          </w:tcPr>
          <w:p>
            <w:pPr>
              <w:adjustRightInd w:val="0"/>
              <w:snapToGrid w:val="0"/>
              <w:spacing w:after="60" w:line="240" w:lineRule="atLeast"/>
              <w:ind w:firstLine="360"/>
              <w:jc w:val="center"/>
              <w:rPr>
                <w:kern w:val="0"/>
                <w:sz w:val="18"/>
                <w:szCs w:val="18"/>
              </w:rPr>
            </w:pPr>
            <w:r>
              <w:rPr>
                <w:rFonts w:hAnsi="宋体"/>
                <w:kern w:val="0"/>
                <w:sz w:val="18"/>
                <w:szCs w:val="18"/>
              </w:rPr>
              <w:t>建立完善的管理制度并严格执行，设备完好率达</w:t>
            </w:r>
            <w:r>
              <w:rPr>
                <w:kern w:val="0"/>
                <w:sz w:val="18"/>
                <w:szCs w:val="18"/>
              </w:rPr>
              <w:t>100</w:t>
            </w:r>
            <w:r>
              <w:rPr>
                <w:rFonts w:hAnsi="宋体"/>
                <w:kern w:val="0"/>
                <w:sz w:val="18"/>
                <w:szCs w:val="18"/>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1441" w:type="dxa"/>
            <w:shd w:val="clear" w:color="auto" w:fill="auto"/>
            <w:noWrap w:val="0"/>
            <w:vAlign w:val="center"/>
          </w:tcPr>
          <w:p>
            <w:pPr>
              <w:autoSpaceDE w:val="0"/>
              <w:autoSpaceDN w:val="0"/>
              <w:adjustRightInd w:val="0"/>
              <w:snapToGrid w:val="0"/>
              <w:spacing w:after="60" w:line="240" w:lineRule="atLeast"/>
              <w:ind w:firstLine="360"/>
              <w:jc w:val="center"/>
              <w:rPr>
                <w:kern w:val="0"/>
                <w:sz w:val="18"/>
                <w:szCs w:val="18"/>
              </w:rPr>
            </w:pPr>
            <w:r>
              <w:rPr>
                <w:kern w:val="0"/>
                <w:sz w:val="18"/>
                <w:szCs w:val="18"/>
              </w:rPr>
              <w:t>6.</w:t>
            </w:r>
            <w:r>
              <w:rPr>
                <w:rFonts w:hAnsi="宋体"/>
                <w:kern w:val="0"/>
                <w:sz w:val="18"/>
                <w:szCs w:val="18"/>
              </w:rPr>
              <w:t>原料、燃料消耗及质检</w:t>
            </w:r>
          </w:p>
        </w:tc>
        <w:tc>
          <w:tcPr>
            <w:tcW w:w="2154" w:type="dxa"/>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建立原料、燃料质检制度和原料、燃料消耗定额管理制度，安装计量装置或仪表，对能耗、物料消耗及水耗进行严格定量考核</w:t>
            </w:r>
          </w:p>
        </w:tc>
        <w:tc>
          <w:tcPr>
            <w:tcW w:w="1821" w:type="dxa"/>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w:t>
            </w:r>
          </w:p>
          <w:p>
            <w:pPr>
              <w:widowControl/>
              <w:adjustRightInd w:val="0"/>
              <w:snapToGrid w:val="0"/>
              <w:spacing w:after="60" w:line="240" w:lineRule="atLeast"/>
              <w:ind w:firstLine="360"/>
              <w:rPr>
                <w:kern w:val="0"/>
                <w:sz w:val="18"/>
                <w:szCs w:val="18"/>
              </w:rPr>
            </w:pPr>
            <w:r>
              <w:rPr>
                <w:rFonts w:hAnsi="宋体"/>
                <w:kern w:val="0"/>
                <w:sz w:val="18"/>
                <w:szCs w:val="18"/>
              </w:rPr>
              <w:t>质检制度和原料、燃料消耗定额管理制度，对能耗、物料消耗及水耗进行定量考核</w:t>
            </w:r>
          </w:p>
        </w:tc>
        <w:tc>
          <w:tcPr>
            <w:tcW w:w="1903" w:type="dxa"/>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建立原料、燃料质检制度和原料燃料消耗定额管理制度，对能耗、物料消耗及水耗进行计量</w:t>
            </w:r>
          </w:p>
        </w:tc>
        <w:tc>
          <w:tcPr>
            <w:tcW w:w="1787" w:type="dxa"/>
            <w:shd w:val="clear" w:color="auto" w:fill="auto"/>
            <w:noWrap w:val="0"/>
            <w:vAlign w:val="center"/>
          </w:tcPr>
          <w:p>
            <w:pPr>
              <w:autoSpaceDE w:val="0"/>
              <w:autoSpaceDN w:val="0"/>
              <w:adjustRightInd w:val="0"/>
              <w:snapToGrid w:val="0"/>
              <w:spacing w:after="60" w:line="240" w:lineRule="atLeast"/>
              <w:ind w:firstLine="360"/>
              <w:jc w:val="center"/>
              <w:rPr>
                <w:kern w:val="0"/>
                <w:sz w:val="18"/>
                <w:szCs w:val="18"/>
              </w:rPr>
            </w:pPr>
            <w:r>
              <w:rPr>
                <w:rFonts w:hAnsi="宋体"/>
                <w:kern w:val="0"/>
                <w:sz w:val="18"/>
                <w:szCs w:val="18"/>
              </w:rPr>
              <w:t>安装有计量装置</w:t>
            </w:r>
          </w:p>
          <w:p>
            <w:pPr>
              <w:adjustRightInd w:val="0"/>
              <w:snapToGrid w:val="0"/>
              <w:spacing w:after="60" w:line="240" w:lineRule="atLeast"/>
              <w:ind w:firstLine="360"/>
              <w:jc w:val="center"/>
              <w:rPr>
                <w:kern w:val="0"/>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5" w:hRule="atLeast"/>
          <w:jc w:val="center"/>
        </w:trPr>
        <w:tc>
          <w:tcPr>
            <w:tcW w:w="1441" w:type="dxa"/>
            <w:shd w:val="clear" w:color="auto" w:fill="auto"/>
            <w:noWrap w:val="0"/>
            <w:vAlign w:val="center"/>
          </w:tcPr>
          <w:p>
            <w:pPr>
              <w:autoSpaceDE w:val="0"/>
              <w:autoSpaceDN w:val="0"/>
              <w:adjustRightInd w:val="0"/>
              <w:snapToGrid w:val="0"/>
              <w:spacing w:after="60" w:line="240" w:lineRule="atLeast"/>
              <w:rPr>
                <w:kern w:val="0"/>
                <w:sz w:val="18"/>
                <w:szCs w:val="18"/>
              </w:rPr>
            </w:pPr>
            <w:r>
              <w:rPr>
                <w:kern w:val="0"/>
                <w:sz w:val="18"/>
                <w:szCs w:val="18"/>
              </w:rPr>
              <w:t>7.</w:t>
            </w:r>
            <w:r>
              <w:rPr>
                <w:rFonts w:hAnsi="宋体"/>
                <w:kern w:val="0"/>
                <w:sz w:val="18"/>
                <w:szCs w:val="18"/>
              </w:rPr>
              <w:t>颗粒物、无组织排放控制</w:t>
            </w:r>
          </w:p>
        </w:tc>
        <w:tc>
          <w:tcPr>
            <w:tcW w:w="3975" w:type="dxa"/>
            <w:gridSpan w:val="2"/>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生产线的物料处理、输送、装卸、贮存过程应封闭，所有物料均不得露天堆放，对粉尘、无组织排放进行控制并定期监测，其中窑系统须安装并实施连续在线监测装置；同时对块石、粘湿物料、浆料以及车船装卸料过程进行有效的控制。建立污染事故的应急程序</w:t>
            </w:r>
          </w:p>
        </w:tc>
        <w:tc>
          <w:tcPr>
            <w:tcW w:w="1903" w:type="dxa"/>
            <w:shd w:val="clear" w:color="auto" w:fill="auto"/>
            <w:noWrap w:val="0"/>
            <w:vAlign w:val="center"/>
          </w:tcPr>
          <w:p>
            <w:pPr>
              <w:autoSpaceDE w:val="0"/>
              <w:autoSpaceDN w:val="0"/>
              <w:adjustRightInd w:val="0"/>
              <w:snapToGrid w:val="0"/>
              <w:spacing w:after="60" w:line="240" w:lineRule="atLeast"/>
              <w:ind w:firstLine="360"/>
              <w:rPr>
                <w:kern w:val="0"/>
                <w:sz w:val="18"/>
                <w:szCs w:val="18"/>
              </w:rPr>
            </w:pPr>
            <w:r>
              <w:rPr>
                <w:rFonts w:hAnsi="宋体"/>
                <w:kern w:val="0"/>
                <w:sz w:val="18"/>
                <w:szCs w:val="18"/>
              </w:rPr>
              <w:t>生产线对干粉料的处理、输送、装卸、贮存应封闭；对粉尘、无组织排放进行控制；露天储料场应当采取防起尘、防雨水冲刷流失的措施；装、卸料时，采取有效措施防止扬尘</w:t>
            </w:r>
          </w:p>
        </w:tc>
        <w:tc>
          <w:tcPr>
            <w:tcW w:w="1787" w:type="dxa"/>
            <w:shd w:val="clear" w:color="auto" w:fill="auto"/>
            <w:noWrap w:val="0"/>
            <w:vAlign w:val="center"/>
          </w:tcPr>
          <w:p>
            <w:pPr>
              <w:autoSpaceDE w:val="0"/>
              <w:autoSpaceDN w:val="0"/>
              <w:adjustRightInd w:val="0"/>
              <w:snapToGrid w:val="0"/>
              <w:spacing w:after="60" w:line="240" w:lineRule="atLeast"/>
              <w:ind w:firstLine="360"/>
              <w:jc w:val="center"/>
              <w:rPr>
                <w:kern w:val="0"/>
                <w:sz w:val="18"/>
                <w:szCs w:val="18"/>
              </w:rPr>
            </w:pPr>
            <w:r>
              <w:rPr>
                <w:rFonts w:hAnsi="宋体"/>
                <w:kern w:val="0"/>
                <w:sz w:val="18"/>
                <w:szCs w:val="18"/>
              </w:rPr>
              <w:t>物料堆存在</w:t>
            </w:r>
            <w:r>
              <w:rPr>
                <w:rFonts w:hAnsi="宋体"/>
                <w:sz w:val="18"/>
                <w:szCs w:val="18"/>
              </w:rPr>
              <w:t>堆棚或</w:t>
            </w:r>
            <w:r>
              <w:rPr>
                <w:rFonts w:hAnsi="宋体"/>
                <w:kern w:val="0"/>
                <w:sz w:val="18"/>
                <w:szCs w:val="18"/>
              </w:rPr>
              <w:t>密闭堆场，对粉尘、无组织排放进行控制并定期监测，窑系统安装在线监测装置，采取有效措施防止扬尘</w:t>
            </w:r>
          </w:p>
        </w:tc>
      </w:tr>
    </w:tbl>
    <w:p>
      <w:pPr>
        <w:spacing w:line="360" w:lineRule="auto"/>
        <w:outlineLvl w:val="2"/>
        <w:rPr>
          <w:rFonts w:hint="eastAsia"/>
          <w:b/>
        </w:rPr>
      </w:pPr>
    </w:p>
    <w:p>
      <w:pPr>
        <w:spacing w:line="360" w:lineRule="auto"/>
        <w:outlineLvl w:val="2"/>
        <w:rPr>
          <w:rFonts w:hint="eastAsia"/>
          <w:b/>
        </w:rPr>
      </w:pPr>
      <w:r>
        <w:rPr>
          <w:rFonts w:hint="eastAsia"/>
          <w:b/>
        </w:rPr>
        <w:t>4.1.5 进一步实施清洁生产的途径</w:t>
      </w:r>
    </w:p>
    <w:p>
      <w:pPr>
        <w:pStyle w:val="11"/>
        <w:spacing w:line="360" w:lineRule="auto"/>
        <w:ind w:firstLine="480" w:firstLineChars="200"/>
        <w:rPr>
          <w:rFonts w:ascii="Times New Roman" w:hAnsi="Times New Roman"/>
          <w:sz w:val="24"/>
          <w:szCs w:val="24"/>
        </w:rPr>
      </w:pPr>
      <w:r>
        <w:rPr>
          <w:rFonts w:ascii="Times New Roman" w:hAnsi="Times New Roman"/>
          <w:sz w:val="24"/>
          <w:szCs w:val="24"/>
        </w:rPr>
        <w:t>为了减少NOx、SO</w:t>
      </w:r>
      <w:r>
        <w:rPr>
          <w:rFonts w:ascii="Times New Roman" w:hAnsi="Times New Roman"/>
          <w:sz w:val="24"/>
          <w:szCs w:val="24"/>
          <w:vertAlign w:val="subscript"/>
        </w:rPr>
        <w:t xml:space="preserve">2 </w:t>
      </w:r>
      <w:r>
        <w:rPr>
          <w:rFonts w:ascii="Times New Roman" w:hAnsi="Times New Roman"/>
          <w:sz w:val="24"/>
          <w:szCs w:val="24"/>
        </w:rPr>
        <w:t>污染，本</w:t>
      </w:r>
      <w:r>
        <w:rPr>
          <w:rFonts w:hint="eastAsia" w:ascii="Times New Roman" w:hAnsi="Times New Roman"/>
          <w:sz w:val="24"/>
          <w:szCs w:val="24"/>
        </w:rPr>
        <w:t>评价</w:t>
      </w:r>
      <w:r>
        <w:rPr>
          <w:rFonts w:ascii="Times New Roman" w:hAnsi="Times New Roman"/>
          <w:sz w:val="24"/>
          <w:szCs w:val="24"/>
        </w:rPr>
        <w:t>建议</w:t>
      </w:r>
      <w:r>
        <w:rPr>
          <w:rFonts w:hint="eastAsia" w:ascii="Times New Roman" w:hAnsi="Times New Roman"/>
          <w:sz w:val="24"/>
          <w:szCs w:val="24"/>
        </w:rPr>
        <w:t>技改项目</w:t>
      </w:r>
      <w:r>
        <w:rPr>
          <w:rFonts w:ascii="Times New Roman" w:hAnsi="Times New Roman"/>
          <w:sz w:val="24"/>
          <w:szCs w:val="24"/>
        </w:rPr>
        <w:t>采用改变燃烧条件的方法来降低NOx排放量，即采用低NOx燃烧技术</w:t>
      </w:r>
      <w:r>
        <w:rPr>
          <w:rFonts w:hint="eastAsia" w:ascii="Times New Roman" w:hAnsi="Times New Roman"/>
          <w:sz w:val="24"/>
          <w:szCs w:val="24"/>
        </w:rPr>
        <w:t>，</w:t>
      </w:r>
      <w:r>
        <w:rPr>
          <w:rFonts w:ascii="Times New Roman" w:hAnsi="Times New Roman"/>
          <w:sz w:val="24"/>
          <w:szCs w:val="24"/>
        </w:rPr>
        <w:t>采用</w:t>
      </w:r>
      <w:r>
        <w:rPr>
          <w:rFonts w:hint="eastAsia" w:ascii="Times New Roman" w:hAnsi="Times New Roman"/>
          <w:sz w:val="24"/>
          <w:szCs w:val="24"/>
        </w:rPr>
        <w:t>低硫</w:t>
      </w:r>
      <w:r>
        <w:rPr>
          <w:rFonts w:ascii="Times New Roman" w:hAnsi="Times New Roman"/>
          <w:sz w:val="24"/>
          <w:szCs w:val="24"/>
        </w:rPr>
        <w:t>煤来降低SO2排放量。为了更好的消纳工业废渣，环评建议</w:t>
      </w:r>
      <w:r>
        <w:rPr>
          <w:rFonts w:hint="eastAsia" w:ascii="Times New Roman" w:hAnsi="Times New Roman"/>
          <w:sz w:val="24"/>
          <w:szCs w:val="24"/>
        </w:rPr>
        <w:t>技改</w:t>
      </w:r>
      <w:r>
        <w:rPr>
          <w:rFonts w:ascii="Times New Roman" w:hAnsi="Times New Roman"/>
          <w:sz w:val="24"/>
          <w:szCs w:val="24"/>
        </w:rPr>
        <w:t>项目应与其他产生硫酸渣、混合材等工业废渣的工厂签订购买协议。同时做好本项目废渣的回收利用：除尘器收集的除尘灰通过螺旋输送机返回到各自工艺流程中回用，新增燃煤灰渣回收用作混合材。</w:t>
      </w:r>
    </w:p>
    <w:p>
      <w:pPr>
        <w:spacing w:line="360" w:lineRule="auto"/>
        <w:ind w:firstLine="420" w:firstLineChars="200"/>
      </w:pPr>
      <w:r>
        <w:t>为了推进节水型企业建设，</w:t>
      </w:r>
      <w:r>
        <w:rPr>
          <w:rFonts w:hint="eastAsia"/>
        </w:rPr>
        <w:t>评价建议技改项目</w:t>
      </w:r>
      <w:r>
        <w:t>采取进一步的节水措施，改进水处理方案，将生活</w:t>
      </w:r>
      <w:r>
        <w:rPr>
          <w:rFonts w:hint="eastAsia"/>
        </w:rPr>
        <w:t>及辅助设施废</w:t>
      </w:r>
      <w:r>
        <w:t>水经</w:t>
      </w:r>
      <w:r>
        <w:rPr>
          <w:rFonts w:hint="eastAsia"/>
        </w:rPr>
        <w:t>生化水处理</w:t>
      </w:r>
      <w:r>
        <w:t>装置处理后，回用作</w:t>
      </w:r>
      <w:r>
        <w:rPr>
          <w:rFonts w:hint="eastAsia"/>
        </w:rPr>
        <w:t>设备喷水</w:t>
      </w:r>
      <w:r>
        <w:t>，不排放。</w:t>
      </w:r>
    </w:p>
    <w:p>
      <w:pPr>
        <w:spacing w:line="360" w:lineRule="auto"/>
        <w:outlineLvl w:val="1"/>
        <w:rPr>
          <w:b/>
        </w:rPr>
      </w:pPr>
      <w:bookmarkStart w:id="197" w:name="_Toc175479805"/>
      <w:bookmarkStart w:id="198" w:name="_Toc276372233"/>
      <w:bookmarkStart w:id="199" w:name="_Toc189814150"/>
      <w:bookmarkStart w:id="200" w:name="_Toc473281508"/>
      <w:r>
        <w:rPr>
          <w:rFonts w:hint="eastAsia"/>
          <w:b/>
        </w:rPr>
        <w:t>4.2循环经济分析</w:t>
      </w:r>
      <w:bookmarkEnd w:id="197"/>
      <w:bookmarkEnd w:id="198"/>
      <w:bookmarkEnd w:id="199"/>
      <w:bookmarkEnd w:id="200"/>
    </w:p>
    <w:p>
      <w:pPr>
        <w:spacing w:line="360" w:lineRule="auto"/>
        <w:ind w:firstLine="420" w:firstLineChars="200"/>
        <w:rPr>
          <w:rFonts w:hint="eastAsia"/>
          <w:bCs/>
        </w:rPr>
      </w:pPr>
      <w:r>
        <w:rPr>
          <w:rFonts w:hint="eastAsia"/>
          <w:bCs/>
        </w:rPr>
        <w:t>在企业实施清洁生产是物料循环和废物利用水平的循环经济，在园区或行业实施清洁生产是产业链层次的循环经济；而更高层次的循环经济则需要相当大的范围和区域，链接众多部门，涉及各类复杂因素，是生态、社会、经济复合系统各因素达到相互制约与发展、互为反馈调节的动态平衡系统。</w:t>
      </w:r>
    </w:p>
    <w:p>
      <w:pPr>
        <w:spacing w:line="360" w:lineRule="auto"/>
        <w:ind w:firstLine="420" w:firstLineChars="200"/>
        <w:rPr>
          <w:rFonts w:hint="eastAsia"/>
          <w:bCs/>
        </w:rPr>
      </w:pPr>
      <w:r>
        <w:rPr>
          <w:rFonts w:hint="eastAsia"/>
          <w:bCs/>
        </w:rPr>
        <w:t>发展循环经济需以改变发展观念为先导，以科学规划为基础，以循环经济为基点，以生态产业区域为载体，以延伸产业链为主线，并注重技术改革和创新。</w:t>
      </w:r>
    </w:p>
    <w:p>
      <w:pPr>
        <w:spacing w:line="360" w:lineRule="auto"/>
        <w:rPr>
          <w:rFonts w:hint="eastAsia"/>
          <w:b/>
        </w:rPr>
      </w:pPr>
      <w:r>
        <w:rPr>
          <w:rFonts w:hint="eastAsia"/>
          <w:b/>
        </w:rPr>
        <w:t>4.2.1余热利用</w:t>
      </w:r>
    </w:p>
    <w:p>
      <w:pPr>
        <w:spacing w:line="360" w:lineRule="auto"/>
        <w:ind w:firstLine="420" w:firstLineChars="200"/>
        <w:rPr>
          <w:rFonts w:hint="eastAsia"/>
          <w:bCs/>
        </w:rPr>
      </w:pPr>
      <w:r>
        <w:rPr>
          <w:rFonts w:hint="eastAsia"/>
          <w:bCs/>
        </w:rPr>
        <w:t>水泥生产中综合利用生产过程中的废气余热是新型干法水泥生产技术的一大特色。在技改项目可研设计中，一是考虑了充分利用窑尾预热器排出的废气：首先过SP锅炉作为余热发电锅炉的热源，然后部分废气由高温风机送至</w:t>
      </w:r>
      <w:r>
        <w:rPr>
          <w:bCs/>
        </w:rPr>
        <w:t>生料磨作为烘干热源</w:t>
      </w:r>
      <w:r>
        <w:rPr>
          <w:rFonts w:hint="eastAsia"/>
          <w:bCs/>
        </w:rPr>
        <w:t>。二是考虑了充分利用窑头蓖冷机排出的废气：首先抽取蓖冷机中部的废气，过</w:t>
      </w:r>
      <w:r>
        <w:rPr>
          <w:bCs/>
        </w:rPr>
        <w:t>AQC</w:t>
      </w:r>
      <w:r>
        <w:rPr>
          <w:rFonts w:hint="eastAsia"/>
          <w:bCs/>
        </w:rPr>
        <w:t>锅炉作为余热发电锅炉的热源，然后余下的蓖冷机废气由高温风机送至原系统的煤</w:t>
      </w:r>
      <w:r>
        <w:rPr>
          <w:bCs/>
        </w:rPr>
        <w:t>磨作为烘干热源</w:t>
      </w:r>
      <w:r>
        <w:rPr>
          <w:rFonts w:hint="eastAsia"/>
          <w:bCs/>
        </w:rPr>
        <w:t>。三是采用最新第三代控制流型新技术的冷却机，熟料急冷效果突出，可有效回收出窑熟料的热量、并使入窑二次风和入炉三次风的温度均可达到920℃（大窑门罩抽风），其热效率可高达</w:t>
      </w:r>
      <w:r>
        <w:rPr>
          <w:bCs/>
        </w:rPr>
        <w:t>7</w:t>
      </w:r>
      <w:r>
        <w:rPr>
          <w:rFonts w:hint="eastAsia"/>
          <w:bCs/>
        </w:rPr>
        <w:t>4%以上，且也可相应降低熟料烧成热耗。</w:t>
      </w:r>
    </w:p>
    <w:p>
      <w:pPr>
        <w:spacing w:line="360" w:lineRule="auto"/>
        <w:rPr>
          <w:rFonts w:hint="eastAsia"/>
          <w:b/>
        </w:rPr>
      </w:pPr>
      <w:r>
        <w:rPr>
          <w:rFonts w:hint="eastAsia"/>
          <w:b/>
        </w:rPr>
        <w:t>4.2.2 “三废”综合利用</w:t>
      </w:r>
    </w:p>
    <w:p>
      <w:pPr>
        <w:spacing w:line="360" w:lineRule="auto"/>
        <w:ind w:firstLine="420" w:firstLineChars="200"/>
        <w:rPr>
          <w:rFonts w:hint="eastAsia" w:ascii="宋体" w:hAnsi="宋体"/>
        </w:rPr>
      </w:pPr>
      <w:r>
        <w:rPr>
          <w:rFonts w:hint="eastAsia" w:ascii="宋体" w:hAnsi="宋体"/>
        </w:rPr>
        <w:t>（1）</w:t>
      </w:r>
      <w:r>
        <w:rPr>
          <w:rFonts w:hint="eastAsia" w:ascii="Arial" w:hAnsi="Arial" w:cs="Arial"/>
        </w:rPr>
        <w:t>水泥生产中</w:t>
      </w:r>
      <w:r>
        <w:rPr>
          <w:rFonts w:hint="eastAsia"/>
        </w:rPr>
        <w:t>各粉尘和烟尘除尘器产生的除尘灰收集后作生产原料回用</w:t>
      </w:r>
      <w:r>
        <w:rPr>
          <w:rFonts w:hint="eastAsia" w:ascii="宋体" w:hAnsi="宋体"/>
        </w:rPr>
        <w:t>。</w:t>
      </w:r>
    </w:p>
    <w:p>
      <w:pPr>
        <w:spacing w:line="360" w:lineRule="auto"/>
        <w:ind w:firstLine="420" w:firstLineChars="200"/>
        <w:rPr>
          <w:rFonts w:hint="eastAsia"/>
        </w:rPr>
      </w:pPr>
      <w:r>
        <w:rPr>
          <w:rFonts w:hint="eastAsia"/>
        </w:rPr>
        <w:t>（2）青棚煤业公司煤矸石堆积如山，既占用大量土地，同时也污染环境，而技改项目可将其作为铝质原料和混合材，充分体现了“变废为宝”。</w:t>
      </w:r>
    </w:p>
    <w:p>
      <w:pPr>
        <w:spacing w:line="360" w:lineRule="auto"/>
        <w:rPr>
          <w:rFonts w:hint="eastAsia"/>
          <w:b/>
        </w:rPr>
      </w:pPr>
      <w:r>
        <w:rPr>
          <w:rFonts w:hint="eastAsia"/>
          <w:b/>
        </w:rPr>
        <w:t>4.2.3 余热发电利用</w:t>
      </w:r>
    </w:p>
    <w:p>
      <w:pPr>
        <w:spacing w:line="360" w:lineRule="auto"/>
        <w:ind w:firstLine="420" w:firstLineChars="200"/>
        <w:rPr>
          <w:rFonts w:hint="eastAsia"/>
          <w:bCs/>
        </w:rPr>
      </w:pPr>
      <w:r>
        <w:rPr>
          <w:rFonts w:hint="eastAsia"/>
          <w:bCs/>
        </w:rPr>
        <w:t>利用窑头和窑尾废气热源配套建设的低温发电系统可提供电量</w:t>
      </w:r>
      <w:r>
        <w:rPr>
          <w:rFonts w:hint="eastAsia"/>
        </w:rPr>
        <w:t>2479×10</w:t>
      </w:r>
      <w:r>
        <w:rPr>
          <w:rFonts w:hint="eastAsia"/>
          <w:vertAlign w:val="superscript"/>
        </w:rPr>
        <w:t>4</w:t>
      </w:r>
      <w:r>
        <w:rPr>
          <w:bCs/>
        </w:rPr>
        <w:t>kW.h</w:t>
      </w:r>
      <w:r>
        <w:rPr>
          <w:rFonts w:hint="eastAsia"/>
          <w:bCs/>
        </w:rPr>
        <w:t>，能解决技改项目总耗电量的</w:t>
      </w:r>
      <w:r>
        <w:rPr>
          <w:rFonts w:hint="eastAsia"/>
        </w:rPr>
        <w:t>26.1%</w:t>
      </w:r>
      <w:r>
        <w:rPr>
          <w:rFonts w:hint="eastAsia"/>
          <w:bCs/>
        </w:rPr>
        <w:t>电量，减少了生产耗电量。</w:t>
      </w:r>
    </w:p>
    <w:p>
      <w:pPr>
        <w:spacing w:line="360" w:lineRule="auto"/>
        <w:ind w:firstLine="420" w:firstLineChars="200"/>
        <w:rPr>
          <w:rFonts w:hint="eastAsia"/>
          <w:bCs/>
        </w:rPr>
      </w:pPr>
      <w:r>
        <w:rPr>
          <w:rFonts w:hint="eastAsia"/>
          <w:bCs/>
        </w:rPr>
        <w:t>因此，技改项目自身内部充分利用了余热和“三废”排放的污染物，体现了废物综合利用的循环经济原则。</w:t>
      </w:r>
    </w:p>
    <w:p>
      <w:pPr>
        <w:pStyle w:val="13"/>
        <w:ind w:firstLine="0" w:firstLineChars="0"/>
        <w:outlineLvl w:val="0"/>
        <w:rPr>
          <w:rFonts w:hint="eastAsia"/>
          <w:b/>
          <w:szCs w:val="28"/>
        </w:rPr>
      </w:pPr>
      <w:bookmarkStart w:id="201" w:name="_Toc175479806"/>
      <w:bookmarkStart w:id="202" w:name="_Toc165607367"/>
    </w:p>
    <w:p>
      <w:pPr>
        <w:pStyle w:val="13"/>
        <w:ind w:firstLine="0" w:firstLineChars="0"/>
        <w:outlineLvl w:val="0"/>
        <w:rPr>
          <w:b/>
          <w:szCs w:val="28"/>
        </w:rPr>
        <w:sectPr>
          <w:pgSz w:w="11906" w:h="16838"/>
          <w:pgMar w:top="1440" w:right="1418" w:bottom="1440" w:left="1418" w:header="851" w:footer="992" w:gutter="0"/>
          <w:paperSrc w:first="20070" w:other="20070"/>
          <w:cols w:space="425" w:num="1"/>
          <w:docGrid w:linePitch="312" w:charSpace="0"/>
        </w:sectPr>
      </w:pPr>
    </w:p>
    <w:p>
      <w:pPr>
        <w:pStyle w:val="13"/>
        <w:ind w:left="0" w:firstLine="0" w:firstLineChars="0"/>
        <w:outlineLvl w:val="0"/>
        <w:rPr>
          <w:b/>
          <w:szCs w:val="28"/>
        </w:rPr>
      </w:pPr>
      <w:bookmarkStart w:id="203" w:name="_Toc276372234"/>
      <w:bookmarkStart w:id="204" w:name="_Toc473281509"/>
      <w:bookmarkStart w:id="205" w:name="_Toc189814151"/>
      <w:r>
        <w:rPr>
          <w:rFonts w:hint="eastAsia"/>
          <w:b/>
          <w:szCs w:val="28"/>
        </w:rPr>
        <w:t xml:space="preserve">5 </w:t>
      </w:r>
      <w:r>
        <w:rPr>
          <w:b/>
          <w:szCs w:val="28"/>
        </w:rPr>
        <w:t>区域环境现状</w:t>
      </w:r>
      <w:bookmarkEnd w:id="203"/>
    </w:p>
    <w:p>
      <w:pPr>
        <w:spacing w:line="360" w:lineRule="auto"/>
        <w:outlineLvl w:val="1"/>
        <w:rPr>
          <w:b/>
        </w:rPr>
      </w:pPr>
      <w:bookmarkStart w:id="206" w:name="_Toc276372235"/>
      <w:bookmarkStart w:id="207" w:name="_Toc143943211"/>
      <w:bookmarkStart w:id="208" w:name="_Toc183664781"/>
      <w:bookmarkStart w:id="209" w:name="_Toc183664988"/>
      <w:bookmarkStart w:id="210" w:name="_Toc183749607"/>
      <w:bookmarkStart w:id="211" w:name="_Toc185674913"/>
      <w:bookmarkStart w:id="212" w:name="_Toc185674744"/>
      <w:r>
        <w:rPr>
          <w:rFonts w:hint="eastAsia"/>
          <w:b/>
        </w:rPr>
        <w:t>5</w:t>
      </w:r>
      <w:r>
        <w:rPr>
          <w:b/>
        </w:rPr>
        <w:t>.1自然环境概况</w:t>
      </w:r>
      <w:bookmarkEnd w:id="206"/>
      <w:bookmarkEnd w:id="207"/>
      <w:bookmarkEnd w:id="208"/>
      <w:bookmarkEnd w:id="209"/>
      <w:bookmarkEnd w:id="210"/>
      <w:bookmarkEnd w:id="211"/>
      <w:bookmarkEnd w:id="212"/>
    </w:p>
    <w:p>
      <w:pPr>
        <w:spacing w:line="360" w:lineRule="auto"/>
        <w:rPr>
          <w:b/>
        </w:rPr>
      </w:pPr>
      <w:bookmarkStart w:id="213" w:name="_Toc183664782"/>
      <w:bookmarkStart w:id="214" w:name="_Toc185674914"/>
      <w:bookmarkStart w:id="215" w:name="_Toc183749608"/>
      <w:bookmarkStart w:id="216" w:name="_Toc185674745"/>
      <w:bookmarkStart w:id="217" w:name="_Toc183664989"/>
      <w:r>
        <w:rPr>
          <w:rFonts w:hint="eastAsia"/>
          <w:b/>
        </w:rPr>
        <w:t>5</w:t>
      </w:r>
      <w:r>
        <w:rPr>
          <w:b/>
        </w:rPr>
        <w:t>.1.1地理位置</w:t>
      </w:r>
      <w:bookmarkEnd w:id="213"/>
      <w:bookmarkEnd w:id="214"/>
      <w:bookmarkEnd w:id="215"/>
      <w:bookmarkEnd w:id="216"/>
      <w:bookmarkEnd w:id="217"/>
    </w:p>
    <w:p>
      <w:pPr>
        <w:pStyle w:val="6"/>
        <w:spacing w:line="360" w:lineRule="auto"/>
        <w:ind w:firstLine="480" w:firstLineChars="200"/>
        <w:rPr>
          <w:rFonts w:hint="eastAsia"/>
          <w:sz w:val="24"/>
          <w:szCs w:val="24"/>
        </w:rPr>
      </w:pPr>
      <w:bookmarkStart w:id="218" w:name="_Toc185674746"/>
      <w:bookmarkStart w:id="219" w:name="_Toc183749609"/>
      <w:bookmarkStart w:id="220" w:name="_Toc183664783"/>
      <w:bookmarkStart w:id="221" w:name="_Toc185674915"/>
      <w:bookmarkStart w:id="222" w:name="_Toc183664990"/>
      <w:r>
        <w:rPr>
          <w:sz w:val="24"/>
        </w:rPr>
        <w:t>沙坪坝区位于重庆市</w:t>
      </w:r>
      <w:r>
        <w:rPr>
          <w:rFonts w:hint="eastAsia"/>
          <w:sz w:val="24"/>
        </w:rPr>
        <w:t>主城区</w:t>
      </w:r>
      <w:r>
        <w:rPr>
          <w:sz w:val="24"/>
        </w:rPr>
        <w:t>西</w:t>
      </w:r>
      <w:r>
        <w:rPr>
          <w:sz w:val="24"/>
          <w:szCs w:val="24"/>
        </w:rPr>
        <w:t>部，嘉陵江两岸。北接北碚，南面与九龙坡区相临，东边为渝北区、江北区、渝中区，西边为璧山县，距江北国际机场约24.8km。</w:t>
      </w:r>
      <w:r>
        <w:rPr>
          <w:rFonts w:hint="eastAsia"/>
          <w:sz w:val="24"/>
          <w:szCs w:val="24"/>
        </w:rPr>
        <w:t>青木关镇位于重庆市沙坪坝区的西北部，地处缙云山脉和梁滩河之间的槽谷地带，幅员32.27平方公里， 镇政府驻地在319国道264</w:t>
      </w:r>
      <w:r>
        <w:rPr>
          <w:sz w:val="24"/>
          <w:szCs w:val="24"/>
        </w:rPr>
        <w:t>0</w:t>
      </w:r>
      <w:r>
        <w:rPr>
          <w:rFonts w:hint="eastAsia"/>
          <w:sz w:val="24"/>
          <w:szCs w:val="24"/>
        </w:rPr>
        <w:t>千米处，距沙坪坝区政府驻地33千米，距璧山县政府驻地15千米，距北碚区政府驻地25千米，距北碚嘉陵江码头26千米，距回龙坝火车站16千米，是壁山、北碚、九龙坡的金三角物资集散中心。</w:t>
      </w:r>
    </w:p>
    <w:p>
      <w:pPr>
        <w:adjustRightInd w:val="0"/>
        <w:snapToGrid w:val="0"/>
        <w:spacing w:line="360" w:lineRule="auto"/>
        <w:ind w:firstLine="420" w:firstLineChars="200"/>
        <w:rPr>
          <w:rFonts w:hint="eastAsia"/>
        </w:rPr>
      </w:pPr>
      <w:r>
        <w:rPr>
          <w:rFonts w:hint="eastAsia"/>
        </w:rPr>
        <w:t>重庆永荣青鹏水泥厂位于沙坪坝区青木关镇关口村，紧邻319国道，交通便利。</w:t>
      </w:r>
    </w:p>
    <w:p>
      <w:pPr>
        <w:spacing w:line="360" w:lineRule="auto"/>
        <w:rPr>
          <w:b/>
        </w:rPr>
      </w:pPr>
      <w:r>
        <w:rPr>
          <w:rFonts w:hint="eastAsia"/>
          <w:b/>
        </w:rPr>
        <w:t>5</w:t>
      </w:r>
      <w:r>
        <w:rPr>
          <w:b/>
        </w:rPr>
        <w:t>.1.2</w:t>
      </w:r>
      <w:r>
        <w:rPr>
          <w:rFonts w:hAnsi="宋体"/>
          <w:b/>
        </w:rPr>
        <w:t>地形地貌</w:t>
      </w:r>
      <w:bookmarkEnd w:id="218"/>
      <w:bookmarkEnd w:id="219"/>
      <w:bookmarkEnd w:id="220"/>
      <w:bookmarkEnd w:id="221"/>
      <w:bookmarkEnd w:id="222"/>
    </w:p>
    <w:p>
      <w:pPr>
        <w:adjustRightInd w:val="0"/>
        <w:snapToGrid w:val="0"/>
        <w:spacing w:line="360" w:lineRule="auto"/>
        <w:ind w:firstLine="420" w:firstLineChars="200"/>
        <w:rPr>
          <w:rFonts w:hint="eastAsia"/>
        </w:rPr>
      </w:pPr>
      <w:bookmarkStart w:id="223" w:name="_Toc183664784"/>
      <w:bookmarkStart w:id="224" w:name="_Toc183749610"/>
      <w:bookmarkStart w:id="225" w:name="_Toc183664991"/>
      <w:bookmarkStart w:id="226" w:name="_Toc185674916"/>
      <w:bookmarkStart w:id="227" w:name="_Toc185674747"/>
      <w:r>
        <w:t>沙坪坝区位于沙坪坝背斜西翼，属浅丘地貌类型，呈平台和坡坎相间。岩层产状：地层倾向190°，倾角11°，构造简单。岩层中裂缝少量发育，呈闭合状，倾角陡为75~85°。场地无自由地下水，对桩孔开挖及施工无大影响。场地及邻区无断裂构造。</w:t>
      </w:r>
    </w:p>
    <w:p>
      <w:pPr>
        <w:pStyle w:val="6"/>
        <w:spacing w:line="360" w:lineRule="auto"/>
        <w:ind w:firstLine="456" w:firstLineChars="190"/>
        <w:rPr>
          <w:rFonts w:hint="eastAsia"/>
          <w:sz w:val="24"/>
          <w:szCs w:val="24"/>
        </w:rPr>
      </w:pPr>
      <w:r>
        <w:rPr>
          <w:rFonts w:hint="eastAsia"/>
          <w:sz w:val="24"/>
          <w:szCs w:val="24"/>
        </w:rPr>
        <w:t>技改项目所在地</w:t>
      </w:r>
      <w:r>
        <w:rPr>
          <w:sz w:val="24"/>
          <w:szCs w:val="24"/>
        </w:rPr>
        <w:t>属</w:t>
      </w:r>
      <w:r>
        <w:rPr>
          <w:rFonts w:hint="eastAsia"/>
          <w:sz w:val="24"/>
          <w:szCs w:val="24"/>
        </w:rPr>
        <w:t>深</w:t>
      </w:r>
      <w:r>
        <w:rPr>
          <w:sz w:val="24"/>
          <w:szCs w:val="24"/>
        </w:rPr>
        <w:t>丘</w:t>
      </w:r>
      <w:r>
        <w:rPr>
          <w:rFonts w:hint="eastAsia"/>
          <w:sz w:val="24"/>
          <w:szCs w:val="24"/>
        </w:rPr>
        <w:t>沟谷</w:t>
      </w:r>
      <w:r>
        <w:rPr>
          <w:sz w:val="24"/>
          <w:szCs w:val="24"/>
        </w:rPr>
        <w:t>地貌</w:t>
      </w:r>
      <w:r>
        <w:rPr>
          <w:rFonts w:hint="eastAsia"/>
          <w:sz w:val="24"/>
          <w:szCs w:val="24"/>
        </w:rPr>
        <w:t>，位于319国道左侧的自然沟谷中部，沟谷长约400m，宽约555m；地势总体北高南低，沟谷两侧山丘最高点412m，沟谷最低点330m，高差82m。厂址区总体上呈“U”字型，地形起伏较大；土层厚度5～7m，自然斜坡坡角约36～40°，局部稍陡；沟谷切割深度约18m，纵坡率约5%。</w:t>
      </w:r>
    </w:p>
    <w:p>
      <w:pPr>
        <w:spacing w:line="360" w:lineRule="auto"/>
        <w:rPr>
          <w:rFonts w:hint="eastAsia"/>
          <w:b/>
        </w:rPr>
      </w:pPr>
      <w:bookmarkStart w:id="228" w:name="_Toc212967554"/>
      <w:r>
        <w:rPr>
          <w:rFonts w:hint="eastAsia"/>
          <w:b/>
        </w:rPr>
        <w:t>5.1.3</w:t>
      </w:r>
      <w:bookmarkStart w:id="229" w:name="_Toc68595540"/>
      <w:bookmarkStart w:id="230" w:name="_Toc68921893"/>
      <w:bookmarkStart w:id="231" w:name="_Toc68598142"/>
      <w:bookmarkStart w:id="232" w:name="_Toc183225339"/>
      <w:bookmarkStart w:id="233" w:name="_Toc68595654"/>
      <w:bookmarkStart w:id="234" w:name="_Toc183225232"/>
      <w:r>
        <w:rPr>
          <w:rFonts w:hint="eastAsia"/>
          <w:b/>
        </w:rPr>
        <w:t>地层岩性</w:t>
      </w:r>
      <w:bookmarkEnd w:id="229"/>
      <w:bookmarkEnd w:id="230"/>
      <w:bookmarkEnd w:id="231"/>
      <w:bookmarkEnd w:id="232"/>
      <w:bookmarkEnd w:id="233"/>
      <w:bookmarkEnd w:id="234"/>
    </w:p>
    <w:p>
      <w:pPr>
        <w:pStyle w:val="9"/>
        <w:ind w:firstLine="461"/>
        <w:rPr>
          <w:rFonts w:hint="eastAsia"/>
          <w:sz w:val="24"/>
        </w:rPr>
      </w:pPr>
      <w:r>
        <w:rPr>
          <w:rFonts w:hint="eastAsia"/>
          <w:sz w:val="24"/>
        </w:rPr>
        <w:t>经地表地质调查，评估区分布的地层为第四系全新统及三叠系上统须家河组地层，现依地层的新老顺序，由上至下对各岩土层岩性特征简述如下：</w:t>
      </w:r>
    </w:p>
    <w:p>
      <w:pPr>
        <w:adjustRightInd w:val="0"/>
        <w:snapToGrid w:val="0"/>
        <w:spacing w:line="360" w:lineRule="auto"/>
        <w:ind w:firstLine="420" w:firstLineChars="200"/>
        <w:rPr>
          <w:rFonts w:hint="eastAsia"/>
        </w:rPr>
      </w:pPr>
      <w:r>
        <w:rPr>
          <w:rFonts w:hint="eastAsia"/>
        </w:rPr>
        <w:t>(1) 人工填土(Q</w:t>
      </w:r>
      <w:r>
        <w:rPr>
          <w:rFonts w:hint="eastAsia"/>
          <w:vertAlign w:val="subscript"/>
        </w:rPr>
        <w:t>4</w:t>
      </w:r>
      <w:r>
        <w:rPr>
          <w:rFonts w:hint="eastAsia"/>
          <w:i/>
          <w:iCs/>
          <w:vertAlign w:val="superscript"/>
        </w:rPr>
        <w:t>ml</w:t>
      </w:r>
      <w:r>
        <w:rPr>
          <w:rFonts w:hint="eastAsia"/>
        </w:rPr>
        <w:t>)</w:t>
      </w:r>
    </w:p>
    <w:p>
      <w:pPr>
        <w:adjustRightInd w:val="0"/>
        <w:snapToGrid w:val="0"/>
        <w:spacing w:line="360" w:lineRule="auto"/>
        <w:ind w:firstLine="420" w:firstLineChars="200"/>
        <w:rPr>
          <w:rFonts w:hint="eastAsia"/>
        </w:rPr>
      </w:pPr>
      <w:r>
        <w:rPr>
          <w:rFonts w:hint="eastAsia"/>
        </w:rPr>
        <w:t>褐色，褐灰色，由粘性土及砂岩、砂质泥岩块碎石等组成，结构稍密～中密、稍湿。块石粒径200～400mm，含量10~20%，碎石粒径多为30～160</w:t>
      </w:r>
      <w:r>
        <w:t>m</w:t>
      </w:r>
      <w:r>
        <w:rPr>
          <w:rFonts w:hint="eastAsia"/>
        </w:rPr>
        <w:t>m不等，石含量10~30%。填土厚度一般3～5m，在评估区外西侧达10 m左右，随意堆填，堆积年限3～6年左右。</w:t>
      </w:r>
    </w:p>
    <w:p>
      <w:pPr>
        <w:adjustRightInd w:val="0"/>
        <w:snapToGrid w:val="0"/>
        <w:spacing w:before="120" w:beforeLines="50" w:line="360" w:lineRule="auto"/>
        <w:ind w:firstLine="420" w:firstLineChars="200"/>
        <w:rPr>
          <w:rFonts w:hint="eastAsia"/>
        </w:rPr>
      </w:pPr>
      <w:r>
        <w:rPr>
          <w:rFonts w:hint="eastAsia"/>
        </w:rPr>
        <w:t>(2) 粉质粘土(Q</w:t>
      </w:r>
      <w:r>
        <w:rPr>
          <w:rFonts w:hint="eastAsia"/>
          <w:vertAlign w:val="subscript"/>
        </w:rPr>
        <w:t>4</w:t>
      </w:r>
      <w:r>
        <w:rPr>
          <w:rFonts w:hint="eastAsia"/>
          <w:i/>
          <w:iCs/>
          <w:vertAlign w:val="superscript"/>
        </w:rPr>
        <w:t>el+dl</w:t>
      </w:r>
      <w:r>
        <w:rPr>
          <w:rFonts w:hint="eastAsia"/>
        </w:rPr>
        <w:t>)</w:t>
      </w:r>
    </w:p>
    <w:p>
      <w:pPr>
        <w:adjustRightInd w:val="0"/>
        <w:snapToGrid w:val="0"/>
        <w:spacing w:line="360" w:lineRule="auto"/>
        <w:ind w:firstLine="420" w:firstLineChars="200"/>
        <w:rPr>
          <w:rFonts w:hint="eastAsia"/>
        </w:rPr>
      </w:pPr>
      <w:r>
        <w:rPr>
          <w:rFonts w:hint="eastAsia"/>
        </w:rPr>
        <w:t>褐色，残坡积成因，可塑状。干强度中等，韧性中等，无摇震反应，稍有光泽。主要分布于低凹沟谷区，厚度一般为1～2</w:t>
      </w:r>
      <w:r>
        <w:t>m</w:t>
      </w:r>
      <w:r>
        <w:rPr>
          <w:rFonts w:hint="eastAsia"/>
        </w:rPr>
        <w:t>。</w:t>
      </w:r>
    </w:p>
    <w:p>
      <w:pPr>
        <w:adjustRightInd w:val="0"/>
        <w:snapToGrid w:val="0"/>
        <w:spacing w:line="360" w:lineRule="auto"/>
        <w:ind w:firstLine="420" w:firstLineChars="200"/>
        <w:rPr>
          <w:rFonts w:hint="eastAsia"/>
        </w:rPr>
      </w:pPr>
      <w:r>
        <w:fldChar w:fldCharType="begin"/>
      </w:r>
      <w:r>
        <w:instrText xml:space="preserve"> = 3 \* GB2 </w:instrText>
      </w:r>
      <w:r>
        <w:fldChar w:fldCharType="separate"/>
      </w:r>
      <w:r>
        <w:rPr>
          <w:rFonts w:hint="eastAsia"/>
        </w:rPr>
        <w:t>⑶</w:t>
      </w:r>
      <w:r>
        <w:fldChar w:fldCharType="end"/>
      </w:r>
      <w:r>
        <w:rPr>
          <w:rFonts w:hint="eastAsia"/>
        </w:rPr>
        <w:t xml:space="preserve"> 砂 岩(T</w:t>
      </w:r>
      <w:r>
        <w:rPr>
          <w:rFonts w:hint="eastAsia"/>
          <w:vertAlign w:val="subscript"/>
        </w:rPr>
        <w:t>3</w:t>
      </w:r>
      <w:r>
        <w:rPr>
          <w:rFonts w:hint="eastAsia"/>
          <w:i/>
          <w:iCs/>
        </w:rPr>
        <w:t>xj</w:t>
      </w:r>
      <w:r>
        <w:rPr>
          <w:rFonts w:hint="eastAsia"/>
          <w:i/>
          <w:iCs/>
          <w:vertAlign w:val="superscript"/>
        </w:rPr>
        <w:t>2</w:t>
      </w:r>
      <w:r>
        <w:rPr>
          <w:rFonts w:hint="eastAsia"/>
        </w:rPr>
        <w:t>)</w:t>
      </w:r>
    </w:p>
    <w:p>
      <w:pPr>
        <w:spacing w:line="360" w:lineRule="auto"/>
        <w:ind w:firstLine="567"/>
        <w:rPr>
          <w:rFonts w:hint="eastAsia"/>
        </w:rPr>
      </w:pPr>
      <w:r>
        <w:rPr>
          <w:rFonts w:hint="eastAsia"/>
        </w:rPr>
        <w:t>褐灰色、灰色，细粒结构，钙质胶结。中</w:t>
      </w:r>
      <w:r>
        <w:t>～</w:t>
      </w:r>
      <w:r>
        <w:rPr>
          <w:rFonts w:hint="eastAsia"/>
        </w:rPr>
        <w:t>厚层状构造，矿物成分主要为长石、石英及云母片等。岩质较硬，岩芯较完整，多呈中柱状，强风化层厚度0.50m左右，是评估区内主要岩性层。</w:t>
      </w:r>
    </w:p>
    <w:p>
      <w:pPr>
        <w:spacing w:line="360" w:lineRule="auto"/>
        <w:ind w:firstLine="567"/>
        <w:rPr>
          <w:rFonts w:hint="eastAsia" w:hAnsi="宋体"/>
        </w:rPr>
      </w:pPr>
      <w:r>
        <w:rPr>
          <w:rFonts w:hint="eastAsia" w:hAnsi="宋体"/>
        </w:rPr>
        <w:t>⑷ 砂质</w:t>
      </w:r>
      <w:r>
        <w:rPr>
          <w:rFonts w:hAnsi="宋体"/>
        </w:rPr>
        <w:t>泥岩</w:t>
      </w:r>
      <w:r>
        <w:rPr>
          <w:rFonts w:hint="eastAsia"/>
        </w:rPr>
        <w:t>(T</w:t>
      </w:r>
      <w:r>
        <w:rPr>
          <w:rFonts w:hint="eastAsia"/>
          <w:vertAlign w:val="subscript"/>
        </w:rPr>
        <w:t>3</w:t>
      </w:r>
      <w:r>
        <w:rPr>
          <w:rFonts w:hint="eastAsia"/>
          <w:i/>
          <w:iCs/>
        </w:rPr>
        <w:t>xj</w:t>
      </w:r>
      <w:r>
        <w:rPr>
          <w:rFonts w:hint="eastAsia"/>
          <w:i/>
          <w:iCs/>
          <w:vertAlign w:val="superscript"/>
        </w:rPr>
        <w:t>3</w:t>
      </w:r>
      <w:r>
        <w:rPr>
          <w:rFonts w:hint="eastAsia"/>
        </w:rPr>
        <w:t>)</w:t>
      </w:r>
    </w:p>
    <w:p>
      <w:pPr>
        <w:spacing w:line="360" w:lineRule="auto"/>
        <w:ind w:firstLine="567"/>
        <w:rPr>
          <w:rFonts w:hint="eastAsia" w:hAnsi="宋体"/>
        </w:rPr>
      </w:pPr>
      <w:r>
        <w:rPr>
          <w:rFonts w:hAnsi="宋体"/>
        </w:rPr>
        <w:t>以</w:t>
      </w:r>
      <w:r>
        <w:rPr>
          <w:rFonts w:hint="eastAsia" w:hAnsi="宋体"/>
        </w:rPr>
        <w:t>灰</w:t>
      </w:r>
      <w:r>
        <w:rPr>
          <w:rFonts w:hAnsi="宋体"/>
        </w:rPr>
        <w:t>褐色为主，局部为深灰色，主要矿物成分为粘土矿物，粉砂泥质结构，薄～中厚层状构造。弱风化岩体裂隙不发育，岩体较完整，岩质较硬，属极软岩石～软质岩石。</w:t>
      </w:r>
    </w:p>
    <w:p>
      <w:pPr>
        <w:adjustRightInd w:val="0"/>
        <w:snapToGrid w:val="0"/>
        <w:spacing w:line="360" w:lineRule="auto"/>
        <w:ind w:firstLine="420" w:firstLineChars="200"/>
        <w:rPr>
          <w:rFonts w:hint="eastAsia"/>
        </w:rPr>
      </w:pPr>
      <w:r>
        <w:rPr>
          <w:rFonts w:hint="eastAsia"/>
        </w:rPr>
        <w:t>⑸ 砂 岩(T</w:t>
      </w:r>
      <w:r>
        <w:rPr>
          <w:rFonts w:hint="eastAsia"/>
          <w:vertAlign w:val="subscript"/>
        </w:rPr>
        <w:t>3</w:t>
      </w:r>
      <w:r>
        <w:rPr>
          <w:rFonts w:hint="eastAsia"/>
          <w:i/>
          <w:iCs/>
        </w:rPr>
        <w:t>xj</w:t>
      </w:r>
      <w:r>
        <w:rPr>
          <w:rFonts w:hint="eastAsia"/>
          <w:i/>
          <w:iCs/>
          <w:vertAlign w:val="superscript"/>
        </w:rPr>
        <w:t>4</w:t>
      </w:r>
      <w:r>
        <w:rPr>
          <w:rFonts w:hint="eastAsia"/>
        </w:rPr>
        <w:t>)</w:t>
      </w:r>
    </w:p>
    <w:p>
      <w:pPr>
        <w:spacing w:line="360" w:lineRule="auto"/>
        <w:ind w:firstLine="567"/>
        <w:rPr>
          <w:rFonts w:hint="eastAsia"/>
        </w:rPr>
      </w:pPr>
      <w:r>
        <w:rPr>
          <w:rFonts w:hint="eastAsia"/>
        </w:rPr>
        <w:t>褐灰色、灰色，细粒结构，钙质胶结。中</w:t>
      </w:r>
      <w:r>
        <w:t>～</w:t>
      </w:r>
      <w:r>
        <w:rPr>
          <w:rFonts w:hint="eastAsia"/>
        </w:rPr>
        <w:t>厚层状构造，矿物成分主要为长石、石英及云母片等。岩质较硬，岩芯较完整，多呈中柱状，强风化层厚度0.50m左右，是评估区内主要岩性层。</w:t>
      </w:r>
    </w:p>
    <w:p>
      <w:pPr>
        <w:spacing w:line="360" w:lineRule="auto"/>
        <w:rPr>
          <w:b/>
        </w:rPr>
      </w:pPr>
      <w:r>
        <w:rPr>
          <w:rFonts w:hint="eastAsia" w:hAnsi="宋体"/>
          <w:b/>
        </w:rPr>
        <w:t xml:space="preserve">5.1.4 </w:t>
      </w:r>
      <w:r>
        <w:rPr>
          <w:rFonts w:hAnsi="宋体"/>
          <w:b/>
        </w:rPr>
        <w:t>地质构造及地震</w:t>
      </w:r>
      <w:bookmarkEnd w:id="228"/>
    </w:p>
    <w:p>
      <w:pPr>
        <w:adjustRightInd w:val="0"/>
        <w:snapToGrid w:val="0"/>
        <w:spacing w:line="360" w:lineRule="auto"/>
        <w:ind w:firstLine="420" w:firstLineChars="200"/>
        <w:rPr>
          <w:rFonts w:hint="eastAsia"/>
        </w:rPr>
      </w:pPr>
      <w:r>
        <w:rPr>
          <w:rFonts w:hint="eastAsia"/>
        </w:rPr>
        <w:t>厂址所在区域地质构造上位于温塘峡背斜西翼，岩层呈单斜状产出，岩层产状为：倾向275</w:t>
      </w:r>
      <w:r>
        <w:rPr>
          <w:rFonts w:hint="eastAsia"/>
        </w:rPr>
        <w:sym w:font="Symbol" w:char="F0B0"/>
      </w:r>
      <w:r>
        <w:rPr>
          <w:rFonts w:hint="eastAsia"/>
        </w:rPr>
        <w:t>，倾角45</w:t>
      </w:r>
      <w:r>
        <w:rPr>
          <w:rFonts w:hint="eastAsia"/>
        </w:rPr>
        <w:sym w:font="Symbol" w:char="F0B0"/>
      </w:r>
      <w:r>
        <w:rPr>
          <w:rFonts w:hint="eastAsia"/>
        </w:rPr>
        <w:t>。根据区域地质资料及现场调查，场地及附近无断层。从砂岩露头处测得J1、J2两组主要裂隙，裂隙。</w:t>
      </w:r>
    </w:p>
    <w:p>
      <w:pPr>
        <w:adjustRightInd w:val="0"/>
        <w:snapToGrid w:val="0"/>
        <w:spacing w:line="360" w:lineRule="auto"/>
        <w:ind w:firstLine="420" w:firstLineChars="200"/>
        <w:rPr>
          <w:rFonts w:hint="eastAsia"/>
        </w:rPr>
      </w:pPr>
      <w:r>
        <w:rPr>
          <w:rFonts w:hint="eastAsia"/>
        </w:rPr>
        <w:t>J1：倾向72</w:t>
      </w:r>
      <w:r>
        <w:rPr>
          <w:rFonts w:hint="eastAsia"/>
        </w:rPr>
        <w:sym w:font="Symbol" w:char="F0B0"/>
      </w:r>
      <w:r>
        <w:rPr>
          <w:rFonts w:hint="eastAsia"/>
        </w:rPr>
        <w:t>，倾角45</w:t>
      </w:r>
      <w:r>
        <w:rPr>
          <w:rFonts w:hint="eastAsia"/>
        </w:rPr>
        <w:sym w:font="Symbol" w:char="F0B0"/>
      </w:r>
      <w:r>
        <w:rPr>
          <w:rFonts w:hint="eastAsia"/>
        </w:rPr>
        <w:t>，裂隙总体呈闭合状，裂隙面较平直，偶有1~2mm钙质充填。裂隙间距1.0～2</w:t>
      </w:r>
      <w:r>
        <w:t>.</w:t>
      </w:r>
      <w:r>
        <w:rPr>
          <w:rFonts w:hint="eastAsia"/>
        </w:rPr>
        <w:t>5m/条</w:t>
      </w:r>
      <w:r>
        <w:t xml:space="preserve"> </w:t>
      </w:r>
      <w:r>
        <w:rPr>
          <w:rFonts w:hint="eastAsia"/>
        </w:rPr>
        <w:t>，延伸5～10m。</w:t>
      </w:r>
    </w:p>
    <w:p>
      <w:pPr>
        <w:adjustRightInd w:val="0"/>
        <w:snapToGrid w:val="0"/>
        <w:spacing w:line="360" w:lineRule="auto"/>
        <w:ind w:firstLine="420" w:firstLineChars="200"/>
        <w:rPr>
          <w:rFonts w:hint="eastAsia"/>
        </w:rPr>
      </w:pPr>
      <w:r>
        <w:rPr>
          <w:rFonts w:hint="eastAsia"/>
        </w:rPr>
        <w:t>J2：倾向10</w:t>
      </w:r>
      <w:r>
        <w:rPr>
          <w:rFonts w:hint="eastAsia"/>
        </w:rPr>
        <w:sym w:font="Symbol" w:char="F0B0"/>
      </w:r>
      <w:r>
        <w:rPr>
          <w:rFonts w:hint="eastAsia"/>
        </w:rPr>
        <w:t>，倾角80</w:t>
      </w:r>
      <w:r>
        <w:rPr>
          <w:rFonts w:hint="eastAsia"/>
        </w:rPr>
        <w:sym w:font="Symbol" w:char="F0B0"/>
      </w:r>
      <w:r>
        <w:rPr>
          <w:rFonts w:hint="eastAsia"/>
        </w:rPr>
        <w:t>，裂面平直，宽3~5mm，局部有粘土充填。裂隙间距1.0～2.0m/条，延伸2～4m。</w:t>
      </w:r>
    </w:p>
    <w:p>
      <w:pPr>
        <w:spacing w:line="360" w:lineRule="auto"/>
        <w:ind w:firstLine="420" w:firstLineChars="200"/>
        <w:rPr>
          <w:rFonts w:hint="eastAsia"/>
        </w:rPr>
      </w:pPr>
      <w:bookmarkStart w:id="235" w:name="_Toc138490105"/>
      <w:r>
        <w:rPr>
          <w:rFonts w:hint="eastAsia"/>
        </w:rPr>
        <w:t>区内</w:t>
      </w:r>
      <w:r>
        <w:t>未发现断层、滑坡、危岩和崩塌、软弱夹层等不良地质现象</w:t>
      </w:r>
      <w:bookmarkEnd w:id="235"/>
      <w:r>
        <w:rPr>
          <w:rFonts w:hint="eastAsia"/>
        </w:rPr>
        <w:t>，破坏地质环境的人类工程活动不强烈；自然斜坡总体稳定好。</w:t>
      </w:r>
    </w:p>
    <w:p>
      <w:pPr>
        <w:adjustRightInd w:val="0"/>
        <w:snapToGrid w:val="0"/>
        <w:spacing w:line="360" w:lineRule="auto"/>
        <w:ind w:firstLine="420" w:firstLineChars="200"/>
      </w:pPr>
      <w:r>
        <w:rPr>
          <w:rFonts w:hint="eastAsia"/>
        </w:rPr>
        <w:t>根据根据《建筑抗震设计规范》(GB50011-2001)及GB18306</w:t>
      </w:r>
      <w:r>
        <w:rPr>
          <w:rFonts w:hint="eastAsia" w:ascii="宋体" w:hAnsi="宋体"/>
        </w:rPr>
        <w:t>-</w:t>
      </w:r>
      <w:r>
        <w:rPr>
          <w:rFonts w:hint="eastAsia"/>
        </w:rPr>
        <w:t>2001《中国地震动参数区划图》，区内抗震设防烈度为6度，地震动峰值加速度为0.05g，地震动反应谱特征周期为0.35</w:t>
      </w:r>
      <w:r>
        <w:t>s</w:t>
      </w:r>
      <w:r>
        <w:rPr>
          <w:rFonts w:hint="eastAsia"/>
        </w:rPr>
        <w:t>。</w:t>
      </w:r>
    </w:p>
    <w:p>
      <w:pPr>
        <w:spacing w:line="360" w:lineRule="auto"/>
        <w:rPr>
          <w:b/>
        </w:rPr>
      </w:pPr>
      <w:r>
        <w:rPr>
          <w:rFonts w:hint="eastAsia"/>
          <w:b/>
        </w:rPr>
        <w:t>5</w:t>
      </w:r>
      <w:r>
        <w:rPr>
          <w:b/>
        </w:rPr>
        <w:t>.1.</w:t>
      </w:r>
      <w:r>
        <w:rPr>
          <w:rFonts w:hint="eastAsia"/>
          <w:b/>
        </w:rPr>
        <w:t xml:space="preserve">5 </w:t>
      </w:r>
      <w:r>
        <w:rPr>
          <w:rFonts w:hAnsi="宋体"/>
          <w:b/>
        </w:rPr>
        <w:t>气候特征</w:t>
      </w:r>
      <w:bookmarkEnd w:id="223"/>
      <w:bookmarkEnd w:id="224"/>
      <w:bookmarkEnd w:id="225"/>
      <w:bookmarkEnd w:id="226"/>
      <w:bookmarkEnd w:id="227"/>
    </w:p>
    <w:p>
      <w:pPr>
        <w:adjustRightInd w:val="0"/>
        <w:snapToGrid w:val="0"/>
        <w:spacing w:line="360" w:lineRule="auto"/>
        <w:ind w:firstLine="420" w:firstLineChars="200"/>
      </w:pPr>
      <w:bookmarkStart w:id="236" w:name="_Toc185674917"/>
      <w:bookmarkStart w:id="237" w:name="_Toc183664992"/>
      <w:bookmarkStart w:id="238" w:name="_Toc185674748"/>
      <w:bookmarkStart w:id="239" w:name="_Toc183749611"/>
      <w:bookmarkStart w:id="240" w:name="_Toc183664785"/>
      <w:r>
        <w:rPr>
          <w:rFonts w:hAnsi="宋体"/>
        </w:rPr>
        <w:t>沙坪坝区属于四川盆地亚热带委风湿润气候区的盆地南部长江河谷区，从纬度位置看，是全球的副热带高压带，气候应干热少雨，但由于受东亚季风环境影响显著，因此具有明显的季风气候特点。其气候特征是：气候温和、雨量充沛、冬暖春早、秋短夏长、初夏多雨、盛夏炎热多伏旱、秋多阴雨、雨热同季、无霜期长、湿度大、风速小、云雾多、日照少的气候特点。</w:t>
      </w:r>
    </w:p>
    <w:p>
      <w:pPr>
        <w:adjustRightInd w:val="0"/>
        <w:snapToGrid w:val="0"/>
        <w:spacing w:line="360" w:lineRule="auto"/>
        <w:ind w:firstLine="420" w:firstLineChars="200"/>
      </w:pPr>
      <w:r>
        <w:rPr>
          <w:rFonts w:hAnsi="宋体"/>
        </w:rPr>
        <w:t>根据沙坪坝区陈家坪气象站资料，其常规的气象参数为：</w:t>
      </w:r>
    </w:p>
    <w:p>
      <w:pPr>
        <w:adjustRightInd w:val="0"/>
        <w:snapToGrid w:val="0"/>
        <w:spacing w:line="360" w:lineRule="auto"/>
        <w:ind w:firstLine="420" w:firstLineChars="200"/>
      </w:pPr>
      <w:r>
        <w:rPr>
          <w:rFonts w:hAnsi="宋体"/>
        </w:rPr>
        <w:t>年均气温：</w:t>
      </w:r>
      <w:r>
        <w:t xml:space="preserve">                     17.8</w:t>
      </w:r>
    </w:p>
    <w:p>
      <w:pPr>
        <w:adjustRightInd w:val="0"/>
        <w:snapToGrid w:val="0"/>
        <w:spacing w:line="360" w:lineRule="auto"/>
        <w:ind w:firstLine="420" w:firstLineChars="200"/>
      </w:pPr>
      <w:r>
        <w:rPr>
          <w:rFonts w:hAnsi="宋体"/>
        </w:rPr>
        <w:t>极端最高气温：</w:t>
      </w:r>
      <w:r>
        <w:t xml:space="preserve">                 42.2</w:t>
      </w:r>
    </w:p>
    <w:p>
      <w:pPr>
        <w:adjustRightInd w:val="0"/>
        <w:snapToGrid w:val="0"/>
        <w:spacing w:line="360" w:lineRule="auto"/>
        <w:ind w:firstLine="420" w:firstLineChars="200"/>
      </w:pPr>
      <w:r>
        <w:rPr>
          <w:rFonts w:hAnsi="宋体"/>
        </w:rPr>
        <w:t>极端最低气温：</w:t>
      </w:r>
      <w:r>
        <w:t xml:space="preserve">                 -1.8</w:t>
      </w:r>
    </w:p>
    <w:p>
      <w:pPr>
        <w:adjustRightInd w:val="0"/>
        <w:snapToGrid w:val="0"/>
        <w:spacing w:line="360" w:lineRule="auto"/>
        <w:ind w:firstLine="420" w:firstLineChars="200"/>
      </w:pPr>
      <w:r>
        <w:rPr>
          <w:rFonts w:hAnsi="宋体"/>
        </w:rPr>
        <w:t>年均相对湿度：</w:t>
      </w:r>
      <w:r>
        <w:t xml:space="preserve">                 79%</w:t>
      </w:r>
    </w:p>
    <w:p>
      <w:pPr>
        <w:adjustRightInd w:val="0"/>
        <w:snapToGrid w:val="0"/>
        <w:spacing w:line="360" w:lineRule="auto"/>
        <w:ind w:firstLine="420" w:firstLineChars="200"/>
      </w:pPr>
      <w:r>
        <w:rPr>
          <w:rFonts w:hAnsi="宋体"/>
        </w:rPr>
        <w:t>年增降雨量：</w:t>
      </w:r>
      <w:r>
        <w:t xml:space="preserve">                   1151.5mm</w:t>
      </w:r>
    </w:p>
    <w:p>
      <w:pPr>
        <w:adjustRightInd w:val="0"/>
        <w:snapToGrid w:val="0"/>
        <w:spacing w:line="360" w:lineRule="auto"/>
        <w:ind w:firstLine="420" w:firstLineChars="200"/>
      </w:pPr>
      <w:r>
        <w:rPr>
          <w:rFonts w:hAnsi="宋体"/>
        </w:rPr>
        <w:t>最大日均降雨量：</w:t>
      </w:r>
      <w:r>
        <w:t xml:space="preserve">               191.7mm</w:t>
      </w:r>
    </w:p>
    <w:p>
      <w:pPr>
        <w:adjustRightInd w:val="0"/>
        <w:snapToGrid w:val="0"/>
        <w:spacing w:line="360" w:lineRule="auto"/>
        <w:ind w:firstLine="420" w:firstLineChars="200"/>
      </w:pPr>
      <w:r>
        <w:rPr>
          <w:rFonts w:hAnsi="宋体"/>
        </w:rPr>
        <w:t>年日照时数：</w:t>
      </w:r>
      <w:r>
        <w:t xml:space="preserve">                   1140.5h</w:t>
      </w:r>
    </w:p>
    <w:p>
      <w:pPr>
        <w:adjustRightInd w:val="0"/>
        <w:snapToGrid w:val="0"/>
        <w:spacing w:line="360" w:lineRule="auto"/>
        <w:ind w:firstLine="420" w:firstLineChars="200"/>
      </w:pPr>
      <w:r>
        <w:rPr>
          <w:rFonts w:hAnsi="宋体"/>
        </w:rPr>
        <w:t>年平均雾日数：</w:t>
      </w:r>
      <w:r>
        <w:t xml:space="preserve">                 43d</w:t>
      </w:r>
    </w:p>
    <w:p>
      <w:pPr>
        <w:adjustRightInd w:val="0"/>
        <w:snapToGrid w:val="0"/>
        <w:spacing w:line="360" w:lineRule="auto"/>
        <w:ind w:firstLine="420" w:firstLineChars="200"/>
      </w:pPr>
      <w:r>
        <w:rPr>
          <w:rFonts w:hAnsi="宋体"/>
        </w:rPr>
        <w:t>无霜数：</w:t>
      </w:r>
      <w:r>
        <w:t xml:space="preserve">                       320~350d</w:t>
      </w:r>
    </w:p>
    <w:p>
      <w:pPr>
        <w:adjustRightInd w:val="0"/>
        <w:snapToGrid w:val="0"/>
        <w:spacing w:line="360" w:lineRule="auto"/>
        <w:ind w:firstLine="420" w:firstLineChars="200"/>
      </w:pPr>
      <w:r>
        <w:rPr>
          <w:rFonts w:hAnsi="宋体"/>
        </w:rPr>
        <w:t>平均风速：</w:t>
      </w:r>
      <w:r>
        <w:t xml:space="preserve">                     1.5m/s</w:t>
      </w:r>
    </w:p>
    <w:p>
      <w:pPr>
        <w:adjustRightInd w:val="0"/>
        <w:snapToGrid w:val="0"/>
        <w:spacing w:line="360" w:lineRule="auto"/>
        <w:ind w:firstLine="420" w:firstLineChars="200"/>
      </w:pPr>
      <w:r>
        <w:rPr>
          <w:rFonts w:hAnsi="宋体"/>
        </w:rPr>
        <w:t>静风频率：</w:t>
      </w:r>
      <w:r>
        <w:t xml:space="preserve">                     33%</w:t>
      </w:r>
    </w:p>
    <w:p>
      <w:pPr>
        <w:adjustRightInd w:val="0"/>
        <w:snapToGrid w:val="0"/>
        <w:spacing w:line="360" w:lineRule="auto"/>
        <w:ind w:firstLine="420" w:firstLineChars="200"/>
      </w:pPr>
      <w:r>
        <w:rPr>
          <w:rFonts w:hAnsi="宋体"/>
        </w:rPr>
        <w:t>主导风：</w:t>
      </w:r>
      <w:r>
        <w:t xml:space="preserve">                       NNW 29%</w:t>
      </w:r>
    </w:p>
    <w:p>
      <w:pPr>
        <w:spacing w:line="360" w:lineRule="auto"/>
        <w:rPr>
          <w:rFonts w:hint="eastAsia"/>
          <w:b/>
        </w:rPr>
      </w:pPr>
      <w:r>
        <w:rPr>
          <w:rFonts w:hint="eastAsia"/>
          <w:b/>
        </w:rPr>
        <w:t>5</w:t>
      </w:r>
      <w:r>
        <w:rPr>
          <w:b/>
        </w:rPr>
        <w:t>.1.</w:t>
      </w:r>
      <w:r>
        <w:rPr>
          <w:rFonts w:hint="eastAsia"/>
          <w:b/>
        </w:rPr>
        <w:t xml:space="preserve">6 </w:t>
      </w:r>
      <w:r>
        <w:rPr>
          <w:rFonts w:hAnsi="宋体"/>
          <w:b/>
        </w:rPr>
        <w:t>水文</w:t>
      </w:r>
      <w:bookmarkEnd w:id="236"/>
      <w:bookmarkEnd w:id="237"/>
      <w:bookmarkEnd w:id="238"/>
      <w:bookmarkEnd w:id="239"/>
      <w:bookmarkEnd w:id="240"/>
      <w:r>
        <w:rPr>
          <w:rFonts w:hint="eastAsia" w:hAnsi="宋体"/>
          <w:b/>
        </w:rPr>
        <w:t>地质</w:t>
      </w:r>
    </w:p>
    <w:p>
      <w:pPr>
        <w:adjustRightInd w:val="0"/>
        <w:snapToGrid w:val="0"/>
        <w:spacing w:line="360" w:lineRule="auto"/>
        <w:ind w:firstLine="420" w:firstLineChars="200"/>
      </w:pPr>
      <w:bookmarkStart w:id="241" w:name="_Toc77827393"/>
      <w:bookmarkStart w:id="242" w:name="_Toc185674749"/>
      <w:bookmarkStart w:id="243" w:name="_Toc183664786"/>
      <w:bookmarkStart w:id="244" w:name="_Toc77841214"/>
      <w:bookmarkStart w:id="245" w:name="_Toc183664993"/>
      <w:bookmarkStart w:id="246" w:name="_Toc77827058"/>
      <w:bookmarkStart w:id="247" w:name="_Toc185674918"/>
      <w:bookmarkStart w:id="248" w:name="_Toc183749612"/>
      <w:r>
        <w:rPr>
          <w:rFonts w:hint="eastAsia" w:hAnsi="宋体"/>
        </w:rPr>
        <w:t>规划区</w:t>
      </w:r>
      <w:r>
        <w:rPr>
          <w:rFonts w:hAnsi="宋体"/>
        </w:rPr>
        <w:t>所在地属嘉陵江流域。嘉陵江发源于岷山与秦岭山区，经昭化、合川、北碚、井口于重庆朝天门汇入长江，重庆境内全长</w:t>
      </w:r>
      <w:r>
        <w:t>153.8km</w:t>
      </w:r>
      <w:r>
        <w:rPr>
          <w:rFonts w:hAnsi="宋体"/>
        </w:rPr>
        <w:t>，流域面积</w:t>
      </w:r>
      <w:r>
        <w:t>8146km</w:t>
      </w:r>
      <w:r>
        <w:rPr>
          <w:vertAlign w:val="superscript"/>
        </w:rPr>
        <w:t>2</w:t>
      </w:r>
      <w:r>
        <w:rPr>
          <w:rFonts w:hAnsi="宋体"/>
        </w:rPr>
        <w:t>。据北碚水文站资料，嘉陵江多年最大流量为</w:t>
      </w:r>
      <w:r>
        <w:t>44800m</w:t>
      </w:r>
      <w:r>
        <w:rPr>
          <w:vertAlign w:val="superscript"/>
        </w:rPr>
        <w:t>3</w:t>
      </w:r>
      <w:r>
        <w:t>/s</w:t>
      </w:r>
      <w:r>
        <w:rPr>
          <w:rFonts w:hAnsi="宋体"/>
        </w:rPr>
        <w:t>，多年平均流量为</w:t>
      </w:r>
      <w:r>
        <w:t>2120m</w:t>
      </w:r>
      <w:r>
        <w:rPr>
          <w:vertAlign w:val="superscript"/>
        </w:rPr>
        <w:t>3</w:t>
      </w:r>
      <w:r>
        <w:t>/s</w:t>
      </w:r>
      <w:r>
        <w:rPr>
          <w:rFonts w:hAnsi="宋体"/>
        </w:rPr>
        <w:t>，最高水位</w:t>
      </w:r>
      <w:r>
        <w:t>208.17m</w:t>
      </w:r>
      <w:r>
        <w:rPr>
          <w:rFonts w:hAnsi="宋体"/>
        </w:rPr>
        <w:t>，最低水位</w:t>
      </w:r>
      <w:r>
        <w:t>176.81m</w:t>
      </w:r>
      <w:r>
        <w:rPr>
          <w:rFonts w:hint="eastAsia"/>
        </w:rPr>
        <w:t>，</w:t>
      </w:r>
      <w:r>
        <w:rPr>
          <w:rFonts w:hAnsi="宋体"/>
        </w:rPr>
        <w:t>多年平均水位</w:t>
      </w:r>
      <w:r>
        <w:t>179.64m</w:t>
      </w:r>
      <w:r>
        <w:rPr>
          <w:rFonts w:hAnsi="宋体"/>
        </w:rPr>
        <w:t>。</w:t>
      </w:r>
    </w:p>
    <w:p>
      <w:pPr>
        <w:adjustRightInd w:val="0"/>
        <w:snapToGrid w:val="0"/>
        <w:spacing w:line="360" w:lineRule="auto"/>
        <w:ind w:firstLine="420" w:firstLineChars="200"/>
        <w:rPr>
          <w:rFonts w:hint="eastAsia" w:hAnsi="宋体"/>
        </w:rPr>
      </w:pPr>
      <w:r>
        <w:rPr>
          <w:rFonts w:hint="eastAsia"/>
        </w:rPr>
        <w:t>梁滩河是嘉陵江下游右岸的一条主要支流。全长88</w:t>
      </w:r>
      <w:r>
        <w:t>km</w:t>
      </w:r>
      <w:r>
        <w:rPr>
          <w:rFonts w:hint="eastAsia"/>
        </w:rPr>
        <w:t>，</w:t>
      </w:r>
      <w:r>
        <w:rPr>
          <w:rFonts w:hAnsi="宋体"/>
        </w:rPr>
        <w:t>其中九龙坡段</w:t>
      </w:r>
      <w:r>
        <w:t>21.4km</w:t>
      </w:r>
      <w:r>
        <w:rPr>
          <w:rFonts w:hAnsi="宋体"/>
        </w:rPr>
        <w:t>，沙坪坝段</w:t>
      </w:r>
      <w:r>
        <w:t>48.8km</w:t>
      </w:r>
      <w:r>
        <w:rPr>
          <w:rFonts w:hAnsi="宋体"/>
        </w:rPr>
        <w:t>，北碚区段</w:t>
      </w:r>
      <w:r>
        <w:t>17.8km</w:t>
      </w:r>
      <w:r>
        <w:rPr>
          <w:rFonts w:hAnsi="宋体"/>
        </w:rPr>
        <w:t>，</w:t>
      </w:r>
      <w:r>
        <w:rPr>
          <w:rFonts w:hint="eastAsia"/>
        </w:rPr>
        <w:t>河流发源于九龙坡白市驿廖家沟水库，长年穿流不息地游走于缙云山脉和中梁山脉之间，流经九龙坡、沙区、北碚3区的白市驿、含谷、西永、土主、歇马、北温泉等15个集镇，最后在北碚毛背坨汇入嘉陵江。</w:t>
      </w:r>
      <w:r>
        <w:rPr>
          <w:rFonts w:hAnsi="宋体"/>
        </w:rPr>
        <w:t>沙坪坝河段</w:t>
      </w:r>
      <w:r>
        <w:t>50</w:t>
      </w:r>
      <w:r>
        <w:rPr>
          <w:rFonts w:hAnsi="宋体"/>
        </w:rPr>
        <w:t>年一遇的最高洪水位</w:t>
      </w:r>
      <w:r>
        <w:t>279.5~287.4m</w:t>
      </w:r>
      <w:r>
        <w:rPr>
          <w:rFonts w:hAnsi="宋体"/>
        </w:rPr>
        <w:t>。由于受沿途农业面源和养殖污染，水质差。</w:t>
      </w:r>
    </w:p>
    <w:p>
      <w:pPr>
        <w:adjustRightInd w:val="0"/>
        <w:snapToGrid w:val="0"/>
        <w:spacing w:line="360" w:lineRule="auto"/>
        <w:ind w:firstLine="420" w:firstLineChars="200"/>
        <w:rPr>
          <w:rFonts w:hint="eastAsia"/>
        </w:rPr>
      </w:pPr>
      <w:r>
        <w:rPr>
          <w:rFonts w:hAnsi="宋体"/>
        </w:rPr>
        <w:t>根据地下水赋存条件、水力特征等，区内地下水主要为基岩裂隙水。含水层主要为侏罗系中统上沙溪庙组砂岩地层，以及侏罗系中统下沙溪庙组、侏罗系中统新田沟组、中</w:t>
      </w:r>
      <w:r>
        <w:t>—</w:t>
      </w:r>
      <w:r>
        <w:rPr>
          <w:rFonts w:hAnsi="宋体"/>
        </w:rPr>
        <w:t>下统自流井组、下统珍珠冲组的砂岩地层。</w:t>
      </w:r>
      <w:r>
        <w:rPr>
          <w:rFonts w:hint="eastAsia"/>
        </w:rPr>
        <w:t>该类地下水的含水层岩为一套以泥岩夹砂岩、薄层灰岩，或砂岩与泥岩不等厚互层的河、湖相沉积岩。砂岩中的裂隙是地下水储存、运移的主要通道，泥岩相对隔水，地下水除裸露区外，补给条件一般较差，含水量较低，具就近补给，就近排泄的特点，天然露头泉流量一般小于0.1升/秒。</w:t>
      </w:r>
    </w:p>
    <w:p>
      <w:pPr>
        <w:spacing w:after="100" w:afterAutospacing="1" w:line="360" w:lineRule="auto"/>
        <w:ind w:firstLine="420" w:firstLineChars="200"/>
        <w:rPr>
          <w:rFonts w:hint="eastAsia"/>
        </w:rPr>
      </w:pPr>
      <w:r>
        <w:rPr>
          <w:rFonts w:hint="eastAsia"/>
        </w:rPr>
        <w:t>青木关镇有水库2个，工农水库（小一型）蓄水量134万立方米，石花水库（小二型）蓄水量</w:t>
      </w:r>
      <w:r>
        <w:t>15.4</w:t>
      </w:r>
      <w:r>
        <w:rPr>
          <w:rFonts w:hint="eastAsia"/>
        </w:rPr>
        <w:t>万立方米。</w:t>
      </w:r>
    </w:p>
    <w:p>
      <w:pPr>
        <w:spacing w:line="360" w:lineRule="auto"/>
        <w:rPr>
          <w:rFonts w:hint="eastAsia"/>
          <w:b/>
        </w:rPr>
      </w:pPr>
      <w:r>
        <w:rPr>
          <w:rFonts w:hint="eastAsia"/>
          <w:b/>
        </w:rPr>
        <w:t>5</w:t>
      </w:r>
      <w:r>
        <w:rPr>
          <w:b/>
        </w:rPr>
        <w:t>.1.</w:t>
      </w:r>
      <w:r>
        <w:rPr>
          <w:rFonts w:hint="eastAsia"/>
          <w:b/>
        </w:rPr>
        <w:t>7自然资源</w:t>
      </w:r>
    </w:p>
    <w:p>
      <w:pPr>
        <w:spacing w:line="360" w:lineRule="auto"/>
        <w:ind w:firstLine="420" w:firstLineChars="200"/>
        <w:rPr>
          <w:rFonts w:hint="eastAsia"/>
        </w:rPr>
      </w:pPr>
      <w:r>
        <w:rPr>
          <w:rFonts w:hint="eastAsia"/>
        </w:rPr>
        <w:t>沙坪坝区农业主要集中在中、西部，具有典型的城郊都市型现代农业特征。现有耕地面积13649hm</w:t>
      </w:r>
      <w:r>
        <w:rPr>
          <w:rFonts w:hint="eastAsia"/>
          <w:vertAlign w:val="superscript"/>
        </w:rPr>
        <w:t>2</w:t>
      </w:r>
      <w:r>
        <w:rPr>
          <w:rFonts w:hint="eastAsia"/>
        </w:rPr>
        <w:t>，主要农作物有粮食、油料、蔬菜等，已逐步形成以蔬菜、肉禽、水果为主的八大生产基地和菜、奶、猪、鸭等龙头项目正逐步向农业产业化方向迈进。</w:t>
      </w:r>
    </w:p>
    <w:bookmarkEnd w:id="241"/>
    <w:bookmarkEnd w:id="242"/>
    <w:bookmarkEnd w:id="243"/>
    <w:bookmarkEnd w:id="244"/>
    <w:bookmarkEnd w:id="245"/>
    <w:bookmarkEnd w:id="246"/>
    <w:bookmarkEnd w:id="247"/>
    <w:bookmarkEnd w:id="248"/>
    <w:p>
      <w:pPr>
        <w:adjustRightInd w:val="0"/>
        <w:snapToGrid w:val="0"/>
        <w:spacing w:line="360" w:lineRule="auto"/>
        <w:rPr>
          <w:b/>
        </w:rPr>
      </w:pPr>
      <w:bookmarkStart w:id="249" w:name="_Toc185674919"/>
      <w:bookmarkStart w:id="250" w:name="_Toc185674750"/>
      <w:bookmarkStart w:id="251" w:name="_Toc183664787"/>
      <w:bookmarkStart w:id="252" w:name="_Toc183664994"/>
      <w:bookmarkStart w:id="253" w:name="_Toc183749613"/>
      <w:r>
        <w:rPr>
          <w:rFonts w:hint="eastAsia"/>
          <w:b/>
        </w:rPr>
        <w:t>5</w:t>
      </w:r>
      <w:r>
        <w:rPr>
          <w:b/>
        </w:rPr>
        <w:t>.1.</w:t>
      </w:r>
      <w:bookmarkEnd w:id="249"/>
      <w:bookmarkEnd w:id="250"/>
      <w:bookmarkEnd w:id="251"/>
      <w:bookmarkEnd w:id="252"/>
      <w:bookmarkEnd w:id="253"/>
      <w:bookmarkStart w:id="254" w:name="_Toc133071877"/>
      <w:bookmarkStart w:id="255" w:name="_Toc143943214"/>
      <w:bookmarkStart w:id="256" w:name="_Toc185674920"/>
      <w:bookmarkStart w:id="257" w:name="_Toc185674751"/>
      <w:bookmarkStart w:id="258" w:name="_Toc183664788"/>
      <w:bookmarkStart w:id="259" w:name="_Toc183664995"/>
      <w:bookmarkStart w:id="260" w:name="_Toc183749614"/>
      <w:r>
        <w:rPr>
          <w:rFonts w:hint="eastAsia"/>
          <w:b/>
        </w:rPr>
        <w:t>8</w:t>
      </w:r>
      <w:r>
        <w:rPr>
          <w:rFonts w:hAnsi="宋体"/>
          <w:b/>
        </w:rPr>
        <w:t>自然生态状况</w:t>
      </w:r>
    </w:p>
    <w:p>
      <w:pPr>
        <w:adjustRightInd w:val="0"/>
        <w:snapToGrid w:val="0"/>
        <w:spacing w:line="360" w:lineRule="auto"/>
        <w:ind w:firstLine="420" w:firstLineChars="200"/>
      </w:pPr>
      <w:r>
        <w:rPr>
          <w:rFonts w:hint="eastAsia" w:hAnsi="宋体"/>
        </w:rPr>
        <w:t>（1）</w:t>
      </w:r>
      <w:r>
        <w:rPr>
          <w:rFonts w:hAnsi="宋体"/>
        </w:rPr>
        <w:t>植被</w:t>
      </w:r>
    </w:p>
    <w:p>
      <w:pPr>
        <w:adjustRightInd w:val="0"/>
        <w:snapToGrid w:val="0"/>
        <w:spacing w:line="360" w:lineRule="auto"/>
        <w:ind w:firstLine="420" w:firstLineChars="200"/>
        <w:rPr>
          <w:rFonts w:hint="eastAsia" w:hAnsi="宋体"/>
        </w:rPr>
      </w:pPr>
      <w:r>
        <w:rPr>
          <w:rFonts w:hAnsi="宋体"/>
        </w:rPr>
        <w:t>沙坪坝区地带性植被为亚热带常绿阔叶林，但由于多年来的砍伐和破坏，除歌乐山等部分地区为次生常绿林外，其余地带大多零星分布，且以马尾松为优势种。主要植被为人工植被和一些灌草丛。</w:t>
      </w:r>
    </w:p>
    <w:p>
      <w:pPr>
        <w:adjustRightInd w:val="0"/>
        <w:snapToGrid w:val="0"/>
        <w:spacing w:line="360" w:lineRule="auto"/>
        <w:ind w:firstLine="420" w:firstLineChars="200"/>
        <w:rPr>
          <w:rFonts w:hint="eastAsia"/>
        </w:rPr>
      </w:pPr>
      <w:r>
        <w:rPr>
          <w:rFonts w:hint="eastAsia" w:hAnsi="宋体"/>
        </w:rPr>
        <w:t>动物主要有</w:t>
      </w:r>
      <w:r>
        <w:rPr>
          <w:rFonts w:hAnsi="宋体"/>
        </w:rPr>
        <w:t>少量野兔、鼠、蛙类、麻雀等。主要家畜家禽有猪、牛、羊、狗、兔、鸡、鸭、鹅等，未发现受保护的物种。</w:t>
      </w:r>
      <w:r>
        <w:rPr>
          <w:rFonts w:hint="eastAsia" w:hAnsi="宋体"/>
        </w:rPr>
        <w:t>土壤类型</w:t>
      </w:r>
      <w:r>
        <w:rPr>
          <w:rFonts w:hAnsi="宋体"/>
        </w:rPr>
        <w:t>主要有水稻土、冲击土、紫色土、黄壤土、石灰岩土五个土类。</w:t>
      </w:r>
    </w:p>
    <w:p>
      <w:pPr>
        <w:spacing w:line="360" w:lineRule="auto"/>
        <w:ind w:firstLine="449" w:firstLineChars="214"/>
        <w:rPr>
          <w:rFonts w:hint="eastAsia" w:hAnsi="宋体"/>
        </w:rPr>
      </w:pPr>
      <w:r>
        <w:rPr>
          <w:rFonts w:hint="eastAsia" w:hAnsi="宋体"/>
        </w:rPr>
        <w:t>技改项目所在区域属中部平行岭谷工程地质亚区，土壤以紫色土为主，沿山包括部分黄壤、石灰岩土和水稻土。适宜马尾松、乔木、柑桔生长。该区属农业区，以种植水稻、小麦、蔬菜为主。</w:t>
      </w:r>
    </w:p>
    <w:p>
      <w:pPr>
        <w:spacing w:line="360" w:lineRule="auto"/>
        <w:outlineLvl w:val="1"/>
        <w:rPr>
          <w:b/>
        </w:rPr>
      </w:pPr>
      <w:bookmarkStart w:id="261" w:name="_Toc276372236"/>
      <w:r>
        <w:rPr>
          <w:rFonts w:hint="eastAsia"/>
          <w:b/>
        </w:rPr>
        <w:t>5</w:t>
      </w:r>
      <w:r>
        <w:rPr>
          <w:b/>
        </w:rPr>
        <w:t>.2社会环境</w:t>
      </w:r>
      <w:bookmarkEnd w:id="254"/>
      <w:r>
        <w:rPr>
          <w:b/>
        </w:rPr>
        <w:t>现状</w:t>
      </w:r>
      <w:bookmarkEnd w:id="255"/>
      <w:bookmarkEnd w:id="256"/>
      <w:bookmarkEnd w:id="257"/>
      <w:bookmarkEnd w:id="258"/>
      <w:bookmarkEnd w:id="259"/>
      <w:bookmarkEnd w:id="260"/>
      <w:bookmarkEnd w:id="261"/>
    </w:p>
    <w:p>
      <w:pPr>
        <w:adjustRightInd w:val="0"/>
        <w:snapToGrid w:val="0"/>
        <w:spacing w:line="360" w:lineRule="auto"/>
        <w:ind w:firstLine="420" w:firstLineChars="200"/>
      </w:pPr>
      <w:r>
        <w:rPr>
          <w:rFonts w:hAnsi="宋体"/>
        </w:rPr>
        <w:t>（</w:t>
      </w:r>
      <w:r>
        <w:t>1</w:t>
      </w:r>
      <w:r>
        <w:rPr>
          <w:rFonts w:hAnsi="宋体"/>
        </w:rPr>
        <w:t>）经济概况</w:t>
      </w:r>
    </w:p>
    <w:p>
      <w:pPr>
        <w:widowControl/>
        <w:spacing w:line="360" w:lineRule="auto"/>
        <w:ind w:firstLine="420" w:firstLineChars="200"/>
        <w:rPr>
          <w:rFonts w:hint="eastAsia" w:hAnsi="宋体"/>
          <w:kern w:val="0"/>
        </w:rPr>
      </w:pPr>
      <w:r>
        <w:rPr>
          <w:rFonts w:hAnsi="宋体"/>
          <w:kern w:val="0"/>
        </w:rPr>
        <w:t>沙坪坝区是红岩精神的重要发祥地。全区幅员面积</w:t>
      </w:r>
      <w:r>
        <w:rPr>
          <w:kern w:val="0"/>
        </w:rPr>
        <w:t>396</w:t>
      </w:r>
      <w:r>
        <w:rPr>
          <w:rFonts w:hAnsi="宋体"/>
          <w:kern w:val="0"/>
        </w:rPr>
        <w:t>平方公里，辖</w:t>
      </w:r>
      <w:r>
        <w:rPr>
          <w:kern w:val="0"/>
        </w:rPr>
        <w:t>26</w:t>
      </w:r>
      <w:r>
        <w:rPr>
          <w:rFonts w:hAnsi="宋体"/>
          <w:kern w:val="0"/>
        </w:rPr>
        <w:t>个街镇园区，户籍人口</w:t>
      </w:r>
      <w:r>
        <w:rPr>
          <w:kern w:val="0"/>
        </w:rPr>
        <w:t>74.6</w:t>
      </w:r>
      <w:r>
        <w:rPr>
          <w:rFonts w:hAnsi="宋体"/>
          <w:kern w:val="0"/>
        </w:rPr>
        <w:t>万，常住人口</w:t>
      </w:r>
      <w:r>
        <w:rPr>
          <w:rFonts w:hint="eastAsia"/>
          <w:kern w:val="0"/>
        </w:rPr>
        <w:t>89.1</w:t>
      </w:r>
      <w:r>
        <w:rPr>
          <w:rFonts w:hAnsi="宋体"/>
          <w:kern w:val="0"/>
        </w:rPr>
        <w:t>万。</w:t>
      </w:r>
      <w:r>
        <w:t>200</w:t>
      </w:r>
      <w:r>
        <w:rPr>
          <w:rFonts w:hint="eastAsia"/>
        </w:rPr>
        <w:t>9</w:t>
      </w:r>
      <w:r>
        <w:rPr>
          <w:rFonts w:hAnsi="宋体"/>
        </w:rPr>
        <w:t>年</w:t>
      </w:r>
      <w:r>
        <w:rPr>
          <w:rFonts w:hint="eastAsia" w:hAnsi="宋体"/>
        </w:rPr>
        <w:t>，</w:t>
      </w:r>
      <w:r>
        <w:rPr>
          <w:rFonts w:hAnsi="宋体"/>
        </w:rPr>
        <w:t>沙坪坝区</w:t>
      </w:r>
      <w:r>
        <w:rPr>
          <w:rFonts w:hint="eastAsia" w:hAnsi="宋体"/>
          <w:kern w:val="0"/>
        </w:rPr>
        <w:t>实现地区生产总值（GDP）304亿元，比上年增长12％；第一产业实现增加值</w:t>
      </w:r>
      <w:r>
        <w:rPr>
          <w:rFonts w:hAnsi="宋体"/>
          <w:kern w:val="0"/>
        </w:rPr>
        <w:t>3.3</w:t>
      </w:r>
      <w:r>
        <w:rPr>
          <w:rFonts w:hint="eastAsia" w:hAnsi="宋体"/>
          <w:kern w:val="0"/>
        </w:rPr>
        <w:t>亿元，同比增长</w:t>
      </w:r>
      <w:r>
        <w:rPr>
          <w:rFonts w:hAnsi="宋体"/>
          <w:kern w:val="0"/>
        </w:rPr>
        <w:t>2.3%</w:t>
      </w:r>
      <w:r>
        <w:rPr>
          <w:rFonts w:hint="eastAsia" w:hAnsi="宋体"/>
          <w:kern w:val="0"/>
        </w:rPr>
        <w:t>；第二产业实现增加值</w:t>
      </w:r>
      <w:r>
        <w:rPr>
          <w:rFonts w:hAnsi="宋体"/>
          <w:kern w:val="0"/>
        </w:rPr>
        <w:t>103.4</w:t>
      </w:r>
      <w:r>
        <w:rPr>
          <w:rFonts w:hint="eastAsia" w:hAnsi="宋体"/>
          <w:kern w:val="0"/>
        </w:rPr>
        <w:t>亿元，同比增长</w:t>
      </w:r>
      <w:r>
        <w:rPr>
          <w:rFonts w:hAnsi="宋体"/>
          <w:kern w:val="0"/>
        </w:rPr>
        <w:t>8.8%</w:t>
      </w:r>
      <w:r>
        <w:rPr>
          <w:rFonts w:hint="eastAsia" w:hAnsi="宋体"/>
          <w:kern w:val="0"/>
        </w:rPr>
        <w:t>；第三产业实现增加值</w:t>
      </w:r>
      <w:r>
        <w:rPr>
          <w:rFonts w:hAnsi="宋体"/>
          <w:kern w:val="0"/>
        </w:rPr>
        <w:t>106</w:t>
      </w:r>
      <w:r>
        <w:rPr>
          <w:rFonts w:hint="eastAsia" w:hAnsi="宋体"/>
          <w:kern w:val="0"/>
        </w:rPr>
        <w:t>亿元，同比增长</w:t>
      </w:r>
      <w:r>
        <w:rPr>
          <w:rFonts w:hAnsi="宋体"/>
          <w:kern w:val="0"/>
        </w:rPr>
        <w:t>13.5%</w:t>
      </w:r>
      <w:r>
        <w:rPr>
          <w:rFonts w:hint="eastAsia" w:hAnsi="宋体"/>
          <w:kern w:val="0"/>
        </w:rPr>
        <w:t>。三次产业结构比为</w:t>
      </w:r>
      <w:r>
        <w:rPr>
          <w:rFonts w:hAnsi="宋体"/>
          <w:kern w:val="0"/>
        </w:rPr>
        <w:t>1.6</w:t>
      </w:r>
      <w:r>
        <w:rPr>
          <w:rFonts w:hint="eastAsia" w:hAnsi="宋体"/>
          <w:kern w:val="0"/>
        </w:rPr>
        <w:t>：</w:t>
      </w:r>
      <w:r>
        <w:rPr>
          <w:rFonts w:hAnsi="宋体"/>
          <w:kern w:val="0"/>
        </w:rPr>
        <w:t>48.6</w:t>
      </w:r>
      <w:r>
        <w:rPr>
          <w:rFonts w:hint="eastAsia" w:hAnsi="宋体"/>
          <w:kern w:val="0"/>
        </w:rPr>
        <w:t>：</w:t>
      </w:r>
      <w:r>
        <w:rPr>
          <w:rFonts w:hAnsi="宋体"/>
          <w:kern w:val="0"/>
        </w:rPr>
        <w:t>49.9</w:t>
      </w:r>
      <w:r>
        <w:rPr>
          <w:rFonts w:hint="eastAsia" w:hAnsi="宋体"/>
          <w:kern w:val="0"/>
        </w:rPr>
        <w:t>。固定资产投资总额完成</w:t>
      </w:r>
      <w:r>
        <w:rPr>
          <w:rFonts w:hAnsi="宋体"/>
          <w:kern w:val="0"/>
        </w:rPr>
        <w:t>245</w:t>
      </w:r>
      <w:r>
        <w:rPr>
          <w:rFonts w:hint="eastAsia" w:hAnsi="宋体"/>
          <w:kern w:val="0"/>
        </w:rPr>
        <w:t>亿元，增长</w:t>
      </w:r>
      <w:r>
        <w:rPr>
          <w:rFonts w:hAnsi="宋体"/>
          <w:kern w:val="0"/>
        </w:rPr>
        <w:t>30%</w:t>
      </w:r>
      <w:r>
        <w:rPr>
          <w:rFonts w:hint="eastAsia" w:hAnsi="宋体"/>
          <w:kern w:val="0"/>
        </w:rPr>
        <w:t>，投资对经济增长的贡献率为</w:t>
      </w:r>
      <w:r>
        <w:rPr>
          <w:rFonts w:hAnsi="宋体"/>
          <w:kern w:val="0"/>
        </w:rPr>
        <w:t>65%</w:t>
      </w:r>
      <w:r>
        <w:rPr>
          <w:rFonts w:hint="eastAsia" w:hAnsi="宋体"/>
          <w:kern w:val="0"/>
        </w:rPr>
        <w:t>。预计全年全区城市居民人均可支配收入达</w:t>
      </w:r>
      <w:r>
        <w:rPr>
          <w:rFonts w:hAnsi="宋体"/>
          <w:kern w:val="0"/>
        </w:rPr>
        <w:t>17620</w:t>
      </w:r>
      <w:r>
        <w:rPr>
          <w:rFonts w:hint="eastAsia" w:hAnsi="宋体"/>
          <w:kern w:val="0"/>
        </w:rPr>
        <w:t>元，增长</w:t>
      </w:r>
      <w:r>
        <w:rPr>
          <w:rFonts w:hAnsi="宋体"/>
          <w:kern w:val="0"/>
        </w:rPr>
        <w:t>11%</w:t>
      </w:r>
      <w:r>
        <w:rPr>
          <w:rFonts w:hint="eastAsia" w:hAnsi="宋体"/>
          <w:kern w:val="0"/>
        </w:rPr>
        <w:t>；农村居民人均纯收入为</w:t>
      </w:r>
      <w:r>
        <w:rPr>
          <w:rFonts w:hAnsi="宋体"/>
          <w:kern w:val="0"/>
        </w:rPr>
        <w:t>7540</w:t>
      </w:r>
      <w:r>
        <w:rPr>
          <w:rFonts w:hint="eastAsia" w:hAnsi="宋体"/>
          <w:kern w:val="0"/>
        </w:rPr>
        <w:t>元，增长</w:t>
      </w:r>
      <w:r>
        <w:rPr>
          <w:rFonts w:hAnsi="宋体"/>
          <w:kern w:val="0"/>
        </w:rPr>
        <w:t>12%</w:t>
      </w:r>
      <w:r>
        <w:rPr>
          <w:rFonts w:hint="eastAsia" w:hAnsi="宋体"/>
          <w:kern w:val="0"/>
        </w:rPr>
        <w:t>。</w:t>
      </w:r>
    </w:p>
    <w:p>
      <w:pPr>
        <w:widowControl/>
        <w:spacing w:line="360" w:lineRule="auto"/>
        <w:ind w:firstLine="420" w:firstLineChars="200"/>
        <w:rPr>
          <w:kern w:val="0"/>
        </w:rPr>
      </w:pPr>
      <w:r>
        <w:rPr>
          <w:rFonts w:hAnsi="宋体"/>
          <w:kern w:val="0"/>
        </w:rPr>
        <w:t>沙坪坝区拥有重庆市工业企业50强4家，重庆市民营企业50强5家，大型企业3家，中型企业36家。全区工业门类齐全，工业企业涉足34个大类，其中：交通运输设备制造业、通用设备制造业、电气机械及器材制造业、纺织业、医药制造业等行业在全区工业经济中占据较大份额，摩托车整车、汽摩配件、织布、内燃机、高低压开关等产品在全国、全市占有一定的市场份额。</w:t>
      </w:r>
    </w:p>
    <w:p>
      <w:pPr>
        <w:spacing w:line="360" w:lineRule="auto"/>
        <w:ind w:firstLine="570"/>
        <w:rPr>
          <w:rFonts w:hAnsi="宋体"/>
          <w:kern w:val="0"/>
        </w:rPr>
      </w:pPr>
      <w:r>
        <w:rPr>
          <w:rFonts w:hint="eastAsia" w:hAnsi="宋体"/>
          <w:kern w:val="0"/>
        </w:rPr>
        <w:t>青木关</w:t>
      </w:r>
      <w:r>
        <w:rPr>
          <w:rFonts w:hAnsi="宋体"/>
          <w:kern w:val="0"/>
        </w:rPr>
        <w:t>镇全镇幅员面积</w:t>
      </w:r>
      <w:r>
        <w:rPr>
          <w:rFonts w:hint="eastAsia" w:hAnsi="宋体"/>
          <w:kern w:val="0"/>
        </w:rPr>
        <w:t>101</w:t>
      </w:r>
      <w:r>
        <w:rPr>
          <w:rFonts w:hAnsi="宋体"/>
          <w:kern w:val="0"/>
        </w:rPr>
        <w:t>km2，辖</w:t>
      </w:r>
      <w:r>
        <w:rPr>
          <w:rFonts w:hint="eastAsia" w:hAnsi="宋体"/>
          <w:kern w:val="0"/>
        </w:rPr>
        <w:t>5个行政村，15个经济联合社，2个社区居委会</w:t>
      </w:r>
      <w:r>
        <w:rPr>
          <w:rFonts w:hAnsi="宋体"/>
          <w:kern w:val="0"/>
        </w:rPr>
        <w:t>，全镇</w:t>
      </w:r>
      <w:r>
        <w:rPr>
          <w:rFonts w:hint="eastAsia" w:hAnsi="宋体"/>
          <w:kern w:val="0"/>
        </w:rPr>
        <w:t>总</w:t>
      </w:r>
      <w:r>
        <w:rPr>
          <w:rFonts w:hAnsi="宋体"/>
          <w:kern w:val="0"/>
        </w:rPr>
        <w:t>人口</w:t>
      </w:r>
      <w:r>
        <w:rPr>
          <w:rFonts w:hint="eastAsia" w:hAnsi="宋体"/>
          <w:kern w:val="0"/>
        </w:rPr>
        <w:t>25000</w:t>
      </w:r>
      <w:r>
        <w:rPr>
          <w:rFonts w:hAnsi="宋体"/>
          <w:kern w:val="0"/>
        </w:rPr>
        <w:t>人</w:t>
      </w:r>
      <w:r>
        <w:rPr>
          <w:rFonts w:hint="eastAsia" w:hAnsi="宋体"/>
          <w:kern w:val="0"/>
        </w:rPr>
        <w:t>；</w:t>
      </w:r>
      <w:r>
        <w:rPr>
          <w:rFonts w:hAnsi="宋体"/>
          <w:kern w:val="0"/>
        </w:rPr>
        <w:t>其中城镇人口</w:t>
      </w:r>
      <w:r>
        <w:rPr>
          <w:rFonts w:hint="eastAsia" w:hAnsi="宋体"/>
          <w:kern w:val="0"/>
        </w:rPr>
        <w:t>10000</w:t>
      </w:r>
      <w:r>
        <w:rPr>
          <w:rFonts w:hAnsi="宋体"/>
          <w:kern w:val="0"/>
        </w:rPr>
        <w:t>余人，城市化率</w:t>
      </w:r>
      <w:r>
        <w:rPr>
          <w:rFonts w:hint="eastAsia" w:hAnsi="宋体"/>
          <w:kern w:val="0"/>
        </w:rPr>
        <w:t>40</w:t>
      </w:r>
      <w:r>
        <w:rPr>
          <w:rFonts w:hAnsi="宋体"/>
          <w:kern w:val="0"/>
        </w:rPr>
        <w:t>%。</w:t>
      </w:r>
      <w:r>
        <w:rPr>
          <w:rFonts w:hint="eastAsia" w:hAnsi="宋体"/>
          <w:kern w:val="0"/>
        </w:rPr>
        <w:t>工业主导产业为纺织、机械、建材、煤矿等，其中大部分工业企业规模属于家庭作坊式，主要生产产品以低级加工为主；农业的主要收入来源为家禽养殖业。</w:t>
      </w:r>
      <w:r>
        <w:rPr>
          <w:rFonts w:hAnsi="宋体"/>
          <w:kern w:val="0"/>
        </w:rPr>
        <w:t>全镇生产总值达</w:t>
      </w:r>
      <w:r>
        <w:rPr>
          <w:rFonts w:hint="eastAsia" w:hAnsi="宋体"/>
          <w:kern w:val="0"/>
        </w:rPr>
        <w:t>7.8</w:t>
      </w:r>
      <w:r>
        <w:rPr>
          <w:rFonts w:hAnsi="宋体"/>
          <w:kern w:val="0"/>
        </w:rPr>
        <w:t>亿元，其中工</w:t>
      </w:r>
      <w:r>
        <w:rPr>
          <w:rFonts w:hint="eastAsia" w:hAnsi="宋体"/>
          <w:kern w:val="0"/>
        </w:rPr>
        <w:t>农</w:t>
      </w:r>
      <w:r>
        <w:rPr>
          <w:rFonts w:hAnsi="宋体"/>
          <w:kern w:val="0"/>
        </w:rPr>
        <w:t>业产值</w:t>
      </w:r>
      <w:r>
        <w:rPr>
          <w:rFonts w:hint="eastAsia" w:hAnsi="宋体"/>
          <w:kern w:val="0"/>
        </w:rPr>
        <w:t>6.5</w:t>
      </w:r>
      <w:r>
        <w:rPr>
          <w:rFonts w:hAnsi="宋体"/>
          <w:kern w:val="0"/>
        </w:rPr>
        <w:t>亿元，第三产业产值</w:t>
      </w:r>
      <w:r>
        <w:rPr>
          <w:rFonts w:hint="eastAsia" w:hAnsi="宋体"/>
          <w:kern w:val="0"/>
        </w:rPr>
        <w:t>1</w:t>
      </w:r>
      <w:r>
        <w:rPr>
          <w:rFonts w:hAnsi="宋体"/>
          <w:kern w:val="0"/>
        </w:rPr>
        <w:t>.3亿元。</w:t>
      </w:r>
    </w:p>
    <w:p>
      <w:pPr>
        <w:adjustRightInd w:val="0"/>
        <w:snapToGrid w:val="0"/>
        <w:spacing w:line="360" w:lineRule="auto"/>
        <w:ind w:firstLine="420" w:firstLineChars="200"/>
      </w:pPr>
      <w:r>
        <w:rPr>
          <w:rFonts w:hAnsi="宋体"/>
        </w:rPr>
        <w:t>（</w:t>
      </w:r>
      <w:r>
        <w:t>2</w:t>
      </w:r>
      <w:r>
        <w:rPr>
          <w:rFonts w:hAnsi="宋体"/>
        </w:rPr>
        <w:t>）教育、文化、卫生</w:t>
      </w:r>
    </w:p>
    <w:p>
      <w:pPr>
        <w:widowControl/>
        <w:spacing w:line="360" w:lineRule="auto"/>
        <w:ind w:firstLine="420" w:firstLineChars="200"/>
        <w:rPr>
          <w:kern w:val="0"/>
        </w:rPr>
      </w:pPr>
      <w:r>
        <w:rPr>
          <w:rFonts w:hAnsi="宋体"/>
          <w:kern w:val="0"/>
        </w:rPr>
        <w:t>沙坪坝区科技教育发达，是长江上游科教文化名区。区内有高校</w:t>
      </w:r>
      <w:r>
        <w:rPr>
          <w:kern w:val="0"/>
        </w:rPr>
        <w:t>19</w:t>
      </w:r>
      <w:r>
        <w:rPr>
          <w:rFonts w:hAnsi="宋体"/>
          <w:kern w:val="0"/>
        </w:rPr>
        <w:t>所，中小学</w:t>
      </w:r>
      <w:r>
        <w:rPr>
          <w:kern w:val="0"/>
        </w:rPr>
        <w:t>113</w:t>
      </w:r>
      <w:r>
        <w:rPr>
          <w:rFonts w:hAnsi="宋体"/>
          <w:kern w:val="0"/>
        </w:rPr>
        <w:t>所，在校学生近</w:t>
      </w:r>
      <w:r>
        <w:rPr>
          <w:kern w:val="0"/>
        </w:rPr>
        <w:t>30</w:t>
      </w:r>
      <w:r>
        <w:rPr>
          <w:rFonts w:hAnsi="宋体"/>
          <w:kern w:val="0"/>
        </w:rPr>
        <w:t>万人。有重庆大学城、西永微电子产业园区、</w:t>
      </w:r>
      <w:r>
        <w:rPr>
          <w:kern w:val="0"/>
        </w:rPr>
        <w:t>“</w:t>
      </w:r>
      <w:r>
        <w:rPr>
          <w:rFonts w:hAnsi="宋体"/>
          <w:kern w:val="0"/>
        </w:rPr>
        <w:t>国家级重庆大学科技园</w:t>
      </w:r>
      <w:r>
        <w:rPr>
          <w:kern w:val="0"/>
        </w:rPr>
        <w:t>”</w:t>
      </w:r>
      <w:r>
        <w:rPr>
          <w:rFonts w:hAnsi="宋体"/>
          <w:kern w:val="0"/>
        </w:rPr>
        <w:t>、五云山寨学生素质教育基地，全区教育文化形态完善，是全国</w:t>
      </w:r>
      <w:r>
        <w:rPr>
          <w:kern w:val="0"/>
        </w:rPr>
        <w:t>“</w:t>
      </w:r>
      <w:r>
        <w:rPr>
          <w:rFonts w:hAnsi="宋体"/>
          <w:kern w:val="0"/>
        </w:rPr>
        <w:t>科技工作先进区</w:t>
      </w:r>
      <w:r>
        <w:rPr>
          <w:kern w:val="0"/>
        </w:rPr>
        <w:t>”</w:t>
      </w:r>
      <w:r>
        <w:rPr>
          <w:rFonts w:hAnsi="宋体"/>
          <w:kern w:val="0"/>
        </w:rPr>
        <w:t>、</w:t>
      </w:r>
      <w:r>
        <w:rPr>
          <w:kern w:val="0"/>
        </w:rPr>
        <w:t>“</w:t>
      </w:r>
      <w:r>
        <w:rPr>
          <w:rFonts w:hAnsi="宋体"/>
          <w:kern w:val="0"/>
        </w:rPr>
        <w:t>国家级星火技术密集区</w:t>
      </w:r>
      <w:r>
        <w:rPr>
          <w:kern w:val="0"/>
        </w:rPr>
        <w:t>”</w:t>
      </w:r>
      <w:r>
        <w:rPr>
          <w:rFonts w:hAnsi="宋体"/>
          <w:kern w:val="0"/>
        </w:rPr>
        <w:t>和</w:t>
      </w:r>
      <w:r>
        <w:rPr>
          <w:kern w:val="0"/>
        </w:rPr>
        <w:t>“</w:t>
      </w:r>
      <w:r>
        <w:rPr>
          <w:rFonts w:hAnsi="宋体"/>
          <w:kern w:val="0"/>
        </w:rPr>
        <w:t>文化工作先进区</w:t>
      </w:r>
      <w:r>
        <w:rPr>
          <w:kern w:val="0"/>
        </w:rPr>
        <w:t>”</w:t>
      </w:r>
      <w:r>
        <w:rPr>
          <w:rFonts w:hAnsi="宋体"/>
          <w:kern w:val="0"/>
        </w:rPr>
        <w:t>，国家级重庆图书馆已投入使用。</w:t>
      </w:r>
    </w:p>
    <w:p>
      <w:pPr>
        <w:widowControl/>
        <w:spacing w:line="360" w:lineRule="auto"/>
        <w:ind w:firstLine="420" w:firstLineChars="200"/>
        <w:rPr>
          <w:kern w:val="0"/>
        </w:rPr>
      </w:pPr>
      <w:r>
        <w:rPr>
          <w:rFonts w:hAnsi="宋体"/>
          <w:kern w:val="0"/>
        </w:rPr>
        <w:t>沙坪坝区旅游资源丰富，融巴渝文化、沙磁文化、抗战文化、红岩文化于一炉，形成了歌乐山名山旅游、磁器口古镇旅游、都市休闲购物旅游、田园生态旅游等特色旅游，每年接待中外游客数百万。</w:t>
      </w:r>
    </w:p>
    <w:p>
      <w:pPr>
        <w:adjustRightInd w:val="0"/>
        <w:snapToGrid w:val="0"/>
        <w:spacing w:line="360" w:lineRule="auto"/>
        <w:ind w:firstLine="420" w:firstLineChars="200"/>
      </w:pPr>
      <w:r>
        <w:rPr>
          <w:rFonts w:hAnsi="宋体"/>
        </w:rPr>
        <w:t>（</w:t>
      </w:r>
      <w:r>
        <w:t>3</w:t>
      </w:r>
      <w:r>
        <w:rPr>
          <w:rFonts w:hAnsi="宋体"/>
        </w:rPr>
        <w:t>）文物古迹及旅游资源</w:t>
      </w:r>
    </w:p>
    <w:p>
      <w:pPr>
        <w:spacing w:line="360" w:lineRule="auto"/>
        <w:ind w:firstLine="420" w:firstLineChars="200"/>
        <w:rPr>
          <w:rFonts w:hint="eastAsia"/>
          <w:kern w:val="28"/>
        </w:rPr>
      </w:pPr>
      <w:r>
        <w:rPr>
          <w:kern w:val="28"/>
        </w:rPr>
        <w:t>沙坪坝区有全国重点保护单位歌乐山烈士陵园，有歌乐山</w:t>
      </w:r>
      <w:r>
        <w:rPr>
          <w:rFonts w:hint="eastAsia"/>
          <w:kern w:val="28"/>
        </w:rPr>
        <w:t>国家级</w:t>
      </w:r>
      <w:r>
        <w:rPr>
          <w:kern w:val="28"/>
        </w:rPr>
        <w:t>森林公园和省级风景区，磁器口古镇已列入重庆市重点保护古镇，是重要的旅游资源。</w:t>
      </w:r>
    </w:p>
    <w:p>
      <w:pPr>
        <w:spacing w:line="360" w:lineRule="auto"/>
        <w:ind w:firstLine="420" w:firstLineChars="200"/>
        <w:rPr>
          <w:rFonts w:hint="eastAsia"/>
          <w:kern w:val="28"/>
        </w:rPr>
      </w:pPr>
      <w:r>
        <w:rPr>
          <w:rFonts w:hint="eastAsia"/>
          <w:kern w:val="28"/>
        </w:rPr>
        <w:t>青木关镇有市级</w:t>
      </w:r>
      <w:r>
        <w:rPr>
          <w:kern w:val="28"/>
        </w:rPr>
        <w:t>重点保护单位</w:t>
      </w:r>
      <w:r>
        <w:rPr>
          <w:rFonts w:hint="eastAsia"/>
          <w:kern w:val="28"/>
        </w:rPr>
        <w:t>国立音乐学院旧址，位于技改项目西侧的关口村。</w:t>
      </w:r>
    </w:p>
    <w:p>
      <w:pPr>
        <w:adjustRightInd w:val="0"/>
        <w:snapToGrid w:val="0"/>
        <w:spacing w:line="360" w:lineRule="auto"/>
        <w:ind w:firstLine="420" w:firstLineChars="200"/>
      </w:pPr>
      <w:r>
        <w:rPr>
          <w:rFonts w:hAnsi="宋体"/>
        </w:rPr>
        <w:t>（</w:t>
      </w:r>
      <w:r>
        <w:t>4</w:t>
      </w:r>
      <w:r>
        <w:rPr>
          <w:rFonts w:hAnsi="宋体"/>
        </w:rPr>
        <w:t>）能源结构</w:t>
      </w:r>
    </w:p>
    <w:p>
      <w:pPr>
        <w:adjustRightInd w:val="0"/>
        <w:snapToGrid w:val="0"/>
        <w:spacing w:line="360" w:lineRule="auto"/>
        <w:ind w:firstLine="420" w:firstLineChars="200"/>
      </w:pPr>
      <w:r>
        <w:rPr>
          <w:rFonts w:hAnsi="宋体"/>
        </w:rPr>
        <w:t>沙坪坝区城镇燃料结构主要为天燃气、电、石油液化气、油类等。</w:t>
      </w:r>
      <w:r>
        <w:t>200</w:t>
      </w:r>
      <w:r>
        <w:rPr>
          <w:rFonts w:hint="eastAsia"/>
        </w:rPr>
        <w:t>9</w:t>
      </w:r>
      <w:r>
        <w:rPr>
          <w:rFonts w:hAnsi="宋体"/>
        </w:rPr>
        <w:t>年，全区总用电量为</w:t>
      </w:r>
      <w:r>
        <w:t>245000</w:t>
      </w:r>
      <w:r>
        <w:rPr>
          <w:rFonts w:hAnsi="宋体"/>
        </w:rPr>
        <w:t>万千瓦时，其中：工业用电量为</w:t>
      </w:r>
      <w:r>
        <w:t>164500</w:t>
      </w:r>
      <w:r>
        <w:rPr>
          <w:rFonts w:hAnsi="宋体"/>
        </w:rPr>
        <w:t>千万时，占</w:t>
      </w:r>
      <w:r>
        <w:t>67</w:t>
      </w:r>
      <w:r>
        <w:rPr>
          <w:rFonts w:hAnsi="宋体"/>
        </w:rPr>
        <w:t>％，城乡居民和农业用电</w:t>
      </w:r>
      <w:r>
        <w:t>80500</w:t>
      </w:r>
      <w:r>
        <w:rPr>
          <w:rFonts w:hAnsi="宋体"/>
        </w:rPr>
        <w:t>千万时，占</w:t>
      </w:r>
      <w:r>
        <w:t>33</w:t>
      </w:r>
      <w:r>
        <w:rPr>
          <w:rFonts w:hAnsi="宋体"/>
        </w:rPr>
        <w:t>％。</w:t>
      </w:r>
    </w:p>
    <w:bookmarkEnd w:id="201"/>
    <w:bookmarkEnd w:id="202"/>
    <w:bookmarkEnd w:id="204"/>
    <w:bookmarkEnd w:id="205"/>
    <w:p>
      <w:pPr>
        <w:spacing w:before="72" w:beforeLines="30" w:after="72" w:afterLines="30" w:line="360" w:lineRule="auto"/>
        <w:outlineLvl w:val="1"/>
        <w:rPr>
          <w:rFonts w:hint="eastAsia"/>
          <w:b/>
          <w:bCs/>
        </w:rPr>
      </w:pPr>
      <w:bookmarkStart w:id="262" w:name="_Toc473281512"/>
      <w:bookmarkStart w:id="263" w:name="_Toc276372237"/>
      <w:bookmarkStart w:id="264" w:name="_Toc175479809"/>
      <w:bookmarkStart w:id="265" w:name="_Toc189814154"/>
      <w:r>
        <w:rPr>
          <w:rFonts w:hint="eastAsia"/>
          <w:b/>
          <w:bCs/>
        </w:rPr>
        <w:t>5.3 区域规划</w:t>
      </w:r>
      <w:bookmarkEnd w:id="262"/>
      <w:bookmarkEnd w:id="263"/>
      <w:bookmarkEnd w:id="264"/>
      <w:bookmarkEnd w:id="265"/>
    </w:p>
    <w:p>
      <w:pPr>
        <w:spacing w:before="72" w:beforeLines="30" w:after="72" w:afterLines="30" w:line="360" w:lineRule="auto"/>
        <w:outlineLvl w:val="2"/>
        <w:rPr>
          <w:rFonts w:hint="eastAsia"/>
          <w:b/>
          <w:bCs/>
        </w:rPr>
      </w:pPr>
      <w:r>
        <w:rPr>
          <w:rFonts w:hint="eastAsia"/>
          <w:b/>
          <w:bCs/>
        </w:rPr>
        <w:t>5.3.1 城市总体规划</w:t>
      </w:r>
    </w:p>
    <w:p>
      <w:pPr>
        <w:spacing w:line="360" w:lineRule="auto"/>
        <w:ind w:firstLine="420" w:firstLineChars="200"/>
        <w:rPr>
          <w:rFonts w:hint="eastAsia"/>
          <w:kern w:val="28"/>
        </w:rPr>
      </w:pPr>
      <w:r>
        <w:rPr>
          <w:rFonts w:hint="eastAsia"/>
          <w:kern w:val="28"/>
        </w:rPr>
        <w:t>按照</w:t>
      </w:r>
      <w:r>
        <w:rPr>
          <w:kern w:val="28"/>
        </w:rPr>
        <w:t>《重庆市城市总体规划（200</w:t>
      </w:r>
      <w:r>
        <w:rPr>
          <w:rFonts w:hint="eastAsia"/>
          <w:kern w:val="28"/>
        </w:rPr>
        <w:t>7-</w:t>
      </w:r>
      <w:r>
        <w:rPr>
          <w:kern w:val="28"/>
        </w:rPr>
        <w:t>2020年）》的报告，决定由市人民政府报请国务院审批。</w:t>
      </w:r>
      <w:r>
        <w:rPr>
          <w:rFonts w:hint="eastAsia"/>
          <w:kern w:val="28"/>
        </w:rPr>
        <w:t>按照其发展规划，</w:t>
      </w:r>
      <w:r>
        <w:rPr>
          <w:kern w:val="28"/>
        </w:rPr>
        <w:t>主城区的城市空间结构为“一城五片、多中心组团式”。</w:t>
      </w:r>
    </w:p>
    <w:p>
      <w:pPr>
        <w:pStyle w:val="19"/>
        <w:spacing w:before="240" w:beforeLines="100" w:beforeAutospacing="0" w:line="360" w:lineRule="auto"/>
        <w:ind w:firstLine="480" w:firstLineChars="200"/>
        <w:rPr>
          <w:rFonts w:hint="eastAsia" w:ascii="Times New Roman" w:hAnsi="Times New Roman" w:cs="Times New Roman"/>
          <w:kern w:val="28"/>
          <w:sz w:val="24"/>
          <w:szCs w:val="24"/>
        </w:rPr>
      </w:pPr>
      <w:r>
        <w:rPr>
          <w:rFonts w:hint="eastAsia" w:ascii="Times New Roman" w:hAnsi="Times New Roman" w:cs="Times New Roman"/>
          <w:kern w:val="28"/>
          <w:sz w:val="24"/>
          <w:szCs w:val="24"/>
        </w:rPr>
        <w:t xml:space="preserve">城市空间结构为“一城五片、多中心组团式”。 主城由中部、北部、南部、西部、东部五大片区组成。多中心包含一个城市中心和六个城市副中心。主城城市建设用地分为十六个组团和八个功能区。每个组团功能相对完善，组团内工作、生活用地基本平衡，紧凑发展。包括渝中组团、大杨石组团、沙坪坝组团、大渡口组团、观音桥－人和组团、两路组团、蔡家组团、大竹林－礼嘉组团、唐家沱组团、南坪组团、李家沱－渔洞组团、西永组团、北碚组团、西彭组团、茶园－鹿角组团、鱼嘴组团。 </w:t>
      </w:r>
    </w:p>
    <w:p>
      <w:pPr>
        <w:snapToGrid w:val="0"/>
        <w:spacing w:line="360" w:lineRule="auto"/>
        <w:ind w:firstLine="420" w:firstLineChars="200"/>
        <w:rPr>
          <w:rFonts w:hint="eastAsia"/>
          <w:kern w:val="28"/>
        </w:rPr>
      </w:pPr>
      <w:r>
        <w:rPr>
          <w:rFonts w:hint="eastAsia"/>
          <w:kern w:val="28"/>
        </w:rPr>
        <w:t>技改项目位于沙坪坝区青木关镇，不在城市规划范围内，不属于城市发展组团范围。因此，技改项目的建设与重庆市城市规划不冲突，符合重庆市城市总体规划。</w:t>
      </w:r>
    </w:p>
    <w:p>
      <w:pPr>
        <w:spacing w:line="360" w:lineRule="auto"/>
        <w:rPr>
          <w:rFonts w:hint="eastAsia"/>
          <w:b/>
          <w:bCs/>
          <w:sz w:val="28"/>
          <w:szCs w:val="28"/>
        </w:rPr>
      </w:pPr>
      <w:r>
        <w:rPr>
          <w:kern w:val="28"/>
        </w:rPr>
        <w:t>《重庆市城市总体规划（200</w:t>
      </w:r>
      <w:r>
        <w:rPr>
          <w:rFonts w:hint="eastAsia"/>
          <w:kern w:val="28"/>
        </w:rPr>
        <w:t>7-</w:t>
      </w:r>
      <w:r>
        <w:rPr>
          <w:kern w:val="28"/>
        </w:rPr>
        <w:t>2020年）》</w:t>
      </w:r>
      <w:r>
        <w:rPr>
          <w:rFonts w:hint="eastAsia"/>
          <w:kern w:val="28"/>
        </w:rPr>
        <w:t>见图5.1。</w:t>
      </w:r>
    </w:p>
    <w:p>
      <w:pPr>
        <w:spacing w:line="360" w:lineRule="auto"/>
        <w:rPr>
          <w:rFonts w:hint="eastAsia"/>
          <w:b/>
          <w:bCs/>
          <w:sz w:val="28"/>
          <w:szCs w:val="28"/>
        </w:rPr>
      </w:pPr>
      <w:r>
        <w:rPr>
          <w:rFonts w:hint="eastAsia"/>
          <w:b/>
          <w:bCs/>
          <w:sz w:val="28"/>
          <w:szCs w:val="28"/>
        </w:rPr>
        <w:t>5.3.2 “四山”管制规划</w:t>
      </w:r>
    </w:p>
    <w:p>
      <w:pPr>
        <w:spacing w:line="360" w:lineRule="auto"/>
        <w:ind w:firstLine="420" w:firstLineChars="200"/>
        <w:rPr>
          <w:rFonts w:hint="eastAsia"/>
          <w:kern w:val="28"/>
        </w:rPr>
      </w:pPr>
      <w:r>
        <w:rPr>
          <w:rFonts w:hint="eastAsia"/>
          <w:kern w:val="28"/>
        </w:rPr>
        <w:t>目前，</w:t>
      </w:r>
      <w:r>
        <w:rPr>
          <w:kern w:val="28"/>
        </w:rPr>
        <w:t>《重庆市缙云山、中梁山、铜锣山、明月山管制分区规划》</w:t>
      </w:r>
      <w:r>
        <w:rPr>
          <w:rFonts w:hint="eastAsia"/>
          <w:kern w:val="28"/>
        </w:rPr>
        <w:t>已通过重庆市政府批准，其主要内容如下：</w:t>
      </w:r>
    </w:p>
    <w:p>
      <w:pPr>
        <w:snapToGrid w:val="0"/>
        <w:spacing w:line="360" w:lineRule="auto"/>
        <w:ind w:firstLine="420" w:firstLineChars="200"/>
        <w:rPr>
          <w:rFonts w:hint="eastAsia"/>
          <w:kern w:val="28"/>
        </w:rPr>
      </w:pPr>
      <w:r>
        <w:rPr>
          <w:kern w:val="28"/>
        </w:rPr>
        <w:t>一、规划范围与期限</w:t>
      </w:r>
      <w:r>
        <w:rPr>
          <w:kern w:val="28"/>
        </w:rPr>
        <w:br w:type="textWrapping"/>
      </w:r>
      <w:r>
        <w:rPr>
          <w:kern w:val="28"/>
        </w:rPr>
        <w:t>　　1、规划范围：市行政区域内缙云山、中梁山、铜锣山、明月山四山地区，面积共约2376.15平方公里，涉及北碚区、沙坪坝区、九龙坡区、大渡口区、渝北区、江北区、南岸区、巴南区、长寿区、合川区、江津区、璧山县、梁平县、垫江县14个区县118个街道（镇、乡）。</w:t>
      </w:r>
      <w:r>
        <w:rPr>
          <w:kern w:val="28"/>
        </w:rPr>
        <w:br w:type="textWrapping"/>
      </w:r>
      <w:r>
        <w:rPr>
          <w:kern w:val="28"/>
        </w:rPr>
        <w:t>　</w:t>
      </w:r>
      <w:r>
        <w:rPr>
          <w:rFonts w:hint="eastAsia"/>
          <w:kern w:val="28"/>
        </w:rPr>
        <w:t xml:space="preserve"> </w:t>
      </w:r>
      <w:r>
        <w:rPr>
          <w:kern w:val="28"/>
        </w:rPr>
        <w:t xml:space="preserve"> 2、规划期限：规划不设规划期限，对四山建设管制区实行永久保护。</w:t>
      </w:r>
      <w:r>
        <w:rPr>
          <w:kern w:val="28"/>
        </w:rPr>
        <w:br w:type="textWrapping"/>
      </w:r>
      <w:r>
        <w:rPr>
          <w:rFonts w:hint="eastAsia"/>
          <w:kern w:val="28"/>
        </w:rPr>
        <w:t xml:space="preserve">    </w:t>
      </w:r>
      <w:r>
        <w:rPr>
          <w:kern w:val="28"/>
        </w:rPr>
        <w:t>二、规划目标</w:t>
      </w:r>
      <w:r>
        <w:rPr>
          <w:kern w:val="28"/>
        </w:rPr>
        <w:br w:type="textWrapping"/>
      </w:r>
      <w:r>
        <w:rPr>
          <w:rFonts w:hint="eastAsia"/>
          <w:kern w:val="28"/>
        </w:rPr>
        <w:t xml:space="preserve"> </w:t>
      </w:r>
      <w:r>
        <w:rPr>
          <w:kern w:val="28"/>
        </w:rPr>
        <w:t>　 切实保护四山地区森林、绿地资源，增加城市绿色开敞空间，强化四山地区生物多样性特征、生态服务功能和城市防灾功能，维护城市生态安全，为全面提升城市人居环境质量，建设山水园林城市，促进城市社会、经济、环境可持续协调发展，奠定坚实的基础。</w:t>
      </w:r>
      <w:r>
        <w:rPr>
          <w:kern w:val="28"/>
        </w:rPr>
        <w:br w:type="textWrapping"/>
      </w:r>
      <w:r>
        <w:rPr>
          <w:rFonts w:hint="eastAsia"/>
          <w:kern w:val="28"/>
        </w:rPr>
        <w:t xml:space="preserve">   </w:t>
      </w:r>
      <w:r>
        <w:rPr>
          <w:kern w:val="28"/>
        </w:rPr>
        <w:t>三</w:t>
      </w:r>
      <w:r>
        <w:rPr>
          <w:rFonts w:hint="eastAsia"/>
          <w:kern w:val="28"/>
        </w:rPr>
        <w:t>、</w:t>
      </w:r>
      <w:r>
        <w:rPr>
          <w:kern w:val="28"/>
        </w:rPr>
        <w:t>适用范围</w:t>
      </w:r>
      <w:r>
        <w:rPr>
          <w:kern w:val="28"/>
        </w:rPr>
        <w:br w:type="textWrapping"/>
      </w:r>
      <w:r>
        <w:rPr>
          <w:rFonts w:hint="eastAsia"/>
          <w:kern w:val="28"/>
        </w:rPr>
        <w:t xml:space="preserve"> </w:t>
      </w:r>
      <w:r>
        <w:rPr>
          <w:kern w:val="28"/>
        </w:rPr>
        <w:t>　 在</w:t>
      </w:r>
      <w:r>
        <w:rPr>
          <w:rFonts w:hint="eastAsia"/>
          <w:kern w:val="28"/>
        </w:rPr>
        <w:t>重庆</w:t>
      </w:r>
      <w:r>
        <w:rPr>
          <w:kern w:val="28"/>
        </w:rPr>
        <w:t>市行政区域内的缙云山、中梁山、铜锣山、明月山四山地区进行各类开发、建设及其管理活动，必须遵守本规划。</w:t>
      </w:r>
      <w:r>
        <w:rPr>
          <w:kern w:val="28"/>
        </w:rPr>
        <w:br w:type="textWrapping"/>
      </w:r>
      <w:r>
        <w:rPr>
          <w:rFonts w:hint="eastAsia"/>
          <w:kern w:val="28"/>
        </w:rPr>
        <w:t xml:space="preserve">    </w:t>
      </w:r>
      <w:r>
        <w:rPr>
          <w:kern w:val="28"/>
        </w:rPr>
        <w:t>四、四山建设管制区分区设定</w:t>
      </w:r>
      <w:r>
        <w:rPr>
          <w:kern w:val="28"/>
        </w:rPr>
        <w:br w:type="textWrapping"/>
      </w:r>
      <w:r>
        <w:rPr>
          <w:kern w:val="28"/>
        </w:rPr>
        <w:t xml:space="preserve">　 </w:t>
      </w:r>
      <w:r>
        <w:rPr>
          <w:rFonts w:hint="eastAsia"/>
          <w:kern w:val="28"/>
        </w:rPr>
        <w:t xml:space="preserve"> </w:t>
      </w:r>
      <w:r>
        <w:rPr>
          <w:kern w:val="28"/>
        </w:rPr>
        <w:t>规划将四山地区建设管制区分为禁建区、重点控建区和一般控建区。</w:t>
      </w:r>
      <w:r>
        <w:rPr>
          <w:kern w:val="28"/>
        </w:rPr>
        <w:br w:type="textWrapping"/>
      </w:r>
      <w:r>
        <w:rPr>
          <w:kern w:val="28"/>
        </w:rPr>
        <w:t xml:space="preserve">　 </w:t>
      </w:r>
      <w:r>
        <w:rPr>
          <w:rFonts w:hint="eastAsia"/>
          <w:kern w:val="28"/>
        </w:rPr>
        <w:t xml:space="preserve"> </w:t>
      </w:r>
      <w:r>
        <w:rPr>
          <w:kern w:val="28"/>
        </w:rPr>
        <w:t>禁建区包括以下区域：自然保护区的核心区和缓冲区；风景名胜区的核心景区；森林公园的生态保护区；饮用水源一级保护区；国家重点保护野生动物的栖息地及其迁徙廊道；文物保护单位的保护范围；森林密集区；城市组团隔离带以及因保护、恢复生态环境和自然景观需要禁止开发建设的其他区域。</w:t>
      </w:r>
      <w:r>
        <w:rPr>
          <w:kern w:val="28"/>
        </w:rPr>
        <w:br w:type="textWrapping"/>
      </w:r>
      <w:r>
        <w:rPr>
          <w:rFonts w:hint="eastAsia"/>
          <w:kern w:val="28"/>
        </w:rPr>
        <w:t xml:space="preserve"> </w:t>
      </w:r>
      <w:r>
        <w:rPr>
          <w:kern w:val="28"/>
        </w:rPr>
        <w:t>　 重点控建区包括以下区域：自然保护区的实验区及外围保护地带；风景名胜区的一般景区；饮用水源二级保护区；现有林地、绿地及因保护、恢复生态环境和自然景观需要重点限制开发建设的其他区域。</w:t>
      </w:r>
      <w:r>
        <w:rPr>
          <w:kern w:val="28"/>
        </w:rPr>
        <w:br w:type="textWrapping"/>
      </w:r>
      <w:r>
        <w:rPr>
          <w:rFonts w:hint="eastAsia"/>
          <w:kern w:val="28"/>
        </w:rPr>
        <w:t xml:space="preserve"> </w:t>
      </w:r>
      <w:r>
        <w:rPr>
          <w:kern w:val="28"/>
        </w:rPr>
        <w:t>　 一般控建区为除禁建区和重点控建区以外的其他因保护生态环境和自然景观需要限制开发建设的区域。</w:t>
      </w:r>
    </w:p>
    <w:p>
      <w:pPr>
        <w:snapToGrid w:val="0"/>
        <w:spacing w:line="360" w:lineRule="auto"/>
        <w:ind w:firstLine="420" w:firstLineChars="200"/>
        <w:rPr>
          <w:rFonts w:hint="eastAsia"/>
          <w:kern w:val="28"/>
        </w:rPr>
      </w:pPr>
      <w:r>
        <w:rPr>
          <w:kern w:val="28"/>
        </w:rPr>
        <w:t>五、总体管制要求</w:t>
      </w:r>
    </w:p>
    <w:p>
      <w:pPr>
        <w:snapToGrid w:val="0"/>
        <w:spacing w:line="360" w:lineRule="auto"/>
        <w:ind w:firstLine="420" w:firstLineChars="200"/>
        <w:rPr>
          <w:rFonts w:hint="eastAsia"/>
          <w:kern w:val="28"/>
        </w:rPr>
      </w:pPr>
      <w:r>
        <w:rPr>
          <w:kern w:val="28"/>
        </w:rPr>
        <w:t>坚持资源保护和生态优先，四山建设管制区内的各类建设活动必须与管制区生态环境保护要求相协调，严格控制开发规模、强度、建筑体量和风格；四山建设管制区内城镇及农村居民点，应严格控制常住人口的机械增长，积极鼓励和引导居民向管制区外的城镇建设区迁移。村民自用住宅建设用地标准和建筑面积，必须符合国家和本市相关规定；四山建设管制区内，在进行必要的建筑、构筑物建设和进行必须的道路、管网等重大基础设施的建设时，应注意保护野生动物栖息生境，预留野生动物迁徙廊道；四山建设管制区内，除对划入禁建区内的林地进行严格保护外，对重点控建区、一般控建区内的林木也应加强保护，不得随意砍伐。</w:t>
      </w:r>
    </w:p>
    <w:p>
      <w:pPr>
        <w:snapToGrid w:val="0"/>
        <w:spacing w:line="360" w:lineRule="auto"/>
        <w:ind w:firstLine="420" w:firstLineChars="200"/>
        <w:rPr>
          <w:rFonts w:hint="eastAsia"/>
          <w:kern w:val="28"/>
        </w:rPr>
        <w:sectPr>
          <w:pgSz w:w="11906" w:h="16838"/>
          <w:pgMar w:top="1440" w:right="1418" w:bottom="1440" w:left="1418" w:header="851" w:footer="992" w:gutter="0"/>
          <w:paperSrc w:first="20070" w:other="20070"/>
          <w:cols w:space="425" w:num="1"/>
          <w:docGrid w:linePitch="312" w:charSpace="0"/>
        </w:sectPr>
      </w:pPr>
      <w:r>
        <w:rPr>
          <w:rFonts w:hint="eastAsia"/>
          <w:kern w:val="28"/>
        </w:rPr>
        <w:t>技改项目位于青木关镇关口村，</w:t>
      </w:r>
      <w:r>
        <w:rPr>
          <w:kern w:val="28"/>
        </w:rPr>
        <w:t>缙云山</w:t>
      </w:r>
      <w:r>
        <w:rPr>
          <w:rFonts w:hint="eastAsia"/>
          <w:kern w:val="28"/>
        </w:rPr>
        <w:t>管制区在青木关段按原始地面标高350米控制，技改项目将在原立窑厂址上建设，在厂区布置时严格按照“四山管制”要求，所有装置及厂房均布置在350米以下，因此，技改项目不在“四山管制”范围内。</w:t>
      </w:r>
    </w:p>
    <w:p>
      <w:pPr>
        <w:pStyle w:val="13"/>
        <w:ind w:left="0" w:firstLine="0" w:firstLineChars="0"/>
        <w:outlineLvl w:val="0"/>
        <w:rPr>
          <w:b/>
          <w:szCs w:val="28"/>
        </w:rPr>
      </w:pPr>
      <w:bookmarkStart w:id="266" w:name="_Toc276372238"/>
      <w:bookmarkStart w:id="267" w:name="_Toc189814155"/>
      <w:bookmarkStart w:id="268" w:name="_Toc473281513"/>
      <w:bookmarkStart w:id="269" w:name="_Toc175479810"/>
      <w:r>
        <w:rPr>
          <w:rFonts w:hint="eastAsia"/>
          <w:b/>
          <w:szCs w:val="28"/>
        </w:rPr>
        <w:t xml:space="preserve">6 </w:t>
      </w:r>
      <w:r>
        <w:rPr>
          <w:b/>
          <w:szCs w:val="28"/>
        </w:rPr>
        <w:t xml:space="preserve"> 环境质量现状</w:t>
      </w:r>
      <w:bookmarkEnd w:id="266"/>
    </w:p>
    <w:p>
      <w:pPr>
        <w:spacing w:line="360" w:lineRule="auto"/>
        <w:outlineLvl w:val="1"/>
        <w:rPr>
          <w:rFonts w:hint="eastAsia"/>
          <w:b/>
          <w:bCs/>
        </w:rPr>
      </w:pPr>
      <w:bookmarkStart w:id="270" w:name="_Toc276372239"/>
      <w:r>
        <w:rPr>
          <w:b/>
          <w:bCs/>
        </w:rPr>
        <w:t>6.1 环境空气质量现状</w:t>
      </w:r>
      <w:r>
        <w:rPr>
          <w:rFonts w:hint="eastAsia"/>
          <w:b/>
          <w:bCs/>
        </w:rPr>
        <w:t>与评价</w:t>
      </w:r>
      <w:bookmarkEnd w:id="270"/>
    </w:p>
    <w:p>
      <w:pPr>
        <w:spacing w:line="360" w:lineRule="auto"/>
        <w:rPr>
          <w:b/>
          <w:bCs/>
        </w:rPr>
      </w:pPr>
      <w:r>
        <w:rPr>
          <w:rFonts w:hint="eastAsia"/>
          <w:b/>
          <w:bCs/>
        </w:rPr>
        <w:t xml:space="preserve">6.1.1 </w:t>
      </w:r>
      <w:r>
        <w:rPr>
          <w:b/>
          <w:bCs/>
        </w:rPr>
        <w:t>环境空气监测基本情况</w:t>
      </w:r>
    </w:p>
    <w:p>
      <w:pPr>
        <w:spacing w:line="360" w:lineRule="auto"/>
        <w:ind w:firstLine="420" w:firstLineChars="200"/>
      </w:pPr>
      <w:r>
        <w:t>（1）监测点布设</w:t>
      </w:r>
    </w:p>
    <w:p>
      <w:pPr>
        <w:spacing w:line="360" w:lineRule="auto"/>
        <w:ind w:firstLine="420" w:firstLineChars="200"/>
      </w:pPr>
      <w:r>
        <w:rPr>
          <w:rFonts w:hint="eastAsia"/>
        </w:rPr>
        <w:t>技改项目</w:t>
      </w:r>
      <w:r>
        <w:t>环境空气质量现状监测共设置了</w:t>
      </w:r>
      <w:r>
        <w:rPr>
          <w:rFonts w:hint="eastAsia"/>
        </w:rPr>
        <w:t>6</w:t>
      </w:r>
      <w:r>
        <w:t>个监测点，位置分布见表</w:t>
      </w:r>
      <w:r>
        <w:rPr>
          <w:rFonts w:hint="eastAsia"/>
        </w:rPr>
        <w:t>6</w:t>
      </w:r>
      <w:r>
        <w:t>-1和图6.1。</w:t>
      </w:r>
    </w:p>
    <w:p>
      <w:pPr>
        <w:spacing w:line="360" w:lineRule="auto"/>
        <w:ind w:firstLine="420" w:firstLineChars="200"/>
      </w:pPr>
      <w:r>
        <w:t>（2）监测项目</w:t>
      </w:r>
    </w:p>
    <w:p>
      <w:pPr>
        <w:spacing w:line="360" w:lineRule="auto"/>
        <w:ind w:firstLine="420" w:firstLineChars="200"/>
      </w:pPr>
      <w:r>
        <w:t>PM</w:t>
      </w:r>
      <w:r>
        <w:rPr>
          <w:vertAlign w:val="subscript"/>
        </w:rPr>
        <w:t>10</w:t>
      </w:r>
      <w:r>
        <w:t>、SO</w:t>
      </w:r>
      <w:r>
        <w:rPr>
          <w:vertAlign w:val="subscript"/>
        </w:rPr>
        <w:t>2</w:t>
      </w:r>
      <w:r>
        <w:t>、TSP 、NO</w:t>
      </w:r>
      <w:r>
        <w:rPr>
          <w:vertAlign w:val="subscript"/>
        </w:rPr>
        <w:t>2</w:t>
      </w:r>
      <w:r>
        <w:t>。</w:t>
      </w:r>
    </w:p>
    <w:p>
      <w:pPr>
        <w:spacing w:line="360" w:lineRule="auto"/>
        <w:ind w:firstLine="420" w:firstLineChars="200"/>
      </w:pPr>
      <w:r>
        <w:t>（3）监测时间及频率</w:t>
      </w:r>
    </w:p>
    <w:p>
      <w:pPr>
        <w:spacing w:line="360" w:lineRule="auto"/>
        <w:ind w:firstLine="420" w:firstLineChars="200"/>
      </w:pPr>
      <w:r>
        <w:t>监测时间为20</w:t>
      </w:r>
      <w:r>
        <w:rPr>
          <w:rFonts w:hint="eastAsia"/>
        </w:rPr>
        <w:t>10</w:t>
      </w:r>
      <w:r>
        <w:t>年</w:t>
      </w:r>
      <w:r>
        <w:rPr>
          <w:rFonts w:hint="eastAsia"/>
        </w:rPr>
        <w:t>7</w:t>
      </w:r>
      <w:r>
        <w:t>月3</w:t>
      </w:r>
      <w:r>
        <w:rPr>
          <w:rFonts w:hint="eastAsia"/>
        </w:rPr>
        <w:t>0</w:t>
      </w:r>
      <w:r>
        <w:t>日～8月</w:t>
      </w:r>
      <w:r>
        <w:rPr>
          <w:rFonts w:hint="eastAsia"/>
        </w:rPr>
        <w:t>5</w:t>
      </w:r>
      <w:r>
        <w:t>日，连续7天。其中SO</w:t>
      </w:r>
      <w:r>
        <w:rPr>
          <w:vertAlign w:val="subscript"/>
        </w:rPr>
        <w:t>2</w:t>
      </w:r>
      <w:r>
        <w:t>、NO</w:t>
      </w:r>
      <w:r>
        <w:rPr>
          <w:vertAlign w:val="subscript"/>
        </w:rPr>
        <w:t>2</w:t>
      </w:r>
      <w:r>
        <w:t>分别测试小时浓度值和日均浓度值，小时浓度值每天监测</w:t>
      </w:r>
      <w:r>
        <w:rPr>
          <w:rFonts w:hint="eastAsia"/>
        </w:rPr>
        <w:t>6</w:t>
      </w:r>
      <w:r>
        <w:t>次（时间为02， 08，11，14，17， 23时），采样时间至少45分钟，日均浓度值为连续监测，采样时间至少18小时；TSP、PM</w:t>
      </w:r>
      <w:r>
        <w:rPr>
          <w:vertAlign w:val="subscript"/>
        </w:rPr>
        <w:t>10</w:t>
      </w:r>
      <w:r>
        <w:t>测试日均浓度值，采样时间至少12小时。</w:t>
      </w:r>
    </w:p>
    <w:p>
      <w:pPr>
        <w:spacing w:line="360" w:lineRule="auto"/>
        <w:ind w:firstLine="480"/>
      </w:pPr>
      <w:r>
        <w:t>（4）监测分析方法</w:t>
      </w:r>
    </w:p>
    <w:p>
      <w:pPr>
        <w:spacing w:line="360" w:lineRule="auto"/>
        <w:ind w:firstLine="480"/>
      </w:pPr>
      <w:r>
        <w:t>监测分析方法见表6-2。</w:t>
      </w:r>
    </w:p>
    <w:p>
      <w:pPr>
        <w:spacing w:line="360" w:lineRule="auto"/>
        <w:ind w:firstLine="480"/>
      </w:pPr>
      <w:r>
        <w:t>监测单位：重庆市</w:t>
      </w:r>
      <w:r>
        <w:rPr>
          <w:rFonts w:hint="eastAsia"/>
        </w:rPr>
        <w:t>沙坪坝区</w:t>
      </w:r>
      <w:r>
        <w:t>环境监测</w:t>
      </w:r>
      <w:r>
        <w:rPr>
          <w:rFonts w:hint="eastAsia"/>
        </w:rPr>
        <w:t>站</w:t>
      </w:r>
      <w:r>
        <w:t>。</w:t>
      </w:r>
    </w:p>
    <w:p>
      <w:pPr>
        <w:spacing w:line="440" w:lineRule="exact"/>
        <w:ind w:firstLine="480"/>
        <w:jc w:val="center"/>
        <w:rPr>
          <w:b/>
        </w:rPr>
      </w:pPr>
      <w:r>
        <w:rPr>
          <w:b/>
        </w:rPr>
        <w:t>表6-1  环境空气现状监测布点情况一览表</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4028"/>
        <w:gridCol w:w="1924"/>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gridSpan w:val="2"/>
            <w:noWrap w:val="0"/>
            <w:vAlign w:val="center"/>
          </w:tcPr>
          <w:p>
            <w:pPr>
              <w:spacing w:line="280" w:lineRule="exact"/>
              <w:jc w:val="center"/>
              <w:rPr>
                <w:sz w:val="21"/>
                <w:szCs w:val="21"/>
              </w:rPr>
            </w:pPr>
            <w:r>
              <w:rPr>
                <w:sz w:val="21"/>
                <w:szCs w:val="21"/>
              </w:rPr>
              <w:t>监测点名称</w:t>
            </w:r>
          </w:p>
        </w:tc>
        <w:tc>
          <w:tcPr>
            <w:tcW w:w="1924" w:type="dxa"/>
            <w:noWrap w:val="0"/>
            <w:vAlign w:val="center"/>
          </w:tcPr>
          <w:p>
            <w:pPr>
              <w:spacing w:line="280" w:lineRule="exact"/>
              <w:jc w:val="center"/>
              <w:rPr>
                <w:sz w:val="21"/>
                <w:szCs w:val="21"/>
              </w:rPr>
            </w:pPr>
            <w:r>
              <w:rPr>
                <w:rFonts w:hint="eastAsia"/>
                <w:sz w:val="21"/>
                <w:szCs w:val="21"/>
              </w:rPr>
              <w:t>与</w:t>
            </w:r>
            <w:r>
              <w:rPr>
                <w:sz w:val="21"/>
                <w:szCs w:val="21"/>
              </w:rPr>
              <w:t>厂区</w:t>
            </w:r>
          </w:p>
          <w:p>
            <w:pPr>
              <w:spacing w:line="280" w:lineRule="exact"/>
              <w:jc w:val="center"/>
              <w:rPr>
                <w:sz w:val="21"/>
                <w:szCs w:val="21"/>
              </w:rPr>
            </w:pPr>
            <w:r>
              <w:rPr>
                <w:sz w:val="21"/>
                <w:szCs w:val="21"/>
              </w:rPr>
              <w:t>相对方位</w:t>
            </w:r>
          </w:p>
        </w:tc>
        <w:tc>
          <w:tcPr>
            <w:tcW w:w="2665" w:type="dxa"/>
            <w:noWrap w:val="0"/>
            <w:vAlign w:val="center"/>
          </w:tcPr>
          <w:p>
            <w:pPr>
              <w:spacing w:line="280" w:lineRule="exact"/>
              <w:jc w:val="center"/>
              <w:rPr>
                <w:sz w:val="21"/>
                <w:szCs w:val="21"/>
              </w:rPr>
            </w:pPr>
            <w:r>
              <w:rPr>
                <w:sz w:val="21"/>
                <w:szCs w:val="21"/>
              </w:rPr>
              <w:t>与</w:t>
            </w:r>
            <w:r>
              <w:rPr>
                <w:rFonts w:hint="eastAsia"/>
                <w:sz w:val="21"/>
                <w:szCs w:val="21"/>
              </w:rPr>
              <w:t>窑尾</w:t>
            </w:r>
            <w:r>
              <w:rPr>
                <w:sz w:val="21"/>
                <w:szCs w:val="21"/>
              </w:rPr>
              <w:t>烟囱距离（Km）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669" w:type="dxa"/>
            <w:noWrap w:val="0"/>
            <w:vAlign w:val="center"/>
          </w:tcPr>
          <w:p>
            <w:pPr>
              <w:spacing w:line="280" w:lineRule="exact"/>
              <w:jc w:val="center"/>
              <w:rPr>
                <w:sz w:val="21"/>
                <w:szCs w:val="21"/>
              </w:rPr>
            </w:pPr>
            <w:r>
              <w:rPr>
                <w:sz w:val="21"/>
                <w:szCs w:val="21"/>
              </w:rPr>
              <w:t>1#</w:t>
            </w:r>
          </w:p>
        </w:tc>
        <w:tc>
          <w:tcPr>
            <w:tcW w:w="4028" w:type="dxa"/>
            <w:noWrap w:val="0"/>
            <w:vAlign w:val="center"/>
          </w:tcPr>
          <w:p>
            <w:pPr>
              <w:spacing w:line="280" w:lineRule="exact"/>
              <w:rPr>
                <w:rFonts w:hint="eastAsia"/>
                <w:sz w:val="21"/>
                <w:szCs w:val="21"/>
              </w:rPr>
            </w:pPr>
            <w:r>
              <w:rPr>
                <w:rFonts w:hint="eastAsia"/>
                <w:sz w:val="21"/>
                <w:szCs w:val="21"/>
              </w:rPr>
              <w:t>青木关镇</w:t>
            </w:r>
          </w:p>
        </w:tc>
        <w:tc>
          <w:tcPr>
            <w:tcW w:w="1924" w:type="dxa"/>
            <w:noWrap w:val="0"/>
            <w:vAlign w:val="center"/>
          </w:tcPr>
          <w:p>
            <w:pPr>
              <w:spacing w:line="280" w:lineRule="exact"/>
              <w:rPr>
                <w:rFonts w:hint="eastAsia"/>
                <w:sz w:val="21"/>
                <w:szCs w:val="21"/>
              </w:rPr>
            </w:pPr>
            <w:r>
              <w:rPr>
                <w:rFonts w:hint="eastAsia"/>
                <w:sz w:val="21"/>
                <w:szCs w:val="21"/>
              </w:rPr>
              <w:t>E，侧风向</w:t>
            </w:r>
          </w:p>
        </w:tc>
        <w:tc>
          <w:tcPr>
            <w:tcW w:w="2665" w:type="dxa"/>
            <w:noWrap w:val="0"/>
            <w:vAlign w:val="center"/>
          </w:tcPr>
          <w:p>
            <w:pPr>
              <w:spacing w:line="280" w:lineRule="exact"/>
              <w:jc w:val="center"/>
              <w:rPr>
                <w:rFonts w:hint="eastAsia"/>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669" w:type="dxa"/>
            <w:noWrap w:val="0"/>
            <w:vAlign w:val="center"/>
          </w:tcPr>
          <w:p>
            <w:pPr>
              <w:spacing w:line="280" w:lineRule="exact"/>
              <w:jc w:val="center"/>
              <w:rPr>
                <w:sz w:val="21"/>
                <w:szCs w:val="21"/>
              </w:rPr>
            </w:pPr>
            <w:r>
              <w:rPr>
                <w:sz w:val="21"/>
                <w:szCs w:val="21"/>
              </w:rPr>
              <w:t>2#</w:t>
            </w:r>
          </w:p>
        </w:tc>
        <w:tc>
          <w:tcPr>
            <w:tcW w:w="4028" w:type="dxa"/>
            <w:noWrap w:val="0"/>
            <w:vAlign w:val="center"/>
          </w:tcPr>
          <w:p>
            <w:pPr>
              <w:spacing w:line="280" w:lineRule="exact"/>
              <w:rPr>
                <w:rFonts w:hint="eastAsia"/>
                <w:sz w:val="21"/>
                <w:szCs w:val="21"/>
              </w:rPr>
            </w:pPr>
            <w:r>
              <w:rPr>
                <w:rFonts w:hint="eastAsia"/>
                <w:sz w:val="21"/>
                <w:szCs w:val="21"/>
              </w:rPr>
              <w:t>福里树</w:t>
            </w:r>
          </w:p>
        </w:tc>
        <w:tc>
          <w:tcPr>
            <w:tcW w:w="1924" w:type="dxa"/>
            <w:noWrap w:val="0"/>
            <w:vAlign w:val="center"/>
          </w:tcPr>
          <w:p>
            <w:pPr>
              <w:spacing w:line="280" w:lineRule="exact"/>
              <w:rPr>
                <w:sz w:val="21"/>
                <w:szCs w:val="21"/>
              </w:rPr>
            </w:pPr>
            <w:r>
              <w:rPr>
                <w:rFonts w:hint="eastAsia" w:ascii="宋体" w:hAnsi="宋体"/>
                <w:sz w:val="21"/>
                <w:szCs w:val="21"/>
              </w:rPr>
              <w:t>W面，侧风向</w:t>
            </w:r>
          </w:p>
        </w:tc>
        <w:tc>
          <w:tcPr>
            <w:tcW w:w="2665" w:type="dxa"/>
            <w:noWrap w:val="0"/>
            <w:vAlign w:val="center"/>
          </w:tcPr>
          <w:p>
            <w:pPr>
              <w:spacing w:line="280" w:lineRule="exact"/>
              <w:jc w:val="center"/>
              <w:rPr>
                <w:rFonts w:hint="eastAsia"/>
                <w:sz w:val="21"/>
                <w:szCs w:val="21"/>
              </w:rPr>
            </w:pPr>
            <w:r>
              <w:rPr>
                <w:rFonts w:hint="eastAsia"/>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669" w:type="dxa"/>
            <w:noWrap w:val="0"/>
            <w:vAlign w:val="center"/>
          </w:tcPr>
          <w:p>
            <w:pPr>
              <w:spacing w:line="280" w:lineRule="exact"/>
              <w:jc w:val="center"/>
              <w:rPr>
                <w:sz w:val="21"/>
                <w:szCs w:val="21"/>
              </w:rPr>
            </w:pPr>
            <w:r>
              <w:rPr>
                <w:sz w:val="21"/>
                <w:szCs w:val="21"/>
              </w:rPr>
              <w:t>3#</w:t>
            </w:r>
          </w:p>
        </w:tc>
        <w:tc>
          <w:tcPr>
            <w:tcW w:w="4028" w:type="dxa"/>
            <w:noWrap w:val="0"/>
            <w:vAlign w:val="center"/>
          </w:tcPr>
          <w:p>
            <w:pPr>
              <w:spacing w:line="280" w:lineRule="exact"/>
              <w:rPr>
                <w:rFonts w:hint="eastAsia"/>
                <w:sz w:val="21"/>
                <w:szCs w:val="21"/>
              </w:rPr>
            </w:pPr>
            <w:r>
              <w:rPr>
                <w:rFonts w:hint="eastAsia"/>
                <w:sz w:val="21"/>
                <w:szCs w:val="21"/>
              </w:rPr>
              <w:t>重庆永荣青鹏煤业有限公司家属区</w:t>
            </w:r>
          </w:p>
        </w:tc>
        <w:tc>
          <w:tcPr>
            <w:tcW w:w="1924" w:type="dxa"/>
            <w:noWrap w:val="0"/>
            <w:vAlign w:val="center"/>
          </w:tcPr>
          <w:p>
            <w:pPr>
              <w:spacing w:line="280" w:lineRule="exact"/>
              <w:rPr>
                <w:sz w:val="21"/>
                <w:szCs w:val="21"/>
              </w:rPr>
            </w:pPr>
            <w:r>
              <w:rPr>
                <w:rFonts w:hint="eastAsia"/>
                <w:sz w:val="21"/>
                <w:szCs w:val="21"/>
              </w:rPr>
              <w:t>N</w:t>
            </w:r>
            <w:r>
              <w:rPr>
                <w:rFonts w:hint="eastAsia" w:ascii="宋体" w:hAnsi="宋体"/>
                <w:sz w:val="21"/>
                <w:szCs w:val="21"/>
              </w:rPr>
              <w:t>面，上风向</w:t>
            </w:r>
          </w:p>
        </w:tc>
        <w:tc>
          <w:tcPr>
            <w:tcW w:w="2665" w:type="dxa"/>
            <w:noWrap w:val="0"/>
            <w:vAlign w:val="center"/>
          </w:tcPr>
          <w:p>
            <w:pPr>
              <w:spacing w:line="280" w:lineRule="exact"/>
              <w:jc w:val="center"/>
              <w:rPr>
                <w:rFonts w:hint="eastAsia"/>
                <w:sz w:val="21"/>
                <w:szCs w:val="21"/>
              </w:rPr>
            </w:pPr>
            <w:r>
              <w:rPr>
                <w:rFonts w:hint="eastAsia"/>
                <w:sz w:val="21"/>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669" w:type="dxa"/>
            <w:noWrap w:val="0"/>
            <w:vAlign w:val="center"/>
          </w:tcPr>
          <w:p>
            <w:pPr>
              <w:spacing w:line="280" w:lineRule="exact"/>
              <w:jc w:val="center"/>
              <w:rPr>
                <w:sz w:val="21"/>
                <w:szCs w:val="21"/>
              </w:rPr>
            </w:pPr>
            <w:r>
              <w:rPr>
                <w:sz w:val="21"/>
                <w:szCs w:val="21"/>
              </w:rPr>
              <w:t>4#</w:t>
            </w:r>
          </w:p>
        </w:tc>
        <w:tc>
          <w:tcPr>
            <w:tcW w:w="4028" w:type="dxa"/>
            <w:noWrap w:val="0"/>
            <w:vAlign w:val="center"/>
          </w:tcPr>
          <w:p>
            <w:pPr>
              <w:spacing w:line="280" w:lineRule="exact"/>
              <w:rPr>
                <w:rFonts w:hint="eastAsia"/>
                <w:sz w:val="21"/>
                <w:szCs w:val="21"/>
              </w:rPr>
            </w:pPr>
            <w:r>
              <w:rPr>
                <w:rFonts w:hint="eastAsia"/>
                <w:sz w:val="21"/>
                <w:szCs w:val="21"/>
              </w:rPr>
              <w:t>管家桥</w:t>
            </w:r>
          </w:p>
        </w:tc>
        <w:tc>
          <w:tcPr>
            <w:tcW w:w="1924" w:type="dxa"/>
            <w:noWrap w:val="0"/>
            <w:vAlign w:val="center"/>
          </w:tcPr>
          <w:p>
            <w:pPr>
              <w:spacing w:line="280" w:lineRule="exact"/>
              <w:rPr>
                <w:sz w:val="21"/>
                <w:szCs w:val="21"/>
              </w:rPr>
            </w:pPr>
            <w:r>
              <w:rPr>
                <w:rFonts w:hint="eastAsia"/>
                <w:sz w:val="21"/>
                <w:szCs w:val="21"/>
              </w:rPr>
              <w:t>SE</w:t>
            </w:r>
            <w:r>
              <w:rPr>
                <w:rFonts w:hint="eastAsia" w:ascii="宋体" w:hAnsi="宋体"/>
                <w:sz w:val="21"/>
                <w:szCs w:val="21"/>
              </w:rPr>
              <w:t>面，侧下风向</w:t>
            </w:r>
          </w:p>
        </w:tc>
        <w:tc>
          <w:tcPr>
            <w:tcW w:w="2665" w:type="dxa"/>
            <w:noWrap w:val="0"/>
            <w:vAlign w:val="center"/>
          </w:tcPr>
          <w:p>
            <w:pPr>
              <w:spacing w:line="280" w:lineRule="exact"/>
              <w:jc w:val="center"/>
              <w:rPr>
                <w:rFonts w:hint="eastAsia"/>
                <w:sz w:val="21"/>
                <w:szCs w:val="21"/>
              </w:rPr>
            </w:pPr>
            <w:r>
              <w:rPr>
                <w:rFonts w:hint="eastAsia"/>
                <w:sz w:val="21"/>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669" w:type="dxa"/>
            <w:noWrap w:val="0"/>
            <w:vAlign w:val="center"/>
          </w:tcPr>
          <w:p>
            <w:pPr>
              <w:spacing w:line="280" w:lineRule="exact"/>
              <w:jc w:val="center"/>
              <w:rPr>
                <w:sz w:val="21"/>
                <w:szCs w:val="21"/>
              </w:rPr>
            </w:pPr>
            <w:r>
              <w:rPr>
                <w:sz w:val="21"/>
                <w:szCs w:val="21"/>
              </w:rPr>
              <w:t>5#</w:t>
            </w:r>
          </w:p>
        </w:tc>
        <w:tc>
          <w:tcPr>
            <w:tcW w:w="4028" w:type="dxa"/>
            <w:noWrap w:val="0"/>
            <w:vAlign w:val="center"/>
          </w:tcPr>
          <w:p>
            <w:pPr>
              <w:spacing w:line="280" w:lineRule="exact"/>
              <w:rPr>
                <w:rFonts w:hint="eastAsia"/>
                <w:sz w:val="21"/>
                <w:szCs w:val="21"/>
              </w:rPr>
            </w:pPr>
            <w:r>
              <w:rPr>
                <w:rFonts w:hint="eastAsia"/>
                <w:sz w:val="21"/>
                <w:szCs w:val="21"/>
              </w:rPr>
              <w:t>大学城（解放军后勤工程学院虎溪校区）</w:t>
            </w:r>
          </w:p>
        </w:tc>
        <w:tc>
          <w:tcPr>
            <w:tcW w:w="1924" w:type="dxa"/>
            <w:noWrap w:val="0"/>
            <w:vAlign w:val="center"/>
          </w:tcPr>
          <w:p>
            <w:pPr>
              <w:spacing w:line="280" w:lineRule="exact"/>
              <w:rPr>
                <w:sz w:val="21"/>
                <w:szCs w:val="21"/>
              </w:rPr>
            </w:pPr>
            <w:r>
              <w:rPr>
                <w:rFonts w:hint="eastAsia"/>
                <w:sz w:val="21"/>
                <w:szCs w:val="21"/>
              </w:rPr>
              <w:t>SE</w:t>
            </w:r>
            <w:r>
              <w:rPr>
                <w:rFonts w:hint="eastAsia" w:ascii="宋体" w:hAnsi="宋体"/>
                <w:sz w:val="21"/>
                <w:szCs w:val="21"/>
              </w:rPr>
              <w:t>面，侧下风向</w:t>
            </w:r>
          </w:p>
        </w:tc>
        <w:tc>
          <w:tcPr>
            <w:tcW w:w="2665" w:type="dxa"/>
            <w:noWrap w:val="0"/>
            <w:vAlign w:val="center"/>
          </w:tcPr>
          <w:p>
            <w:pPr>
              <w:spacing w:line="280" w:lineRule="exact"/>
              <w:jc w:val="center"/>
              <w:rPr>
                <w:rFonts w:hint="eastAsia"/>
                <w:sz w:val="21"/>
                <w:szCs w:val="21"/>
              </w:rPr>
            </w:pPr>
            <w:r>
              <w:rPr>
                <w:rFonts w:hint="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669" w:type="dxa"/>
            <w:noWrap w:val="0"/>
            <w:vAlign w:val="center"/>
          </w:tcPr>
          <w:p>
            <w:pPr>
              <w:spacing w:line="280" w:lineRule="exact"/>
              <w:jc w:val="center"/>
              <w:rPr>
                <w:sz w:val="21"/>
                <w:szCs w:val="21"/>
              </w:rPr>
            </w:pPr>
            <w:r>
              <w:rPr>
                <w:sz w:val="21"/>
                <w:szCs w:val="21"/>
              </w:rPr>
              <w:t>6#</w:t>
            </w:r>
          </w:p>
        </w:tc>
        <w:tc>
          <w:tcPr>
            <w:tcW w:w="4028" w:type="dxa"/>
            <w:noWrap w:val="0"/>
            <w:vAlign w:val="center"/>
          </w:tcPr>
          <w:p>
            <w:pPr>
              <w:spacing w:line="280" w:lineRule="exact"/>
              <w:rPr>
                <w:rFonts w:hint="eastAsia"/>
                <w:sz w:val="21"/>
                <w:szCs w:val="21"/>
              </w:rPr>
            </w:pPr>
            <w:r>
              <w:rPr>
                <w:rFonts w:hint="eastAsia"/>
                <w:sz w:val="21"/>
                <w:szCs w:val="21"/>
              </w:rPr>
              <w:t>殷家老院子</w:t>
            </w:r>
          </w:p>
        </w:tc>
        <w:tc>
          <w:tcPr>
            <w:tcW w:w="1924" w:type="dxa"/>
            <w:noWrap w:val="0"/>
            <w:vAlign w:val="center"/>
          </w:tcPr>
          <w:p>
            <w:pPr>
              <w:spacing w:line="280" w:lineRule="exact"/>
              <w:rPr>
                <w:sz w:val="21"/>
                <w:szCs w:val="21"/>
              </w:rPr>
            </w:pPr>
            <w:r>
              <w:rPr>
                <w:rFonts w:hint="eastAsia"/>
                <w:sz w:val="21"/>
                <w:szCs w:val="21"/>
              </w:rPr>
              <w:t>SW</w:t>
            </w:r>
            <w:r>
              <w:rPr>
                <w:rFonts w:hint="eastAsia" w:ascii="宋体" w:hAnsi="宋体"/>
                <w:sz w:val="21"/>
                <w:szCs w:val="21"/>
              </w:rPr>
              <w:t>面，侧下风向</w:t>
            </w:r>
          </w:p>
        </w:tc>
        <w:tc>
          <w:tcPr>
            <w:tcW w:w="2665" w:type="dxa"/>
            <w:noWrap w:val="0"/>
            <w:vAlign w:val="center"/>
          </w:tcPr>
          <w:p>
            <w:pPr>
              <w:spacing w:line="280" w:lineRule="exact"/>
              <w:jc w:val="center"/>
              <w:rPr>
                <w:rFonts w:hint="eastAsia"/>
                <w:sz w:val="21"/>
                <w:szCs w:val="21"/>
              </w:rPr>
            </w:pPr>
            <w:r>
              <w:rPr>
                <w:rFonts w:hint="eastAsia"/>
                <w:sz w:val="21"/>
                <w:szCs w:val="21"/>
              </w:rPr>
              <w:t>2.6</w:t>
            </w:r>
          </w:p>
        </w:tc>
      </w:tr>
    </w:tbl>
    <w:p>
      <w:pPr>
        <w:spacing w:line="440" w:lineRule="exact"/>
        <w:ind w:firstLine="480"/>
        <w:jc w:val="center"/>
        <w:rPr>
          <w:rFonts w:hint="eastAsia"/>
          <w:b/>
        </w:rPr>
      </w:pPr>
    </w:p>
    <w:p>
      <w:pPr>
        <w:spacing w:line="440" w:lineRule="exact"/>
        <w:ind w:firstLine="480"/>
        <w:jc w:val="center"/>
        <w:rPr>
          <w:sz w:val="21"/>
          <w:szCs w:val="21"/>
        </w:rPr>
      </w:pPr>
      <w:r>
        <w:rPr>
          <w:b/>
        </w:rPr>
        <w:t xml:space="preserve">表6-2   监测分析方法  </w:t>
      </w:r>
      <w:r>
        <w:rPr>
          <w:rFonts w:hint="eastAsia"/>
          <w:b/>
        </w:rPr>
        <w:t xml:space="preserve">     </w:t>
      </w:r>
      <w:r>
        <w:rPr>
          <w:sz w:val="21"/>
          <w:szCs w:val="21"/>
        </w:rPr>
        <w:t>单位：mg/m</w:t>
      </w:r>
      <w:r>
        <w:rPr>
          <w:sz w:val="21"/>
          <w:szCs w:val="21"/>
          <w:vertAlign w:val="superscript"/>
        </w:rPr>
        <w:t>3</w:t>
      </w:r>
    </w:p>
    <w:tbl>
      <w:tblPr>
        <w:tblStyle w:val="20"/>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3721"/>
        <w:gridCol w:w="3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5" w:type="dxa"/>
            <w:noWrap w:val="0"/>
            <w:vAlign w:val="center"/>
          </w:tcPr>
          <w:p>
            <w:pPr>
              <w:spacing w:line="360" w:lineRule="exact"/>
              <w:jc w:val="center"/>
              <w:rPr>
                <w:sz w:val="21"/>
                <w:szCs w:val="21"/>
              </w:rPr>
            </w:pPr>
            <w:r>
              <w:rPr>
                <w:sz w:val="21"/>
                <w:szCs w:val="21"/>
              </w:rPr>
              <w:t>监测项目</w:t>
            </w:r>
          </w:p>
        </w:tc>
        <w:tc>
          <w:tcPr>
            <w:tcW w:w="3721" w:type="dxa"/>
            <w:noWrap w:val="0"/>
            <w:vAlign w:val="center"/>
          </w:tcPr>
          <w:p>
            <w:pPr>
              <w:spacing w:line="360" w:lineRule="exact"/>
              <w:jc w:val="center"/>
              <w:rPr>
                <w:sz w:val="21"/>
                <w:szCs w:val="21"/>
              </w:rPr>
            </w:pPr>
            <w:r>
              <w:rPr>
                <w:sz w:val="21"/>
                <w:szCs w:val="21"/>
              </w:rPr>
              <w:t>监测仪器</w:t>
            </w:r>
          </w:p>
        </w:tc>
        <w:tc>
          <w:tcPr>
            <w:tcW w:w="3633" w:type="dxa"/>
            <w:noWrap w:val="0"/>
            <w:vAlign w:val="center"/>
          </w:tcPr>
          <w:p>
            <w:pPr>
              <w:spacing w:line="360" w:lineRule="exact"/>
              <w:jc w:val="center"/>
              <w:rPr>
                <w:sz w:val="21"/>
                <w:szCs w:val="21"/>
              </w:rPr>
            </w:pPr>
            <w:r>
              <w:rPr>
                <w:sz w:val="21"/>
                <w:szCs w:val="21"/>
              </w:rPr>
              <w:t>分析方法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5" w:type="dxa"/>
            <w:noWrap w:val="0"/>
            <w:vAlign w:val="center"/>
          </w:tcPr>
          <w:p>
            <w:pPr>
              <w:spacing w:line="360" w:lineRule="exact"/>
              <w:jc w:val="center"/>
              <w:rPr>
                <w:sz w:val="21"/>
                <w:szCs w:val="21"/>
              </w:rPr>
            </w:pPr>
            <w:r>
              <w:rPr>
                <w:sz w:val="21"/>
                <w:szCs w:val="21"/>
              </w:rPr>
              <w:t>SO</w:t>
            </w:r>
            <w:r>
              <w:rPr>
                <w:sz w:val="21"/>
                <w:szCs w:val="21"/>
                <w:vertAlign w:val="subscript"/>
              </w:rPr>
              <w:t>2</w:t>
            </w:r>
          </w:p>
        </w:tc>
        <w:tc>
          <w:tcPr>
            <w:tcW w:w="3721" w:type="dxa"/>
            <w:noWrap w:val="0"/>
            <w:vAlign w:val="center"/>
          </w:tcPr>
          <w:p>
            <w:pPr>
              <w:spacing w:line="360" w:lineRule="exact"/>
              <w:jc w:val="center"/>
              <w:rPr>
                <w:sz w:val="21"/>
                <w:szCs w:val="21"/>
              </w:rPr>
            </w:pPr>
            <w:r>
              <w:rPr>
                <w:sz w:val="21"/>
                <w:szCs w:val="21"/>
              </w:rPr>
              <w:t>7230G型分光光度计</w:t>
            </w:r>
          </w:p>
        </w:tc>
        <w:tc>
          <w:tcPr>
            <w:tcW w:w="3633" w:type="dxa"/>
            <w:noWrap w:val="0"/>
            <w:vAlign w:val="center"/>
          </w:tcPr>
          <w:p>
            <w:pPr>
              <w:spacing w:line="360" w:lineRule="exact"/>
              <w:jc w:val="center"/>
              <w:rPr>
                <w:sz w:val="21"/>
                <w:szCs w:val="21"/>
              </w:rPr>
            </w:pPr>
            <w:r>
              <w:rPr>
                <w:sz w:val="21"/>
                <w:szCs w:val="21"/>
              </w:rPr>
              <w:t>甲醛吸收—副玫瑰苯胺分光光度法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5" w:type="dxa"/>
            <w:noWrap w:val="0"/>
            <w:vAlign w:val="center"/>
          </w:tcPr>
          <w:p>
            <w:pPr>
              <w:spacing w:line="360" w:lineRule="exact"/>
              <w:jc w:val="center"/>
              <w:rPr>
                <w:sz w:val="21"/>
                <w:szCs w:val="21"/>
              </w:rPr>
            </w:pPr>
            <w:r>
              <w:rPr>
                <w:sz w:val="21"/>
                <w:szCs w:val="21"/>
              </w:rPr>
              <w:t>TSP</w:t>
            </w:r>
          </w:p>
        </w:tc>
        <w:tc>
          <w:tcPr>
            <w:tcW w:w="3721" w:type="dxa"/>
            <w:noWrap w:val="0"/>
            <w:vAlign w:val="center"/>
          </w:tcPr>
          <w:p>
            <w:pPr>
              <w:spacing w:line="360" w:lineRule="exact"/>
              <w:jc w:val="center"/>
              <w:rPr>
                <w:sz w:val="21"/>
                <w:szCs w:val="21"/>
              </w:rPr>
            </w:pPr>
            <w:r>
              <w:rPr>
                <w:sz w:val="21"/>
                <w:szCs w:val="21"/>
              </w:rPr>
              <w:t>TH-150C</w:t>
            </w:r>
            <w:r>
              <w:rPr>
                <w:rFonts w:hint="eastAsia" w:ascii="宋体" w:hAnsi="宋体"/>
                <w:sz w:val="21"/>
                <w:szCs w:val="21"/>
              </w:rPr>
              <w:t>Ⅱ</w:t>
            </w:r>
            <w:r>
              <w:rPr>
                <w:sz w:val="21"/>
                <w:szCs w:val="21"/>
              </w:rPr>
              <w:t>智能中流量</w:t>
            </w:r>
            <w:r>
              <w:rPr>
                <w:rFonts w:hint="eastAsia"/>
                <w:sz w:val="21"/>
                <w:szCs w:val="21"/>
              </w:rPr>
              <w:t>无碳刷</w:t>
            </w:r>
            <w:r>
              <w:rPr>
                <w:sz w:val="21"/>
                <w:szCs w:val="21"/>
              </w:rPr>
              <w:t>采样器</w:t>
            </w:r>
          </w:p>
        </w:tc>
        <w:tc>
          <w:tcPr>
            <w:tcW w:w="3633" w:type="dxa"/>
            <w:noWrap w:val="0"/>
            <w:vAlign w:val="center"/>
          </w:tcPr>
          <w:p>
            <w:pPr>
              <w:spacing w:line="360" w:lineRule="exact"/>
              <w:jc w:val="center"/>
              <w:rPr>
                <w:sz w:val="21"/>
                <w:szCs w:val="21"/>
              </w:rPr>
            </w:pPr>
            <w:r>
              <w:rPr>
                <w:sz w:val="21"/>
                <w:szCs w:val="21"/>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5" w:type="dxa"/>
            <w:noWrap w:val="0"/>
            <w:vAlign w:val="center"/>
          </w:tcPr>
          <w:p>
            <w:pPr>
              <w:spacing w:line="360" w:lineRule="exact"/>
              <w:jc w:val="center"/>
              <w:rPr>
                <w:sz w:val="21"/>
                <w:szCs w:val="21"/>
              </w:rPr>
            </w:pPr>
            <w:r>
              <w:rPr>
                <w:sz w:val="21"/>
                <w:szCs w:val="21"/>
              </w:rPr>
              <w:t>PM</w:t>
            </w:r>
            <w:r>
              <w:rPr>
                <w:sz w:val="21"/>
                <w:szCs w:val="21"/>
                <w:vertAlign w:val="subscript"/>
              </w:rPr>
              <w:t>10</w:t>
            </w:r>
          </w:p>
        </w:tc>
        <w:tc>
          <w:tcPr>
            <w:tcW w:w="3721" w:type="dxa"/>
            <w:noWrap w:val="0"/>
            <w:vAlign w:val="center"/>
          </w:tcPr>
          <w:p>
            <w:pPr>
              <w:spacing w:line="360" w:lineRule="exact"/>
              <w:jc w:val="center"/>
              <w:rPr>
                <w:sz w:val="21"/>
                <w:szCs w:val="21"/>
              </w:rPr>
            </w:pPr>
            <w:r>
              <w:rPr>
                <w:sz w:val="21"/>
                <w:szCs w:val="21"/>
              </w:rPr>
              <w:t>TH-150C</w:t>
            </w:r>
            <w:r>
              <w:rPr>
                <w:rFonts w:hint="eastAsia" w:ascii="宋体" w:hAnsi="宋体"/>
                <w:sz w:val="21"/>
                <w:szCs w:val="21"/>
              </w:rPr>
              <w:t>Ⅱ</w:t>
            </w:r>
            <w:r>
              <w:rPr>
                <w:sz w:val="21"/>
                <w:szCs w:val="21"/>
              </w:rPr>
              <w:t>智能中流量</w:t>
            </w:r>
            <w:r>
              <w:rPr>
                <w:rFonts w:hint="eastAsia"/>
                <w:sz w:val="21"/>
                <w:szCs w:val="21"/>
              </w:rPr>
              <w:t>无碳刷</w:t>
            </w:r>
            <w:r>
              <w:rPr>
                <w:sz w:val="21"/>
                <w:szCs w:val="21"/>
              </w:rPr>
              <w:t>采样器</w:t>
            </w:r>
          </w:p>
        </w:tc>
        <w:tc>
          <w:tcPr>
            <w:tcW w:w="3633" w:type="dxa"/>
            <w:noWrap w:val="0"/>
            <w:vAlign w:val="center"/>
          </w:tcPr>
          <w:p>
            <w:pPr>
              <w:spacing w:line="360" w:lineRule="exact"/>
              <w:jc w:val="center"/>
              <w:rPr>
                <w:rFonts w:hint="eastAsia"/>
                <w:sz w:val="21"/>
                <w:szCs w:val="21"/>
              </w:rPr>
            </w:pPr>
            <w:r>
              <w:rPr>
                <w:rFonts w:hint="eastAsia"/>
                <w:sz w:val="21"/>
                <w:szCs w:val="21"/>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35" w:type="dxa"/>
            <w:noWrap w:val="0"/>
            <w:vAlign w:val="center"/>
          </w:tcPr>
          <w:p>
            <w:pPr>
              <w:spacing w:line="360" w:lineRule="exact"/>
              <w:jc w:val="center"/>
              <w:rPr>
                <w:sz w:val="21"/>
                <w:szCs w:val="21"/>
              </w:rPr>
            </w:pPr>
            <w:r>
              <w:rPr>
                <w:sz w:val="21"/>
                <w:szCs w:val="21"/>
              </w:rPr>
              <w:t>NO</w:t>
            </w:r>
            <w:r>
              <w:rPr>
                <w:sz w:val="21"/>
                <w:szCs w:val="21"/>
                <w:vertAlign w:val="subscript"/>
              </w:rPr>
              <w:t>2</w:t>
            </w:r>
          </w:p>
        </w:tc>
        <w:tc>
          <w:tcPr>
            <w:tcW w:w="3721" w:type="dxa"/>
            <w:noWrap w:val="0"/>
            <w:vAlign w:val="center"/>
          </w:tcPr>
          <w:p>
            <w:pPr>
              <w:spacing w:line="360" w:lineRule="exact"/>
              <w:jc w:val="center"/>
              <w:rPr>
                <w:sz w:val="21"/>
                <w:szCs w:val="21"/>
              </w:rPr>
            </w:pPr>
            <w:r>
              <w:rPr>
                <w:rFonts w:hint="eastAsia"/>
                <w:sz w:val="21"/>
                <w:szCs w:val="21"/>
              </w:rPr>
              <w:t>T6新世纪紫外可见</w:t>
            </w:r>
            <w:r>
              <w:rPr>
                <w:sz w:val="21"/>
                <w:szCs w:val="21"/>
              </w:rPr>
              <w:t>分光光度计</w:t>
            </w:r>
          </w:p>
        </w:tc>
        <w:tc>
          <w:tcPr>
            <w:tcW w:w="3633" w:type="dxa"/>
            <w:noWrap w:val="0"/>
            <w:vAlign w:val="center"/>
          </w:tcPr>
          <w:p>
            <w:pPr>
              <w:spacing w:line="360" w:lineRule="exact"/>
              <w:jc w:val="center"/>
              <w:rPr>
                <w:sz w:val="21"/>
                <w:szCs w:val="21"/>
              </w:rPr>
            </w:pPr>
            <w:r>
              <w:rPr>
                <w:rFonts w:hint="eastAsia"/>
                <w:sz w:val="21"/>
                <w:szCs w:val="21"/>
              </w:rPr>
              <w:t>盐酸萘乙二胺分光光度</w:t>
            </w:r>
            <w:r>
              <w:rPr>
                <w:sz w:val="21"/>
                <w:szCs w:val="21"/>
              </w:rPr>
              <w:t>法</w:t>
            </w:r>
          </w:p>
        </w:tc>
      </w:tr>
    </w:tbl>
    <w:p>
      <w:pPr>
        <w:spacing w:line="440" w:lineRule="exact"/>
        <w:rPr>
          <w:b/>
        </w:rPr>
      </w:pPr>
      <w:r>
        <w:rPr>
          <w:b/>
        </w:rPr>
        <w:t>6.</w:t>
      </w:r>
      <w:r>
        <w:rPr>
          <w:rFonts w:hint="eastAsia"/>
          <w:b/>
        </w:rPr>
        <w:t>1.</w:t>
      </w:r>
      <w:r>
        <w:rPr>
          <w:b/>
        </w:rPr>
        <w:t>2 监测结果统计及现状评价</w:t>
      </w:r>
    </w:p>
    <w:p>
      <w:pPr>
        <w:spacing w:line="440" w:lineRule="exact"/>
        <w:ind w:firstLine="420" w:firstLineChars="200"/>
      </w:pPr>
      <w:r>
        <w:t>环境空气质量现状监测结果统计见表6-3。</w:t>
      </w:r>
    </w:p>
    <w:p>
      <w:pPr>
        <w:spacing w:line="440" w:lineRule="exact"/>
        <w:ind w:firstLine="482"/>
      </w:pPr>
      <w:r>
        <w:t>SO</w:t>
      </w:r>
      <w:r>
        <w:rPr>
          <w:vertAlign w:val="subscript"/>
        </w:rPr>
        <w:t>2</w:t>
      </w:r>
      <w:r>
        <w:t>小时浓度为0.0</w:t>
      </w:r>
      <w:r>
        <w:rPr>
          <w:rFonts w:hint="eastAsia"/>
        </w:rPr>
        <w:t>35</w:t>
      </w:r>
      <w:r>
        <w:t>～0.</w:t>
      </w:r>
      <w:r>
        <w:rPr>
          <w:rFonts w:hint="eastAsia"/>
        </w:rPr>
        <w:t>12</w:t>
      </w:r>
      <w:r>
        <w:t>8mg/m</w:t>
      </w:r>
      <w:r>
        <w:rPr>
          <w:vertAlign w:val="superscript"/>
        </w:rPr>
        <w:t>3</w:t>
      </w:r>
      <w:r>
        <w:t>，最大占标率</w:t>
      </w:r>
      <w:r>
        <w:rPr>
          <w:rFonts w:hint="eastAsia"/>
        </w:rPr>
        <w:t>25.</w:t>
      </w:r>
      <w:r>
        <w:t>6%；日均浓度为0.0</w:t>
      </w:r>
      <w:r>
        <w:rPr>
          <w:rFonts w:hint="eastAsia"/>
        </w:rPr>
        <w:t>41</w:t>
      </w:r>
      <w:r>
        <w:t>～0.0</w:t>
      </w:r>
      <w:r>
        <w:rPr>
          <w:rFonts w:hint="eastAsia"/>
        </w:rPr>
        <w:t>84</w:t>
      </w:r>
      <w:r>
        <w:t>mg/m</w:t>
      </w:r>
      <w:r>
        <w:rPr>
          <w:vertAlign w:val="superscript"/>
        </w:rPr>
        <w:t>3</w:t>
      </w:r>
      <w:r>
        <w:t>，最大占标率</w:t>
      </w:r>
      <w:r>
        <w:rPr>
          <w:rFonts w:hint="eastAsia"/>
        </w:rPr>
        <w:t>56.0</w:t>
      </w:r>
      <w:r>
        <w:t>%，无超标现象发生，环境容量较大。</w:t>
      </w:r>
    </w:p>
    <w:p>
      <w:pPr>
        <w:spacing w:line="440" w:lineRule="exact"/>
        <w:ind w:firstLine="480"/>
      </w:pPr>
      <w:r>
        <w:t>NO</w:t>
      </w:r>
      <w:r>
        <w:rPr>
          <w:vertAlign w:val="subscript"/>
        </w:rPr>
        <w:t>2</w:t>
      </w:r>
      <w:r>
        <w:t>小时浓度为0.0</w:t>
      </w:r>
      <w:r>
        <w:rPr>
          <w:rFonts w:hint="eastAsia"/>
        </w:rPr>
        <w:t>07</w:t>
      </w:r>
      <w:r>
        <w:t>～0.0</w:t>
      </w:r>
      <w:r>
        <w:rPr>
          <w:rFonts w:hint="eastAsia"/>
        </w:rPr>
        <w:t>63</w:t>
      </w:r>
      <w:r>
        <w:t>mg/m</w:t>
      </w:r>
      <w:r>
        <w:rPr>
          <w:vertAlign w:val="superscript"/>
        </w:rPr>
        <w:t>3</w:t>
      </w:r>
      <w:r>
        <w:t>，最大占标率</w:t>
      </w:r>
      <w:r>
        <w:rPr>
          <w:rFonts w:hint="eastAsia"/>
        </w:rPr>
        <w:t>26.3</w:t>
      </w:r>
      <w:r>
        <w:t>%；日均浓度为0.0</w:t>
      </w:r>
      <w:r>
        <w:rPr>
          <w:rFonts w:hint="eastAsia"/>
        </w:rPr>
        <w:t>09</w:t>
      </w:r>
      <w:r>
        <w:t>～0.0</w:t>
      </w:r>
      <w:r>
        <w:rPr>
          <w:rFonts w:hint="eastAsia"/>
        </w:rPr>
        <w:t>53</w:t>
      </w:r>
      <w:r>
        <w:t>mg/m</w:t>
      </w:r>
      <w:r>
        <w:rPr>
          <w:vertAlign w:val="superscript"/>
        </w:rPr>
        <w:t>3</w:t>
      </w:r>
      <w:r>
        <w:t>，最大占标率</w:t>
      </w:r>
      <w:r>
        <w:rPr>
          <w:rFonts w:hint="eastAsia"/>
        </w:rPr>
        <w:t>44.2</w:t>
      </w:r>
      <w:r>
        <w:t>%，无超标现象发生，环境容量较大。</w:t>
      </w:r>
    </w:p>
    <w:p>
      <w:pPr>
        <w:spacing w:line="440" w:lineRule="exact"/>
        <w:ind w:firstLine="480"/>
      </w:pPr>
      <w:r>
        <w:t>PM</w:t>
      </w:r>
      <w:r>
        <w:rPr>
          <w:vertAlign w:val="subscript"/>
        </w:rPr>
        <w:t>10</w:t>
      </w:r>
      <w:r>
        <w:t>日均浓度为0.0</w:t>
      </w:r>
      <w:r>
        <w:rPr>
          <w:rFonts w:hint="eastAsia"/>
        </w:rPr>
        <w:t>38</w:t>
      </w:r>
      <w:r>
        <w:t>～0.</w:t>
      </w:r>
      <w:r>
        <w:rPr>
          <w:rFonts w:hint="eastAsia"/>
        </w:rPr>
        <w:t>179</w:t>
      </w:r>
      <w:r>
        <w:t>mg/m</w:t>
      </w:r>
      <w:r>
        <w:rPr>
          <w:vertAlign w:val="superscript"/>
        </w:rPr>
        <w:t>3</w:t>
      </w:r>
      <w:r>
        <w:t>，最大占标率</w:t>
      </w:r>
      <w:r>
        <w:rPr>
          <w:rFonts w:hint="eastAsia"/>
        </w:rPr>
        <w:t>60.0</w:t>
      </w:r>
      <w:r>
        <w:t>%，无超标现象发生，有一定的环境容量。</w:t>
      </w:r>
    </w:p>
    <w:p>
      <w:pPr>
        <w:spacing w:line="440" w:lineRule="exact"/>
        <w:ind w:firstLine="420" w:firstLineChars="200"/>
        <w:rPr>
          <w:b/>
          <w:bCs/>
        </w:rPr>
      </w:pPr>
      <w:r>
        <w:t>TSP日均浓度为0.0</w:t>
      </w:r>
      <w:r>
        <w:rPr>
          <w:rFonts w:hint="eastAsia"/>
        </w:rPr>
        <w:t>53</w:t>
      </w:r>
      <w:r>
        <w:t>～0.</w:t>
      </w:r>
      <w:r>
        <w:rPr>
          <w:rFonts w:hint="eastAsia"/>
        </w:rPr>
        <w:t>125</w:t>
      </w:r>
      <w:r>
        <w:t>mg/m</w:t>
      </w:r>
      <w:r>
        <w:rPr>
          <w:vertAlign w:val="superscript"/>
        </w:rPr>
        <w:t>3</w:t>
      </w:r>
      <w:r>
        <w:t>，最大占标率</w:t>
      </w:r>
      <w:r>
        <w:rPr>
          <w:rFonts w:hint="eastAsia"/>
        </w:rPr>
        <w:t>83.3</w:t>
      </w:r>
      <w:r>
        <w:t>%，无超标现象发生，有一定的环境容量。</w:t>
      </w:r>
    </w:p>
    <w:p>
      <w:pPr>
        <w:spacing w:line="440" w:lineRule="exact"/>
        <w:ind w:firstLine="420" w:firstLineChars="200"/>
        <w:rPr>
          <w:rFonts w:hint="eastAsia"/>
        </w:rPr>
      </w:pPr>
      <w:r>
        <w:t>环境空气现状评价表明，各监测点SO</w:t>
      </w:r>
      <w:r>
        <w:rPr>
          <w:vertAlign w:val="subscript"/>
        </w:rPr>
        <w:t>2</w:t>
      </w:r>
      <w:r>
        <w:t>、NO</w:t>
      </w:r>
      <w:r>
        <w:rPr>
          <w:vertAlign w:val="subscript"/>
        </w:rPr>
        <w:t>2</w:t>
      </w:r>
      <w:r>
        <w:t>小时浓度、日均浓度及PM</w:t>
      </w:r>
      <w:r>
        <w:rPr>
          <w:vertAlign w:val="subscript"/>
        </w:rPr>
        <w:t>10</w:t>
      </w:r>
      <w:r>
        <w:t>、TSP日均浓度均满足《环境空气质量标准》（GB3095-1996）二级标准的要求，无超标现象发生，环境空气质量现状较好，评价区域有一定的环境容量，对</w:t>
      </w:r>
      <w:r>
        <w:rPr>
          <w:rFonts w:hint="eastAsia"/>
        </w:rPr>
        <w:t>技改项目</w:t>
      </w:r>
      <w:r>
        <w:t>制约小</w:t>
      </w:r>
      <w:r>
        <w:rPr>
          <w:rFonts w:hint="eastAsia"/>
        </w:rPr>
        <w:t>。</w:t>
      </w:r>
    </w:p>
    <w:p>
      <w:pPr>
        <w:spacing w:line="440" w:lineRule="exact"/>
        <w:ind w:firstLine="420" w:firstLineChars="200"/>
      </w:pPr>
    </w:p>
    <w:p>
      <w:pPr>
        <w:spacing w:line="440" w:lineRule="exact"/>
        <w:sectPr>
          <w:footerReference r:id="rId11" w:type="default"/>
          <w:footerReference r:id="rId12" w:type="even"/>
          <w:pgSz w:w="11906" w:h="16838"/>
          <w:pgMar w:top="1418" w:right="1418" w:bottom="1418" w:left="1418" w:header="851" w:footer="992" w:gutter="0"/>
          <w:paperSrc w:first="20070" w:other="20070"/>
          <w:cols w:space="425" w:num="1"/>
          <w:docGrid w:linePitch="312" w:charSpace="0"/>
        </w:sectPr>
      </w:pPr>
    </w:p>
    <w:p>
      <w:pPr>
        <w:spacing w:line="480" w:lineRule="exact"/>
        <w:jc w:val="center"/>
        <w:rPr>
          <w:b/>
        </w:rPr>
      </w:pPr>
      <w:r>
        <w:rPr>
          <w:b/>
        </w:rPr>
        <w:t xml:space="preserve">表6-3  环境空气现状监测结果统计表  </w:t>
      </w:r>
      <w:r>
        <w:t>单位：mg/m</w:t>
      </w:r>
      <w:r>
        <w:rPr>
          <w:vertAlign w:val="superscript"/>
        </w:rPr>
        <w:t>3</w:t>
      </w:r>
    </w:p>
    <w:tbl>
      <w:tblPr>
        <w:tblStyle w:val="20"/>
        <w:tblW w:w="14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865"/>
        <w:gridCol w:w="563"/>
        <w:gridCol w:w="1072"/>
        <w:gridCol w:w="1692"/>
        <w:gridCol w:w="751"/>
        <w:gridCol w:w="563"/>
        <w:gridCol w:w="751"/>
        <w:gridCol w:w="1001"/>
        <w:gridCol w:w="751"/>
        <w:gridCol w:w="1692"/>
        <w:gridCol w:w="941"/>
        <w:gridCol w:w="520"/>
        <w:gridCol w:w="751"/>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90" w:type="dxa"/>
            <w:gridSpan w:val="2"/>
            <w:vMerge w:val="restart"/>
            <w:noWrap w:val="0"/>
            <w:vAlign w:val="center"/>
          </w:tcPr>
          <w:p>
            <w:pPr>
              <w:spacing w:line="280" w:lineRule="exact"/>
              <w:jc w:val="center"/>
              <w:rPr>
                <w:spacing w:val="-18"/>
                <w:sz w:val="21"/>
                <w:szCs w:val="21"/>
              </w:rPr>
            </w:pPr>
            <w:r>
              <w:rPr>
                <w:spacing w:val="-18"/>
                <w:sz w:val="21"/>
                <w:szCs w:val="21"/>
              </w:rPr>
              <w:t>样点及</w:t>
            </w:r>
          </w:p>
          <w:p>
            <w:pPr>
              <w:spacing w:line="280" w:lineRule="exact"/>
              <w:jc w:val="center"/>
              <w:rPr>
                <w:spacing w:val="-18"/>
                <w:sz w:val="21"/>
                <w:szCs w:val="21"/>
              </w:rPr>
            </w:pPr>
            <w:r>
              <w:rPr>
                <w:spacing w:val="-18"/>
                <w:sz w:val="21"/>
                <w:szCs w:val="21"/>
              </w:rPr>
              <w:t>监测项目</w:t>
            </w:r>
          </w:p>
        </w:tc>
        <w:tc>
          <w:tcPr>
            <w:tcW w:w="563" w:type="dxa"/>
            <w:vMerge w:val="restart"/>
            <w:noWrap w:val="0"/>
            <w:vAlign w:val="top"/>
          </w:tcPr>
          <w:p>
            <w:pPr>
              <w:spacing w:line="280" w:lineRule="exact"/>
              <w:jc w:val="center"/>
              <w:rPr>
                <w:sz w:val="21"/>
                <w:szCs w:val="21"/>
              </w:rPr>
            </w:pPr>
            <w:r>
              <w:rPr>
                <w:sz w:val="21"/>
                <w:szCs w:val="21"/>
              </w:rPr>
              <w:t>采样天数</w:t>
            </w:r>
          </w:p>
        </w:tc>
        <w:tc>
          <w:tcPr>
            <w:tcW w:w="5830" w:type="dxa"/>
            <w:gridSpan w:val="6"/>
            <w:noWrap w:val="0"/>
            <w:vAlign w:val="top"/>
          </w:tcPr>
          <w:p>
            <w:pPr>
              <w:spacing w:line="280" w:lineRule="exact"/>
              <w:jc w:val="center"/>
              <w:rPr>
                <w:sz w:val="21"/>
                <w:szCs w:val="21"/>
              </w:rPr>
            </w:pPr>
            <w:r>
              <w:rPr>
                <w:sz w:val="21"/>
                <w:szCs w:val="21"/>
              </w:rPr>
              <w:t>1小时平均值</w:t>
            </w:r>
          </w:p>
        </w:tc>
        <w:tc>
          <w:tcPr>
            <w:tcW w:w="5935" w:type="dxa"/>
            <w:gridSpan w:val="6"/>
            <w:noWrap w:val="0"/>
            <w:vAlign w:val="top"/>
          </w:tcPr>
          <w:p>
            <w:pPr>
              <w:spacing w:line="280" w:lineRule="exact"/>
              <w:jc w:val="center"/>
              <w:rPr>
                <w:sz w:val="21"/>
                <w:szCs w:val="21"/>
              </w:rPr>
            </w:pPr>
            <w:r>
              <w:rPr>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90" w:type="dxa"/>
            <w:gridSpan w:val="2"/>
            <w:vMerge w:val="continue"/>
            <w:noWrap w:val="0"/>
            <w:vAlign w:val="center"/>
          </w:tcPr>
          <w:p>
            <w:pPr>
              <w:spacing w:line="280" w:lineRule="exact"/>
              <w:jc w:val="center"/>
              <w:rPr>
                <w:sz w:val="21"/>
                <w:szCs w:val="21"/>
              </w:rPr>
            </w:pPr>
          </w:p>
        </w:tc>
        <w:tc>
          <w:tcPr>
            <w:tcW w:w="563" w:type="dxa"/>
            <w:vMerge w:val="continue"/>
            <w:noWrap w:val="0"/>
            <w:vAlign w:val="top"/>
          </w:tcPr>
          <w:p>
            <w:pPr>
              <w:spacing w:line="280" w:lineRule="exact"/>
              <w:jc w:val="center"/>
              <w:rPr>
                <w:sz w:val="21"/>
                <w:szCs w:val="21"/>
              </w:rPr>
            </w:pPr>
          </w:p>
        </w:tc>
        <w:tc>
          <w:tcPr>
            <w:tcW w:w="1072" w:type="dxa"/>
            <w:noWrap w:val="0"/>
            <w:vAlign w:val="top"/>
          </w:tcPr>
          <w:p>
            <w:pPr>
              <w:spacing w:line="280" w:lineRule="exact"/>
              <w:jc w:val="center"/>
              <w:rPr>
                <w:sz w:val="21"/>
                <w:szCs w:val="21"/>
              </w:rPr>
            </w:pPr>
            <w:r>
              <w:rPr>
                <w:sz w:val="21"/>
                <w:szCs w:val="21"/>
              </w:rPr>
              <w:t>样品数</w:t>
            </w:r>
          </w:p>
        </w:tc>
        <w:tc>
          <w:tcPr>
            <w:tcW w:w="1692" w:type="dxa"/>
            <w:noWrap w:val="0"/>
            <w:vAlign w:val="center"/>
          </w:tcPr>
          <w:p>
            <w:pPr>
              <w:spacing w:line="280" w:lineRule="exact"/>
              <w:jc w:val="center"/>
              <w:rPr>
                <w:sz w:val="21"/>
                <w:szCs w:val="21"/>
              </w:rPr>
            </w:pPr>
            <w:r>
              <w:rPr>
                <w:sz w:val="21"/>
                <w:szCs w:val="21"/>
              </w:rPr>
              <w:t>浓度范围</w:t>
            </w:r>
          </w:p>
        </w:tc>
        <w:tc>
          <w:tcPr>
            <w:tcW w:w="751" w:type="dxa"/>
            <w:noWrap w:val="0"/>
            <w:vAlign w:val="center"/>
          </w:tcPr>
          <w:p>
            <w:pPr>
              <w:spacing w:line="280" w:lineRule="exact"/>
              <w:jc w:val="center"/>
              <w:rPr>
                <w:sz w:val="21"/>
                <w:szCs w:val="21"/>
              </w:rPr>
            </w:pPr>
            <w:r>
              <w:rPr>
                <w:sz w:val="21"/>
                <w:szCs w:val="21"/>
              </w:rPr>
              <w:t>标准</w:t>
            </w:r>
          </w:p>
          <w:p>
            <w:pPr>
              <w:spacing w:line="280" w:lineRule="exact"/>
              <w:jc w:val="center"/>
              <w:rPr>
                <w:sz w:val="21"/>
                <w:szCs w:val="21"/>
              </w:rPr>
            </w:pPr>
            <w:r>
              <w:rPr>
                <w:sz w:val="21"/>
                <w:szCs w:val="21"/>
              </w:rPr>
              <w:t>限值</w:t>
            </w:r>
          </w:p>
        </w:tc>
        <w:tc>
          <w:tcPr>
            <w:tcW w:w="563" w:type="dxa"/>
            <w:noWrap w:val="0"/>
            <w:vAlign w:val="center"/>
          </w:tcPr>
          <w:p>
            <w:pPr>
              <w:spacing w:line="280" w:lineRule="exact"/>
              <w:jc w:val="center"/>
              <w:rPr>
                <w:sz w:val="21"/>
                <w:szCs w:val="21"/>
              </w:rPr>
            </w:pPr>
            <w:r>
              <w:rPr>
                <w:sz w:val="21"/>
                <w:szCs w:val="21"/>
              </w:rPr>
              <w:t>超</w:t>
            </w:r>
          </w:p>
          <w:p>
            <w:pPr>
              <w:spacing w:line="280" w:lineRule="exact"/>
              <w:jc w:val="center"/>
              <w:rPr>
                <w:sz w:val="21"/>
                <w:szCs w:val="21"/>
              </w:rPr>
            </w:pPr>
            <w:r>
              <w:rPr>
                <w:sz w:val="21"/>
                <w:szCs w:val="21"/>
              </w:rPr>
              <w:t>标</w:t>
            </w:r>
          </w:p>
          <w:p>
            <w:pPr>
              <w:spacing w:line="280" w:lineRule="exact"/>
              <w:jc w:val="center"/>
              <w:rPr>
                <w:sz w:val="21"/>
                <w:szCs w:val="21"/>
              </w:rPr>
            </w:pPr>
            <w:r>
              <w:rPr>
                <w:sz w:val="21"/>
                <w:szCs w:val="21"/>
              </w:rPr>
              <w:t>数</w:t>
            </w:r>
          </w:p>
        </w:tc>
        <w:tc>
          <w:tcPr>
            <w:tcW w:w="751" w:type="dxa"/>
            <w:noWrap w:val="0"/>
            <w:vAlign w:val="center"/>
          </w:tcPr>
          <w:p>
            <w:pPr>
              <w:spacing w:line="280" w:lineRule="exact"/>
              <w:jc w:val="center"/>
              <w:rPr>
                <w:sz w:val="21"/>
                <w:szCs w:val="21"/>
              </w:rPr>
            </w:pPr>
            <w:r>
              <w:rPr>
                <w:sz w:val="21"/>
                <w:szCs w:val="21"/>
              </w:rPr>
              <w:t>超标率％</w:t>
            </w:r>
          </w:p>
        </w:tc>
        <w:tc>
          <w:tcPr>
            <w:tcW w:w="1001" w:type="dxa"/>
            <w:noWrap w:val="0"/>
            <w:vAlign w:val="center"/>
          </w:tcPr>
          <w:p>
            <w:pPr>
              <w:spacing w:line="280" w:lineRule="exact"/>
              <w:jc w:val="center"/>
              <w:rPr>
                <w:sz w:val="21"/>
                <w:szCs w:val="21"/>
              </w:rPr>
            </w:pPr>
            <w:r>
              <w:rPr>
                <w:sz w:val="21"/>
                <w:szCs w:val="21"/>
              </w:rPr>
              <w:t>最大占标率％</w:t>
            </w:r>
          </w:p>
        </w:tc>
        <w:tc>
          <w:tcPr>
            <w:tcW w:w="751" w:type="dxa"/>
            <w:noWrap w:val="0"/>
            <w:vAlign w:val="center"/>
          </w:tcPr>
          <w:p>
            <w:pPr>
              <w:spacing w:line="280" w:lineRule="exact"/>
              <w:jc w:val="center"/>
              <w:rPr>
                <w:sz w:val="21"/>
                <w:szCs w:val="21"/>
              </w:rPr>
            </w:pPr>
            <w:r>
              <w:rPr>
                <w:sz w:val="21"/>
                <w:szCs w:val="21"/>
              </w:rPr>
              <w:t>样品</w:t>
            </w:r>
          </w:p>
          <w:p>
            <w:pPr>
              <w:spacing w:line="280" w:lineRule="exact"/>
              <w:jc w:val="center"/>
              <w:rPr>
                <w:sz w:val="21"/>
                <w:szCs w:val="21"/>
              </w:rPr>
            </w:pPr>
            <w:r>
              <w:rPr>
                <w:sz w:val="21"/>
                <w:szCs w:val="21"/>
              </w:rPr>
              <w:t>数</w:t>
            </w:r>
          </w:p>
        </w:tc>
        <w:tc>
          <w:tcPr>
            <w:tcW w:w="1692" w:type="dxa"/>
            <w:noWrap w:val="0"/>
            <w:vAlign w:val="center"/>
          </w:tcPr>
          <w:p>
            <w:pPr>
              <w:pStyle w:val="15"/>
              <w:pBdr>
                <w:bottom w:val="none" w:color="auto" w:sz="0" w:space="0"/>
              </w:pBdr>
              <w:tabs>
                <w:tab w:val="clear" w:pos="4153"/>
                <w:tab w:val="clear" w:pos="8306"/>
              </w:tabs>
              <w:snapToGrid/>
              <w:spacing w:line="280" w:lineRule="exact"/>
              <w:rPr>
                <w:sz w:val="21"/>
                <w:szCs w:val="21"/>
              </w:rPr>
            </w:pPr>
            <w:r>
              <w:rPr>
                <w:sz w:val="21"/>
                <w:szCs w:val="21"/>
              </w:rPr>
              <w:t>浓度范围</w:t>
            </w:r>
          </w:p>
        </w:tc>
        <w:tc>
          <w:tcPr>
            <w:tcW w:w="941" w:type="dxa"/>
            <w:noWrap w:val="0"/>
            <w:vAlign w:val="center"/>
          </w:tcPr>
          <w:p>
            <w:pPr>
              <w:spacing w:line="280" w:lineRule="exact"/>
              <w:jc w:val="center"/>
              <w:rPr>
                <w:sz w:val="21"/>
                <w:szCs w:val="21"/>
              </w:rPr>
            </w:pPr>
            <w:r>
              <w:rPr>
                <w:sz w:val="21"/>
                <w:szCs w:val="21"/>
              </w:rPr>
              <w:t>标准</w:t>
            </w:r>
          </w:p>
          <w:p>
            <w:pPr>
              <w:spacing w:line="280" w:lineRule="exact"/>
              <w:jc w:val="center"/>
              <w:rPr>
                <w:sz w:val="21"/>
                <w:szCs w:val="21"/>
              </w:rPr>
            </w:pPr>
            <w:r>
              <w:rPr>
                <w:sz w:val="21"/>
                <w:szCs w:val="21"/>
              </w:rPr>
              <w:t>限值</w:t>
            </w:r>
          </w:p>
        </w:tc>
        <w:tc>
          <w:tcPr>
            <w:tcW w:w="520" w:type="dxa"/>
            <w:noWrap w:val="0"/>
            <w:vAlign w:val="center"/>
          </w:tcPr>
          <w:p>
            <w:pPr>
              <w:spacing w:line="280" w:lineRule="exact"/>
              <w:jc w:val="center"/>
              <w:rPr>
                <w:sz w:val="21"/>
                <w:szCs w:val="21"/>
              </w:rPr>
            </w:pPr>
            <w:r>
              <w:rPr>
                <w:sz w:val="21"/>
                <w:szCs w:val="21"/>
              </w:rPr>
              <w:t>超标数</w:t>
            </w:r>
          </w:p>
        </w:tc>
        <w:tc>
          <w:tcPr>
            <w:tcW w:w="751" w:type="dxa"/>
            <w:noWrap w:val="0"/>
            <w:vAlign w:val="center"/>
          </w:tcPr>
          <w:p>
            <w:pPr>
              <w:spacing w:line="280" w:lineRule="exact"/>
              <w:jc w:val="center"/>
              <w:rPr>
                <w:sz w:val="21"/>
                <w:szCs w:val="21"/>
              </w:rPr>
            </w:pPr>
            <w:r>
              <w:rPr>
                <w:sz w:val="21"/>
                <w:szCs w:val="21"/>
              </w:rPr>
              <w:t>超标率</w:t>
            </w:r>
          </w:p>
          <w:p>
            <w:pPr>
              <w:spacing w:line="280" w:lineRule="exact"/>
              <w:jc w:val="center"/>
              <w:rPr>
                <w:sz w:val="21"/>
                <w:szCs w:val="21"/>
              </w:rPr>
            </w:pPr>
            <w:r>
              <w:rPr>
                <w:sz w:val="21"/>
                <w:szCs w:val="21"/>
              </w:rPr>
              <w:t>％</w:t>
            </w:r>
          </w:p>
        </w:tc>
        <w:tc>
          <w:tcPr>
            <w:tcW w:w="1280" w:type="dxa"/>
            <w:noWrap w:val="0"/>
            <w:vAlign w:val="center"/>
          </w:tcPr>
          <w:p>
            <w:pPr>
              <w:spacing w:line="280" w:lineRule="exact"/>
              <w:jc w:val="center"/>
              <w:rPr>
                <w:sz w:val="21"/>
                <w:szCs w:val="21"/>
              </w:rPr>
            </w:pPr>
            <w:r>
              <w:rPr>
                <w:sz w:val="21"/>
                <w:szCs w:val="21"/>
              </w:rPr>
              <w:t>最大占标率％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1025" w:type="dxa"/>
            <w:vMerge w:val="restart"/>
            <w:noWrap w:val="0"/>
            <w:vAlign w:val="center"/>
          </w:tcPr>
          <w:p>
            <w:pPr>
              <w:spacing w:line="280" w:lineRule="exact"/>
              <w:jc w:val="center"/>
              <w:rPr>
                <w:sz w:val="21"/>
                <w:szCs w:val="21"/>
              </w:rPr>
            </w:pPr>
            <w:bookmarkStart w:id="271" w:name="_Hlk250727665"/>
            <w:r>
              <w:rPr>
                <w:sz w:val="21"/>
                <w:szCs w:val="21"/>
              </w:rPr>
              <w:t>1＃</w:t>
            </w:r>
          </w:p>
          <w:p>
            <w:pPr>
              <w:spacing w:line="280" w:lineRule="exact"/>
              <w:jc w:val="center"/>
              <w:rPr>
                <w:rFonts w:hint="eastAsia"/>
                <w:sz w:val="21"/>
                <w:szCs w:val="21"/>
              </w:rPr>
            </w:pPr>
            <w:r>
              <w:rPr>
                <w:rFonts w:hint="eastAsia"/>
                <w:sz w:val="21"/>
                <w:szCs w:val="21"/>
              </w:rPr>
              <w:t>青木关镇</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0.037</w:t>
            </w:r>
            <w:r>
              <w:rPr>
                <w:spacing w:val="-20"/>
                <w:sz w:val="21"/>
                <w:szCs w:val="21"/>
              </w:rPr>
              <w:t>～0.</w:t>
            </w:r>
            <w:r>
              <w:rPr>
                <w:rFonts w:hint="eastAsia"/>
                <w:spacing w:val="-20"/>
                <w:sz w:val="21"/>
                <w:szCs w:val="21"/>
              </w:rPr>
              <w:t>105</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21</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0.051</w:t>
            </w:r>
            <w:r>
              <w:rPr>
                <w:spacing w:val="-20"/>
                <w:sz w:val="21"/>
                <w:szCs w:val="21"/>
              </w:rPr>
              <w:t>～</w:t>
            </w:r>
            <w:r>
              <w:rPr>
                <w:rFonts w:hint="eastAsia"/>
                <w:spacing w:val="-20"/>
                <w:sz w:val="21"/>
                <w:szCs w:val="21"/>
              </w:rPr>
              <w:t>0.067</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0.034</w:t>
            </w:r>
            <w:r>
              <w:rPr>
                <w:spacing w:val="-20"/>
                <w:sz w:val="21"/>
                <w:szCs w:val="21"/>
              </w:rPr>
              <w:t>～</w:t>
            </w:r>
            <w:r>
              <w:rPr>
                <w:rFonts w:hint="eastAsia"/>
                <w:spacing w:val="-20"/>
                <w:sz w:val="21"/>
                <w:szCs w:val="21"/>
              </w:rPr>
              <w:t>0.063</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26.3</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0.051</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0.115</w:t>
            </w:r>
            <w:r>
              <w:rPr>
                <w:spacing w:val="-20"/>
                <w:sz w:val="21"/>
                <w:szCs w:val="21"/>
              </w:rPr>
              <w:t>～</w:t>
            </w:r>
            <w:r>
              <w:rPr>
                <w:rFonts w:hint="eastAsia"/>
                <w:spacing w:val="-20"/>
                <w:sz w:val="21"/>
                <w:szCs w:val="21"/>
              </w:rPr>
              <w:t>0.170</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0.077</w:t>
            </w:r>
            <w:r>
              <w:rPr>
                <w:spacing w:val="-20"/>
                <w:sz w:val="21"/>
                <w:szCs w:val="21"/>
              </w:rPr>
              <w:t>～</w:t>
            </w:r>
            <w:r>
              <w:rPr>
                <w:rFonts w:hint="eastAsia"/>
                <w:spacing w:val="-20"/>
                <w:sz w:val="21"/>
                <w:szCs w:val="21"/>
              </w:rPr>
              <w:t>0.119</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1025" w:type="dxa"/>
            <w:vMerge w:val="restart"/>
            <w:noWrap w:val="0"/>
            <w:vAlign w:val="center"/>
          </w:tcPr>
          <w:p>
            <w:pPr>
              <w:spacing w:line="280" w:lineRule="exact"/>
              <w:jc w:val="center"/>
              <w:rPr>
                <w:sz w:val="21"/>
                <w:szCs w:val="21"/>
              </w:rPr>
            </w:pPr>
            <w:r>
              <w:rPr>
                <w:sz w:val="21"/>
                <w:szCs w:val="21"/>
              </w:rPr>
              <w:t>2＃</w:t>
            </w:r>
          </w:p>
          <w:p>
            <w:pPr>
              <w:spacing w:line="280" w:lineRule="exact"/>
              <w:jc w:val="center"/>
              <w:rPr>
                <w:rFonts w:hint="eastAsia"/>
                <w:sz w:val="21"/>
                <w:szCs w:val="21"/>
              </w:rPr>
            </w:pPr>
            <w:r>
              <w:rPr>
                <w:rFonts w:hint="eastAsia"/>
                <w:sz w:val="21"/>
                <w:szCs w:val="21"/>
              </w:rPr>
              <w:t>福里树</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0.049</w:t>
            </w:r>
            <w:r>
              <w:rPr>
                <w:spacing w:val="-20"/>
                <w:sz w:val="21"/>
                <w:szCs w:val="21"/>
              </w:rPr>
              <w:t>～</w:t>
            </w:r>
            <w:r>
              <w:rPr>
                <w:rFonts w:hint="eastAsia"/>
                <w:spacing w:val="-20"/>
                <w:sz w:val="21"/>
                <w:szCs w:val="21"/>
              </w:rPr>
              <w:t>0.078</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15.6</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0.058</w:t>
            </w:r>
            <w:r>
              <w:rPr>
                <w:spacing w:val="-20"/>
                <w:sz w:val="21"/>
                <w:szCs w:val="21"/>
              </w:rPr>
              <w:t>～</w:t>
            </w:r>
            <w:r>
              <w:rPr>
                <w:rFonts w:hint="eastAsia"/>
                <w:spacing w:val="-20"/>
                <w:sz w:val="21"/>
                <w:szCs w:val="21"/>
              </w:rPr>
              <w:t>0.066</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0.017</w:t>
            </w:r>
            <w:r>
              <w:rPr>
                <w:spacing w:val="-20"/>
                <w:sz w:val="21"/>
                <w:szCs w:val="21"/>
              </w:rPr>
              <w:t>～</w:t>
            </w:r>
            <w:r>
              <w:rPr>
                <w:rFonts w:hint="eastAsia"/>
                <w:spacing w:val="-20"/>
                <w:sz w:val="21"/>
                <w:szCs w:val="21"/>
              </w:rPr>
              <w:t>0.054</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22.5</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0.025</w:t>
            </w:r>
            <w:r>
              <w:rPr>
                <w:spacing w:val="-20"/>
                <w:sz w:val="21"/>
                <w:szCs w:val="21"/>
              </w:rPr>
              <w:t>～</w:t>
            </w:r>
            <w:r>
              <w:rPr>
                <w:rFonts w:hint="eastAsia"/>
                <w:spacing w:val="-20"/>
                <w:sz w:val="21"/>
                <w:szCs w:val="21"/>
              </w:rPr>
              <w:t>0.039</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0.061</w:t>
            </w:r>
            <w:r>
              <w:rPr>
                <w:spacing w:val="-20"/>
                <w:sz w:val="21"/>
                <w:szCs w:val="21"/>
              </w:rPr>
              <w:t>～</w:t>
            </w:r>
            <w:r>
              <w:rPr>
                <w:rFonts w:hint="eastAsia"/>
                <w:spacing w:val="-20"/>
                <w:sz w:val="21"/>
                <w:szCs w:val="21"/>
              </w:rPr>
              <w:t>0.171</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0.117</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025" w:type="dxa"/>
            <w:vMerge w:val="restart"/>
            <w:noWrap w:val="0"/>
            <w:vAlign w:val="center"/>
          </w:tcPr>
          <w:p>
            <w:pPr>
              <w:spacing w:line="280" w:lineRule="exact"/>
              <w:jc w:val="center"/>
              <w:rPr>
                <w:sz w:val="21"/>
                <w:szCs w:val="21"/>
              </w:rPr>
            </w:pPr>
            <w:r>
              <w:rPr>
                <w:sz w:val="21"/>
                <w:szCs w:val="21"/>
              </w:rPr>
              <w:t>3＃</w:t>
            </w:r>
          </w:p>
          <w:p>
            <w:pPr>
              <w:spacing w:line="280" w:lineRule="exact"/>
              <w:jc w:val="center"/>
              <w:rPr>
                <w:rFonts w:hint="eastAsia"/>
                <w:sz w:val="21"/>
                <w:szCs w:val="21"/>
              </w:rPr>
            </w:pPr>
            <w:r>
              <w:rPr>
                <w:rFonts w:hint="eastAsia"/>
                <w:sz w:val="21"/>
                <w:szCs w:val="21"/>
              </w:rPr>
              <w:t>重庆永荣青鹏煤业有限公司家属区</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0.039</w:t>
            </w:r>
            <w:r>
              <w:rPr>
                <w:spacing w:val="-20"/>
                <w:sz w:val="21"/>
                <w:szCs w:val="21"/>
              </w:rPr>
              <w:t>～</w:t>
            </w:r>
            <w:r>
              <w:rPr>
                <w:rFonts w:hint="eastAsia"/>
                <w:spacing w:val="-20"/>
                <w:sz w:val="21"/>
                <w:szCs w:val="21"/>
              </w:rPr>
              <w:t>0.106</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14.6</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0.046</w:t>
            </w:r>
            <w:r>
              <w:rPr>
                <w:spacing w:val="-20"/>
                <w:sz w:val="21"/>
                <w:szCs w:val="21"/>
              </w:rPr>
              <w:t>～</w:t>
            </w:r>
            <w:r>
              <w:rPr>
                <w:rFonts w:hint="eastAsia"/>
                <w:spacing w:val="-20"/>
                <w:sz w:val="21"/>
                <w:szCs w:val="21"/>
              </w:rPr>
              <w:t>0.078</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0.032</w:t>
            </w:r>
            <w:r>
              <w:rPr>
                <w:spacing w:val="-20"/>
                <w:sz w:val="21"/>
                <w:szCs w:val="21"/>
              </w:rPr>
              <w:t>～</w:t>
            </w:r>
            <w:r>
              <w:rPr>
                <w:rFonts w:hint="eastAsia"/>
                <w:spacing w:val="-20"/>
                <w:sz w:val="21"/>
                <w:szCs w:val="21"/>
              </w:rPr>
              <w:t>0.063</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15</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0.053</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0.100</w:t>
            </w:r>
            <w:r>
              <w:rPr>
                <w:spacing w:val="-20"/>
                <w:sz w:val="21"/>
                <w:szCs w:val="21"/>
              </w:rPr>
              <w:t>～</w:t>
            </w:r>
            <w:r>
              <w:rPr>
                <w:rFonts w:hint="eastAsia"/>
                <w:spacing w:val="-20"/>
                <w:sz w:val="21"/>
                <w:szCs w:val="21"/>
              </w:rPr>
              <w:t>0.172</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0.072</w:t>
            </w:r>
            <w:r>
              <w:rPr>
                <w:spacing w:val="-20"/>
                <w:sz w:val="21"/>
                <w:szCs w:val="21"/>
              </w:rPr>
              <w:t>～</w:t>
            </w:r>
            <w:r>
              <w:rPr>
                <w:rFonts w:hint="eastAsia"/>
                <w:spacing w:val="-20"/>
                <w:sz w:val="21"/>
                <w:szCs w:val="21"/>
              </w:rPr>
              <w:t>0.122</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1025" w:type="dxa"/>
            <w:vMerge w:val="restart"/>
            <w:noWrap w:val="0"/>
            <w:vAlign w:val="center"/>
          </w:tcPr>
          <w:p>
            <w:pPr>
              <w:spacing w:line="280" w:lineRule="exact"/>
              <w:jc w:val="center"/>
              <w:rPr>
                <w:sz w:val="21"/>
                <w:szCs w:val="21"/>
              </w:rPr>
            </w:pPr>
            <w:r>
              <w:rPr>
                <w:sz w:val="21"/>
                <w:szCs w:val="21"/>
              </w:rPr>
              <w:t>4#</w:t>
            </w:r>
          </w:p>
          <w:p>
            <w:pPr>
              <w:spacing w:line="280" w:lineRule="exact"/>
              <w:jc w:val="center"/>
              <w:rPr>
                <w:rFonts w:hint="eastAsia"/>
                <w:sz w:val="21"/>
                <w:szCs w:val="21"/>
              </w:rPr>
            </w:pPr>
            <w:r>
              <w:rPr>
                <w:rFonts w:hint="eastAsia"/>
                <w:sz w:val="21"/>
                <w:szCs w:val="21"/>
              </w:rPr>
              <w:t>管家桥</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0.048</w:t>
            </w:r>
            <w:r>
              <w:rPr>
                <w:spacing w:val="-20"/>
                <w:sz w:val="21"/>
                <w:szCs w:val="21"/>
              </w:rPr>
              <w:t>～</w:t>
            </w:r>
            <w:r>
              <w:rPr>
                <w:rFonts w:hint="eastAsia"/>
                <w:spacing w:val="-20"/>
                <w:sz w:val="21"/>
                <w:szCs w:val="21"/>
              </w:rPr>
              <w:t>0.128</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25.6</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0.070</w:t>
            </w:r>
            <w:r>
              <w:rPr>
                <w:spacing w:val="-20"/>
                <w:sz w:val="21"/>
                <w:szCs w:val="21"/>
              </w:rPr>
              <w:t>～</w:t>
            </w:r>
            <w:r>
              <w:rPr>
                <w:rFonts w:hint="eastAsia"/>
                <w:spacing w:val="-20"/>
                <w:sz w:val="21"/>
                <w:szCs w:val="21"/>
              </w:rPr>
              <w:t>0.084</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0.025</w:t>
            </w:r>
            <w:r>
              <w:rPr>
                <w:spacing w:val="-20"/>
                <w:sz w:val="21"/>
                <w:szCs w:val="21"/>
              </w:rPr>
              <w:t>～</w:t>
            </w:r>
            <w:r>
              <w:rPr>
                <w:rFonts w:hint="eastAsia"/>
                <w:spacing w:val="-20"/>
                <w:sz w:val="21"/>
                <w:szCs w:val="21"/>
              </w:rPr>
              <w:t>0.057</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23.8</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0.039</w:t>
            </w:r>
            <w:r>
              <w:rPr>
                <w:spacing w:val="-20"/>
                <w:sz w:val="21"/>
                <w:szCs w:val="21"/>
              </w:rPr>
              <w:t>～</w:t>
            </w:r>
            <w:r>
              <w:rPr>
                <w:rFonts w:hint="eastAsia"/>
                <w:spacing w:val="-20"/>
                <w:sz w:val="21"/>
                <w:szCs w:val="21"/>
              </w:rPr>
              <w:t>0.048</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0.104</w:t>
            </w:r>
            <w:r>
              <w:rPr>
                <w:spacing w:val="-20"/>
                <w:sz w:val="21"/>
                <w:szCs w:val="21"/>
              </w:rPr>
              <w:t>～</w:t>
            </w:r>
            <w:r>
              <w:rPr>
                <w:rFonts w:hint="eastAsia"/>
                <w:spacing w:val="-20"/>
                <w:sz w:val="21"/>
                <w:szCs w:val="21"/>
              </w:rPr>
              <w:t>0.162</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0.075</w:t>
            </w:r>
            <w:r>
              <w:rPr>
                <w:spacing w:val="-20"/>
                <w:sz w:val="21"/>
                <w:szCs w:val="21"/>
              </w:rPr>
              <w:t>～</w:t>
            </w:r>
            <w:r>
              <w:rPr>
                <w:rFonts w:hint="eastAsia"/>
                <w:spacing w:val="-20"/>
                <w:sz w:val="21"/>
                <w:szCs w:val="21"/>
              </w:rPr>
              <w:t>0.114</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restart"/>
            <w:noWrap w:val="0"/>
            <w:vAlign w:val="center"/>
          </w:tcPr>
          <w:p>
            <w:pPr>
              <w:spacing w:line="280" w:lineRule="exact"/>
              <w:jc w:val="center"/>
              <w:rPr>
                <w:sz w:val="21"/>
                <w:szCs w:val="21"/>
              </w:rPr>
            </w:pPr>
            <w:r>
              <w:rPr>
                <w:sz w:val="21"/>
                <w:szCs w:val="21"/>
              </w:rPr>
              <w:t>5#</w:t>
            </w:r>
          </w:p>
          <w:p>
            <w:pPr>
              <w:spacing w:line="280" w:lineRule="exact"/>
              <w:jc w:val="center"/>
              <w:rPr>
                <w:rFonts w:hint="eastAsia"/>
                <w:sz w:val="21"/>
                <w:szCs w:val="21"/>
              </w:rPr>
            </w:pPr>
            <w:r>
              <w:rPr>
                <w:rFonts w:hint="eastAsia"/>
                <w:sz w:val="21"/>
                <w:szCs w:val="21"/>
              </w:rPr>
              <w:t>大学城</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0.035</w:t>
            </w:r>
            <w:r>
              <w:rPr>
                <w:spacing w:val="-20"/>
                <w:sz w:val="21"/>
                <w:szCs w:val="21"/>
              </w:rPr>
              <w:t>～</w:t>
            </w:r>
            <w:r>
              <w:rPr>
                <w:rFonts w:hint="eastAsia"/>
                <w:spacing w:val="-20"/>
                <w:sz w:val="21"/>
                <w:szCs w:val="21"/>
              </w:rPr>
              <w:t>0.069</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13.8</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0.048</w:t>
            </w:r>
            <w:r>
              <w:rPr>
                <w:spacing w:val="-20"/>
                <w:sz w:val="21"/>
                <w:szCs w:val="21"/>
              </w:rPr>
              <w:t>～</w:t>
            </w:r>
            <w:r>
              <w:rPr>
                <w:rFonts w:hint="eastAsia"/>
                <w:spacing w:val="-20"/>
                <w:sz w:val="21"/>
                <w:szCs w:val="21"/>
              </w:rPr>
              <w:t>0.058</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0.007</w:t>
            </w:r>
            <w:r>
              <w:rPr>
                <w:spacing w:val="-20"/>
                <w:sz w:val="21"/>
                <w:szCs w:val="21"/>
              </w:rPr>
              <w:t>～</w:t>
            </w:r>
            <w:r>
              <w:rPr>
                <w:rFonts w:hint="eastAsia"/>
                <w:spacing w:val="-20"/>
                <w:sz w:val="21"/>
                <w:szCs w:val="21"/>
              </w:rPr>
              <w:t>0.048</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20</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0.009</w:t>
            </w:r>
            <w:r>
              <w:rPr>
                <w:spacing w:val="-20"/>
                <w:sz w:val="21"/>
                <w:szCs w:val="21"/>
              </w:rPr>
              <w:t>～</w:t>
            </w:r>
            <w:r>
              <w:rPr>
                <w:rFonts w:hint="eastAsia"/>
                <w:spacing w:val="-20"/>
                <w:sz w:val="21"/>
                <w:szCs w:val="21"/>
              </w:rPr>
              <w:t>0.039</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0.061</w:t>
            </w:r>
            <w:r>
              <w:rPr>
                <w:spacing w:val="-20"/>
                <w:sz w:val="21"/>
                <w:szCs w:val="21"/>
              </w:rPr>
              <w:t>～</w:t>
            </w:r>
            <w:r>
              <w:rPr>
                <w:rFonts w:hint="eastAsia"/>
                <w:spacing w:val="-20"/>
                <w:sz w:val="21"/>
                <w:szCs w:val="21"/>
              </w:rPr>
              <w:t>0.170</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0.119</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restart"/>
            <w:noWrap w:val="0"/>
            <w:vAlign w:val="center"/>
          </w:tcPr>
          <w:p>
            <w:pPr>
              <w:spacing w:line="300" w:lineRule="exact"/>
              <w:jc w:val="center"/>
              <w:rPr>
                <w:sz w:val="21"/>
                <w:szCs w:val="21"/>
              </w:rPr>
            </w:pPr>
            <w:r>
              <w:rPr>
                <w:sz w:val="21"/>
                <w:szCs w:val="21"/>
              </w:rPr>
              <w:t>6＃</w:t>
            </w:r>
          </w:p>
          <w:p>
            <w:pPr>
              <w:spacing w:line="280" w:lineRule="exact"/>
              <w:jc w:val="center"/>
              <w:rPr>
                <w:rFonts w:hint="eastAsia"/>
                <w:sz w:val="21"/>
                <w:szCs w:val="21"/>
              </w:rPr>
            </w:pPr>
            <w:r>
              <w:rPr>
                <w:rFonts w:hint="eastAsia"/>
                <w:sz w:val="21"/>
                <w:szCs w:val="21"/>
              </w:rPr>
              <w:t>殷家老院子</w:t>
            </w:r>
          </w:p>
        </w:tc>
        <w:tc>
          <w:tcPr>
            <w:tcW w:w="865" w:type="dxa"/>
            <w:noWrap w:val="0"/>
            <w:vAlign w:val="center"/>
          </w:tcPr>
          <w:p>
            <w:pPr>
              <w:spacing w:line="280" w:lineRule="exact"/>
              <w:jc w:val="center"/>
              <w:rPr>
                <w:sz w:val="21"/>
                <w:szCs w:val="21"/>
              </w:rPr>
            </w:pPr>
            <w:r>
              <w:rPr>
                <w:sz w:val="21"/>
                <w:szCs w:val="21"/>
              </w:rPr>
              <w:t>SO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0.038</w:t>
            </w:r>
            <w:r>
              <w:rPr>
                <w:spacing w:val="-20"/>
                <w:sz w:val="21"/>
                <w:szCs w:val="21"/>
              </w:rPr>
              <w:t>～</w:t>
            </w:r>
            <w:r>
              <w:rPr>
                <w:rFonts w:hint="eastAsia"/>
                <w:spacing w:val="-20"/>
                <w:sz w:val="21"/>
                <w:szCs w:val="21"/>
              </w:rPr>
              <w:t>0.073</w:t>
            </w:r>
          </w:p>
        </w:tc>
        <w:tc>
          <w:tcPr>
            <w:tcW w:w="751" w:type="dxa"/>
            <w:noWrap w:val="0"/>
            <w:vAlign w:val="center"/>
          </w:tcPr>
          <w:p>
            <w:pPr>
              <w:spacing w:line="280" w:lineRule="exact"/>
              <w:jc w:val="center"/>
              <w:rPr>
                <w:sz w:val="21"/>
                <w:szCs w:val="21"/>
              </w:rPr>
            </w:pPr>
            <w:r>
              <w:rPr>
                <w:sz w:val="21"/>
                <w:szCs w:val="21"/>
              </w:rPr>
              <w:t>0.5</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21.2</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0.044</w:t>
            </w:r>
            <w:r>
              <w:rPr>
                <w:spacing w:val="-20"/>
                <w:sz w:val="21"/>
                <w:szCs w:val="21"/>
              </w:rPr>
              <w:t>～</w:t>
            </w:r>
            <w:r>
              <w:rPr>
                <w:rFonts w:hint="eastAsia"/>
                <w:spacing w:val="-20"/>
                <w:sz w:val="21"/>
                <w:szCs w:val="21"/>
              </w:rPr>
              <w:t>0.058</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NO</w:t>
            </w:r>
            <w:r>
              <w:rPr>
                <w:sz w:val="21"/>
                <w:szCs w:val="21"/>
                <w:vertAlign w:val="subscript"/>
              </w:rPr>
              <w:t>2</w:t>
            </w:r>
          </w:p>
        </w:tc>
        <w:tc>
          <w:tcPr>
            <w:tcW w:w="563" w:type="dxa"/>
            <w:noWrap w:val="0"/>
            <w:vAlign w:val="center"/>
          </w:tcPr>
          <w:p>
            <w:pPr>
              <w:spacing w:line="280" w:lineRule="exact"/>
              <w:jc w:val="center"/>
              <w:rPr>
                <w:sz w:val="21"/>
                <w:szCs w:val="21"/>
              </w:rPr>
            </w:pPr>
            <w:r>
              <w:rPr>
                <w:sz w:val="21"/>
                <w:szCs w:val="21"/>
              </w:rPr>
              <w:t>7</w:t>
            </w:r>
          </w:p>
        </w:tc>
        <w:tc>
          <w:tcPr>
            <w:tcW w:w="1072" w:type="dxa"/>
            <w:noWrap w:val="0"/>
            <w:vAlign w:val="center"/>
          </w:tcPr>
          <w:p>
            <w:pPr>
              <w:spacing w:line="280" w:lineRule="exact"/>
              <w:jc w:val="center"/>
              <w:rPr>
                <w:rFonts w:hint="eastAsia"/>
                <w:sz w:val="21"/>
                <w:szCs w:val="21"/>
              </w:rPr>
            </w:pPr>
            <w:r>
              <w:rPr>
                <w:rFonts w:hint="eastAsia"/>
                <w:sz w:val="21"/>
                <w:szCs w:val="21"/>
              </w:rPr>
              <w:t>42</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0.007</w:t>
            </w:r>
            <w:r>
              <w:rPr>
                <w:spacing w:val="-20"/>
                <w:sz w:val="21"/>
                <w:szCs w:val="21"/>
              </w:rPr>
              <w:t>～</w:t>
            </w:r>
            <w:r>
              <w:rPr>
                <w:rFonts w:hint="eastAsia"/>
                <w:spacing w:val="-20"/>
                <w:sz w:val="21"/>
                <w:szCs w:val="21"/>
              </w:rPr>
              <w:t>0.036</w:t>
            </w:r>
          </w:p>
        </w:tc>
        <w:tc>
          <w:tcPr>
            <w:tcW w:w="751" w:type="dxa"/>
            <w:noWrap w:val="0"/>
            <w:vAlign w:val="center"/>
          </w:tcPr>
          <w:p>
            <w:pPr>
              <w:spacing w:line="280" w:lineRule="exact"/>
              <w:jc w:val="center"/>
              <w:rPr>
                <w:sz w:val="21"/>
                <w:szCs w:val="21"/>
              </w:rPr>
            </w:pPr>
            <w:r>
              <w:rPr>
                <w:sz w:val="21"/>
                <w:szCs w:val="21"/>
              </w:rPr>
              <w:t>0.24</w:t>
            </w:r>
          </w:p>
        </w:tc>
        <w:tc>
          <w:tcPr>
            <w:tcW w:w="563"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001" w:type="dxa"/>
            <w:noWrap w:val="0"/>
            <w:vAlign w:val="center"/>
          </w:tcPr>
          <w:p>
            <w:pPr>
              <w:spacing w:line="280" w:lineRule="exact"/>
              <w:jc w:val="center"/>
              <w:rPr>
                <w:rFonts w:hint="eastAsia"/>
                <w:sz w:val="21"/>
                <w:szCs w:val="21"/>
              </w:rPr>
            </w:pPr>
            <w:r>
              <w:rPr>
                <w:rFonts w:hint="eastAsia"/>
                <w:sz w:val="21"/>
                <w:szCs w:val="21"/>
              </w:rPr>
              <w:t>26.3</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0.013</w:t>
            </w:r>
            <w:r>
              <w:rPr>
                <w:spacing w:val="-20"/>
                <w:sz w:val="21"/>
                <w:szCs w:val="21"/>
              </w:rPr>
              <w:t>～</w:t>
            </w:r>
            <w:r>
              <w:rPr>
                <w:rFonts w:hint="eastAsia"/>
                <w:spacing w:val="-20"/>
                <w:sz w:val="21"/>
                <w:szCs w:val="21"/>
              </w:rPr>
              <w:t>0.021</w:t>
            </w:r>
          </w:p>
        </w:tc>
        <w:tc>
          <w:tcPr>
            <w:tcW w:w="941" w:type="dxa"/>
            <w:noWrap w:val="0"/>
            <w:vAlign w:val="center"/>
          </w:tcPr>
          <w:p>
            <w:pPr>
              <w:spacing w:line="280" w:lineRule="exact"/>
              <w:jc w:val="center"/>
              <w:rPr>
                <w:sz w:val="21"/>
                <w:szCs w:val="21"/>
              </w:rPr>
            </w:pPr>
            <w:r>
              <w:rPr>
                <w:sz w:val="21"/>
                <w:szCs w:val="21"/>
              </w:rPr>
              <w:t>0.12</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TSP</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0.053</w:t>
            </w:r>
            <w:r>
              <w:rPr>
                <w:spacing w:val="-20"/>
                <w:sz w:val="21"/>
                <w:szCs w:val="21"/>
              </w:rPr>
              <w:t>～</w:t>
            </w:r>
            <w:r>
              <w:rPr>
                <w:rFonts w:hint="eastAsia"/>
                <w:spacing w:val="-20"/>
                <w:sz w:val="21"/>
                <w:szCs w:val="21"/>
              </w:rPr>
              <w:t>0.179</w:t>
            </w:r>
          </w:p>
        </w:tc>
        <w:tc>
          <w:tcPr>
            <w:tcW w:w="941" w:type="dxa"/>
            <w:noWrap w:val="0"/>
            <w:vAlign w:val="center"/>
          </w:tcPr>
          <w:p>
            <w:pPr>
              <w:spacing w:line="280" w:lineRule="exact"/>
              <w:jc w:val="center"/>
              <w:rPr>
                <w:sz w:val="21"/>
                <w:szCs w:val="21"/>
              </w:rPr>
            </w:pPr>
            <w:r>
              <w:rPr>
                <w:sz w:val="21"/>
                <w:szCs w:val="21"/>
              </w:rPr>
              <w:t>0.30</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25" w:type="dxa"/>
            <w:vMerge w:val="continue"/>
            <w:noWrap w:val="0"/>
            <w:vAlign w:val="center"/>
          </w:tcPr>
          <w:p>
            <w:pPr>
              <w:spacing w:line="280" w:lineRule="exact"/>
              <w:jc w:val="center"/>
              <w:rPr>
                <w:sz w:val="21"/>
                <w:szCs w:val="21"/>
              </w:rPr>
            </w:pPr>
          </w:p>
        </w:tc>
        <w:tc>
          <w:tcPr>
            <w:tcW w:w="865" w:type="dxa"/>
            <w:noWrap w:val="0"/>
            <w:vAlign w:val="center"/>
          </w:tcPr>
          <w:p>
            <w:pPr>
              <w:spacing w:line="280" w:lineRule="exact"/>
              <w:jc w:val="center"/>
              <w:rPr>
                <w:sz w:val="21"/>
                <w:szCs w:val="21"/>
              </w:rPr>
            </w:pPr>
            <w:r>
              <w:rPr>
                <w:sz w:val="21"/>
                <w:szCs w:val="21"/>
              </w:rPr>
              <w:t>PM</w:t>
            </w:r>
            <w:r>
              <w:rPr>
                <w:sz w:val="21"/>
                <w:szCs w:val="21"/>
                <w:vertAlign w:val="subscript"/>
              </w:rPr>
              <w:t>10</w:t>
            </w:r>
          </w:p>
        </w:tc>
        <w:tc>
          <w:tcPr>
            <w:tcW w:w="563" w:type="dxa"/>
            <w:noWrap w:val="0"/>
            <w:vAlign w:val="center"/>
          </w:tcPr>
          <w:p>
            <w:pPr>
              <w:spacing w:line="280" w:lineRule="exact"/>
              <w:jc w:val="center"/>
              <w:rPr>
                <w:sz w:val="21"/>
                <w:szCs w:val="21"/>
              </w:rPr>
            </w:pPr>
            <w:r>
              <w:rPr>
                <w:spacing w:val="-20"/>
                <w:sz w:val="21"/>
                <w:szCs w:val="21"/>
              </w:rPr>
              <w:t>7</w:t>
            </w:r>
          </w:p>
        </w:tc>
        <w:tc>
          <w:tcPr>
            <w:tcW w:w="1072" w:type="dxa"/>
            <w:noWrap w:val="0"/>
            <w:vAlign w:val="center"/>
          </w:tcPr>
          <w:p>
            <w:pPr>
              <w:spacing w:line="280" w:lineRule="exact"/>
              <w:jc w:val="center"/>
              <w:rPr>
                <w:sz w:val="21"/>
                <w:szCs w:val="21"/>
              </w:rPr>
            </w:pPr>
            <w:r>
              <w:rPr>
                <w:spacing w:val="-20"/>
                <w:sz w:val="21"/>
                <w:szCs w:val="21"/>
              </w:rPr>
              <w:t>/</w:t>
            </w:r>
          </w:p>
        </w:tc>
        <w:tc>
          <w:tcPr>
            <w:tcW w:w="1692"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563"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pacing w:val="-20"/>
                <w:sz w:val="21"/>
                <w:szCs w:val="21"/>
              </w:rPr>
              <w:t>/</w:t>
            </w:r>
          </w:p>
        </w:tc>
        <w:tc>
          <w:tcPr>
            <w:tcW w:w="1001" w:type="dxa"/>
            <w:noWrap w:val="0"/>
            <w:vAlign w:val="center"/>
          </w:tcPr>
          <w:p>
            <w:pPr>
              <w:spacing w:line="280" w:lineRule="exact"/>
              <w:jc w:val="center"/>
              <w:rPr>
                <w:sz w:val="21"/>
                <w:szCs w:val="21"/>
              </w:rPr>
            </w:pPr>
            <w:r>
              <w:rPr>
                <w:spacing w:val="-20"/>
                <w:sz w:val="21"/>
                <w:szCs w:val="21"/>
              </w:rPr>
              <w:t>/</w:t>
            </w:r>
          </w:p>
        </w:tc>
        <w:tc>
          <w:tcPr>
            <w:tcW w:w="751" w:type="dxa"/>
            <w:noWrap w:val="0"/>
            <w:vAlign w:val="center"/>
          </w:tcPr>
          <w:p>
            <w:pPr>
              <w:spacing w:line="280" w:lineRule="exact"/>
              <w:jc w:val="center"/>
              <w:rPr>
                <w:sz w:val="21"/>
                <w:szCs w:val="21"/>
              </w:rPr>
            </w:pPr>
            <w:r>
              <w:rPr>
                <w:sz w:val="21"/>
                <w:szCs w:val="21"/>
              </w:rPr>
              <w:t>7</w:t>
            </w:r>
          </w:p>
        </w:tc>
        <w:tc>
          <w:tcPr>
            <w:tcW w:w="1692" w:type="dxa"/>
            <w:noWrap w:val="0"/>
            <w:vAlign w:val="center"/>
          </w:tcPr>
          <w:p>
            <w:pPr>
              <w:spacing w:line="280" w:lineRule="exact"/>
              <w:jc w:val="center"/>
              <w:rPr>
                <w:rFonts w:hint="eastAsia"/>
                <w:spacing w:val="-20"/>
                <w:sz w:val="21"/>
                <w:szCs w:val="21"/>
              </w:rPr>
            </w:pPr>
            <w:r>
              <w:rPr>
                <w:rFonts w:hint="eastAsia"/>
                <w:spacing w:val="-20"/>
                <w:sz w:val="21"/>
                <w:szCs w:val="21"/>
              </w:rPr>
              <w:t>0.038</w:t>
            </w:r>
            <w:r>
              <w:rPr>
                <w:spacing w:val="-20"/>
                <w:sz w:val="21"/>
                <w:szCs w:val="21"/>
              </w:rPr>
              <w:t>～</w:t>
            </w:r>
            <w:r>
              <w:rPr>
                <w:rFonts w:hint="eastAsia"/>
                <w:spacing w:val="-20"/>
                <w:sz w:val="21"/>
                <w:szCs w:val="21"/>
              </w:rPr>
              <w:t>0.125</w:t>
            </w:r>
          </w:p>
        </w:tc>
        <w:tc>
          <w:tcPr>
            <w:tcW w:w="941" w:type="dxa"/>
            <w:noWrap w:val="0"/>
            <w:vAlign w:val="center"/>
          </w:tcPr>
          <w:p>
            <w:pPr>
              <w:spacing w:line="280" w:lineRule="exact"/>
              <w:jc w:val="center"/>
              <w:rPr>
                <w:sz w:val="21"/>
                <w:szCs w:val="21"/>
              </w:rPr>
            </w:pPr>
            <w:r>
              <w:rPr>
                <w:sz w:val="21"/>
                <w:szCs w:val="21"/>
              </w:rPr>
              <w:t>0.15</w:t>
            </w:r>
          </w:p>
        </w:tc>
        <w:tc>
          <w:tcPr>
            <w:tcW w:w="520" w:type="dxa"/>
            <w:noWrap w:val="0"/>
            <w:vAlign w:val="center"/>
          </w:tcPr>
          <w:p>
            <w:pPr>
              <w:spacing w:line="280" w:lineRule="exact"/>
              <w:jc w:val="center"/>
              <w:rPr>
                <w:sz w:val="21"/>
                <w:szCs w:val="21"/>
              </w:rPr>
            </w:pPr>
            <w:r>
              <w:rPr>
                <w:sz w:val="21"/>
                <w:szCs w:val="21"/>
              </w:rPr>
              <w:t>0</w:t>
            </w:r>
          </w:p>
        </w:tc>
        <w:tc>
          <w:tcPr>
            <w:tcW w:w="751" w:type="dxa"/>
            <w:noWrap w:val="0"/>
            <w:vAlign w:val="center"/>
          </w:tcPr>
          <w:p>
            <w:pPr>
              <w:spacing w:line="280" w:lineRule="exact"/>
              <w:jc w:val="center"/>
              <w:rPr>
                <w:sz w:val="21"/>
                <w:szCs w:val="21"/>
              </w:rPr>
            </w:pPr>
            <w:r>
              <w:rPr>
                <w:sz w:val="21"/>
                <w:szCs w:val="21"/>
              </w:rPr>
              <w:t>0</w:t>
            </w:r>
          </w:p>
        </w:tc>
        <w:tc>
          <w:tcPr>
            <w:tcW w:w="1280" w:type="dxa"/>
            <w:noWrap w:val="0"/>
            <w:vAlign w:val="center"/>
          </w:tcPr>
          <w:p>
            <w:pPr>
              <w:spacing w:line="280" w:lineRule="exact"/>
              <w:ind w:left="-76" w:right="-108"/>
              <w:jc w:val="center"/>
              <w:rPr>
                <w:rFonts w:hint="eastAsia"/>
                <w:sz w:val="21"/>
                <w:szCs w:val="21"/>
              </w:rPr>
            </w:pPr>
            <w:r>
              <w:rPr>
                <w:rFonts w:hint="eastAsia"/>
                <w:sz w:val="21"/>
                <w:szCs w:val="21"/>
              </w:rPr>
              <w:t>79.3</w:t>
            </w:r>
          </w:p>
        </w:tc>
      </w:tr>
      <w:bookmarkEnd w:id="271"/>
    </w:tbl>
    <w:p>
      <w:pPr>
        <w:spacing w:line="240" w:lineRule="exact"/>
        <w:ind w:firstLine="720" w:firstLineChars="400"/>
        <w:rPr>
          <w:sz w:val="18"/>
          <w:szCs w:val="18"/>
        </w:rPr>
        <w:sectPr>
          <w:footerReference r:id="rId13" w:type="default"/>
          <w:footerReference r:id="rId14" w:type="even"/>
          <w:pgSz w:w="16838" w:h="11906" w:orient="landscape"/>
          <w:pgMar w:top="1134" w:right="1418" w:bottom="1134" w:left="1418" w:header="851" w:footer="992" w:gutter="0"/>
          <w:paperSrc w:first="20070" w:other="20070"/>
          <w:cols w:space="425" w:num="1"/>
          <w:docGrid w:linePitch="312" w:charSpace="0"/>
        </w:sectPr>
      </w:pPr>
      <w:r>
        <w:rPr>
          <w:sz w:val="18"/>
          <w:szCs w:val="18"/>
        </w:rPr>
        <w:t>注：L表示未检出，报出结果为该项目的检出限。</w:t>
      </w:r>
    </w:p>
    <w:p>
      <w:pPr>
        <w:spacing w:line="360" w:lineRule="auto"/>
        <w:outlineLvl w:val="1"/>
        <w:rPr>
          <w:b/>
          <w:bCs/>
        </w:rPr>
      </w:pPr>
      <w:bookmarkStart w:id="272" w:name="_Toc276372240"/>
      <w:r>
        <w:rPr>
          <w:rFonts w:hint="eastAsia"/>
          <w:b/>
          <w:bCs/>
        </w:rPr>
        <w:t>6.2</w:t>
      </w:r>
      <w:r>
        <w:rPr>
          <w:b/>
          <w:bCs/>
        </w:rPr>
        <w:t xml:space="preserve"> 地表水环境质量现状监测与评价</w:t>
      </w:r>
      <w:bookmarkEnd w:id="272"/>
    </w:p>
    <w:p>
      <w:pPr>
        <w:spacing w:line="360" w:lineRule="auto"/>
        <w:rPr>
          <w:b/>
          <w:bCs/>
        </w:rPr>
      </w:pPr>
      <w:r>
        <w:rPr>
          <w:rFonts w:hint="eastAsia"/>
          <w:b/>
          <w:bCs/>
        </w:rPr>
        <w:t>6.2</w:t>
      </w:r>
      <w:r>
        <w:rPr>
          <w:b/>
          <w:bCs/>
        </w:rPr>
        <w:t>.1 地表水环境质量现状监测基本情况</w:t>
      </w:r>
    </w:p>
    <w:p>
      <w:pPr>
        <w:spacing w:line="360" w:lineRule="auto"/>
        <w:ind w:firstLine="420" w:firstLineChars="200"/>
      </w:pPr>
      <w:r>
        <w:t>（1）监测断面设置</w:t>
      </w:r>
    </w:p>
    <w:p>
      <w:pPr>
        <w:spacing w:line="360" w:lineRule="auto"/>
        <w:ind w:firstLine="420" w:firstLineChars="200"/>
      </w:pPr>
      <w:r>
        <w:t>根据</w:t>
      </w:r>
      <w:r>
        <w:rPr>
          <w:rFonts w:hint="eastAsia"/>
        </w:rPr>
        <w:t>技改项目</w:t>
      </w:r>
      <w:r>
        <w:t>废水的实际排放情况，在</w:t>
      </w:r>
      <w:r>
        <w:rPr>
          <w:rFonts w:hint="eastAsia"/>
        </w:rPr>
        <w:t>重庆永荣青鹏煤业有限公司总排水口下游的小河沟设一个监测断面，位置</w:t>
      </w:r>
      <w:r>
        <w:t>见图6.1。</w:t>
      </w:r>
    </w:p>
    <w:p>
      <w:pPr>
        <w:spacing w:line="360" w:lineRule="auto"/>
        <w:ind w:firstLine="420" w:firstLineChars="200"/>
      </w:pPr>
      <w:r>
        <w:t>（2）监测项目</w:t>
      </w:r>
    </w:p>
    <w:p>
      <w:pPr>
        <w:spacing w:line="360" w:lineRule="auto"/>
        <w:ind w:firstLine="420" w:firstLineChars="200"/>
      </w:pPr>
      <w:r>
        <w:rPr>
          <w:rFonts w:hint="eastAsia"/>
        </w:rPr>
        <w:t>水温</w:t>
      </w:r>
      <w:r>
        <w:t>、pH、溶解氧、COD、BOD</w:t>
      </w:r>
      <w:r>
        <w:rPr>
          <w:vertAlign w:val="subscript"/>
        </w:rPr>
        <w:t>5</w:t>
      </w:r>
      <w:r>
        <w:t>、NH</w:t>
      </w:r>
      <w:r>
        <w:rPr>
          <w:vertAlign w:val="subscript"/>
        </w:rPr>
        <w:t>3</w:t>
      </w:r>
      <w:r>
        <w:t>-N、</w:t>
      </w:r>
      <w:r>
        <w:rPr>
          <w:rFonts w:hint="eastAsia"/>
        </w:rPr>
        <w:t>总磷</w:t>
      </w:r>
      <w:r>
        <w:t>、</w:t>
      </w:r>
      <w:r>
        <w:rPr>
          <w:rFonts w:hint="eastAsia"/>
        </w:rPr>
        <w:t>总氮</w:t>
      </w:r>
      <w:r>
        <w:t>、石油类。</w:t>
      </w:r>
    </w:p>
    <w:p>
      <w:pPr>
        <w:spacing w:line="360" w:lineRule="auto"/>
        <w:ind w:firstLine="420" w:firstLineChars="200"/>
      </w:pPr>
      <w:r>
        <w:t>（3）监测时间及频率</w:t>
      </w:r>
    </w:p>
    <w:p>
      <w:pPr>
        <w:spacing w:line="360" w:lineRule="auto"/>
        <w:ind w:firstLine="420" w:firstLineChars="200"/>
      </w:pPr>
      <w:r>
        <w:t>20</w:t>
      </w:r>
      <w:r>
        <w:rPr>
          <w:rFonts w:hint="eastAsia"/>
        </w:rPr>
        <w:t>10</w:t>
      </w:r>
      <w:r>
        <w:t>年</w:t>
      </w:r>
      <w:r>
        <w:rPr>
          <w:rFonts w:hint="eastAsia"/>
        </w:rPr>
        <w:t>8</w:t>
      </w:r>
      <w:r>
        <w:t>月</w:t>
      </w:r>
      <w:r>
        <w:rPr>
          <w:rFonts w:hint="eastAsia"/>
        </w:rPr>
        <w:t>2</w:t>
      </w:r>
      <w:r>
        <w:t>日～</w:t>
      </w:r>
      <w:r>
        <w:rPr>
          <w:rFonts w:hint="eastAsia"/>
        </w:rPr>
        <w:t>8月4</w:t>
      </w:r>
      <w:r>
        <w:t>日共3天，每天1次。</w:t>
      </w:r>
    </w:p>
    <w:p>
      <w:pPr>
        <w:spacing w:line="360" w:lineRule="auto"/>
        <w:ind w:firstLine="420" w:firstLineChars="200"/>
      </w:pPr>
      <w:r>
        <w:t>（4）监测分析方法</w:t>
      </w:r>
    </w:p>
    <w:p>
      <w:pPr>
        <w:spacing w:line="360" w:lineRule="auto"/>
        <w:ind w:firstLine="420" w:firstLineChars="200"/>
      </w:pPr>
      <w:r>
        <w:t>监测分析方法见表</w:t>
      </w:r>
      <w:r>
        <w:rPr>
          <w:rFonts w:hint="eastAsia"/>
        </w:rPr>
        <w:t>6-4</w:t>
      </w:r>
      <w:r>
        <w:t>。</w:t>
      </w:r>
    </w:p>
    <w:p>
      <w:pPr>
        <w:spacing w:line="360" w:lineRule="auto"/>
        <w:ind w:firstLine="420" w:firstLineChars="200"/>
        <w:rPr>
          <w:rFonts w:hint="eastAsia"/>
        </w:rPr>
      </w:pPr>
      <w:r>
        <w:t>监测单位：重庆市</w:t>
      </w:r>
      <w:r>
        <w:rPr>
          <w:rFonts w:hint="eastAsia"/>
        </w:rPr>
        <w:t>沙坪坝区</w:t>
      </w:r>
      <w:r>
        <w:t>环境监测</w:t>
      </w:r>
      <w:r>
        <w:rPr>
          <w:rFonts w:hint="eastAsia"/>
        </w:rPr>
        <w:t>站</w:t>
      </w:r>
    </w:p>
    <w:p>
      <w:pPr>
        <w:spacing w:line="440" w:lineRule="exact"/>
        <w:ind w:firstLine="422" w:firstLineChars="200"/>
        <w:jc w:val="center"/>
        <w:rPr>
          <w:b/>
        </w:rPr>
      </w:pPr>
      <w:r>
        <w:rPr>
          <w:b/>
        </w:rPr>
        <w:t>表</w:t>
      </w:r>
      <w:r>
        <w:rPr>
          <w:rFonts w:hint="eastAsia"/>
          <w:b/>
        </w:rPr>
        <w:t>6-4</w:t>
      </w:r>
      <w:r>
        <w:rPr>
          <w:b/>
        </w:rPr>
        <w:t xml:space="preserve"> 地表水、地下水环境质量监测分析方法</w:t>
      </w:r>
    </w:p>
    <w:tbl>
      <w:tblPr>
        <w:tblStyle w:val="20"/>
        <w:tblW w:w="8100"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88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分析项目</w:t>
            </w:r>
          </w:p>
        </w:tc>
        <w:tc>
          <w:tcPr>
            <w:tcW w:w="2880" w:type="dxa"/>
            <w:noWrap w:val="0"/>
            <w:vAlign w:val="top"/>
          </w:tcPr>
          <w:p>
            <w:pPr>
              <w:spacing w:line="300" w:lineRule="exact"/>
              <w:jc w:val="center"/>
              <w:rPr>
                <w:szCs w:val="21"/>
              </w:rPr>
            </w:pPr>
            <w:r>
              <w:rPr>
                <w:szCs w:val="21"/>
              </w:rPr>
              <w:t>测定方法</w:t>
            </w:r>
          </w:p>
        </w:tc>
        <w:tc>
          <w:tcPr>
            <w:tcW w:w="3420" w:type="dxa"/>
            <w:noWrap w:val="0"/>
            <w:vAlign w:val="top"/>
          </w:tcPr>
          <w:p>
            <w:pPr>
              <w:spacing w:line="300" w:lineRule="exact"/>
              <w:jc w:val="center"/>
              <w:rPr>
                <w:szCs w:val="21"/>
              </w:rPr>
            </w:pPr>
            <w:r>
              <w:rPr>
                <w:szCs w:val="21"/>
              </w:rPr>
              <w:t>分析方法来源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rFonts w:hint="eastAsia"/>
                <w:szCs w:val="21"/>
              </w:rPr>
            </w:pPr>
            <w:r>
              <w:rPr>
                <w:rFonts w:hint="eastAsia"/>
                <w:szCs w:val="21"/>
              </w:rPr>
              <w:t>水温</w:t>
            </w:r>
          </w:p>
        </w:tc>
        <w:tc>
          <w:tcPr>
            <w:tcW w:w="2880" w:type="dxa"/>
            <w:noWrap w:val="0"/>
            <w:vAlign w:val="top"/>
          </w:tcPr>
          <w:p>
            <w:pPr>
              <w:spacing w:line="300" w:lineRule="exact"/>
              <w:jc w:val="center"/>
              <w:rPr>
                <w:rFonts w:hint="eastAsia"/>
                <w:szCs w:val="21"/>
              </w:rPr>
            </w:pPr>
            <w:r>
              <w:rPr>
                <w:rFonts w:hint="eastAsia"/>
                <w:szCs w:val="21"/>
              </w:rPr>
              <w:t>温度计法</w:t>
            </w:r>
          </w:p>
        </w:tc>
        <w:tc>
          <w:tcPr>
            <w:tcW w:w="3420" w:type="dxa"/>
            <w:noWrap w:val="0"/>
            <w:vAlign w:val="top"/>
          </w:tcPr>
          <w:p>
            <w:pPr>
              <w:spacing w:line="300" w:lineRule="exact"/>
              <w:jc w:val="center"/>
              <w:rPr>
                <w:rFonts w:hint="eastAsia"/>
                <w:szCs w:val="21"/>
              </w:rPr>
            </w:pPr>
            <w:r>
              <w:rPr>
                <w:rFonts w:hint="eastAsia"/>
                <w:szCs w:val="21"/>
              </w:rPr>
              <w:t>GB13195-91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pH</w:t>
            </w:r>
          </w:p>
        </w:tc>
        <w:tc>
          <w:tcPr>
            <w:tcW w:w="2880" w:type="dxa"/>
            <w:noWrap w:val="0"/>
            <w:vAlign w:val="top"/>
          </w:tcPr>
          <w:p>
            <w:pPr>
              <w:spacing w:line="300" w:lineRule="exact"/>
              <w:jc w:val="center"/>
              <w:rPr>
                <w:rFonts w:hint="eastAsia"/>
                <w:szCs w:val="21"/>
              </w:rPr>
            </w:pPr>
            <w:r>
              <w:rPr>
                <w:rFonts w:hint="eastAsia"/>
                <w:szCs w:val="21"/>
              </w:rPr>
              <w:t>玻璃电极法</w:t>
            </w:r>
          </w:p>
        </w:tc>
        <w:tc>
          <w:tcPr>
            <w:tcW w:w="3420" w:type="dxa"/>
            <w:noWrap w:val="0"/>
            <w:vAlign w:val="top"/>
          </w:tcPr>
          <w:p>
            <w:pPr>
              <w:spacing w:line="300" w:lineRule="exact"/>
              <w:jc w:val="center"/>
              <w:rPr>
                <w:rFonts w:hint="eastAsia"/>
                <w:szCs w:val="21"/>
              </w:rPr>
            </w:pPr>
            <w:r>
              <w:rPr>
                <w:rFonts w:hint="eastAsia"/>
                <w:szCs w:val="21"/>
              </w:rPr>
              <w:t>GB6920-86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DO</w:t>
            </w:r>
          </w:p>
        </w:tc>
        <w:tc>
          <w:tcPr>
            <w:tcW w:w="2880" w:type="dxa"/>
            <w:noWrap w:val="0"/>
            <w:vAlign w:val="top"/>
          </w:tcPr>
          <w:p>
            <w:pPr>
              <w:spacing w:line="300" w:lineRule="exact"/>
              <w:jc w:val="center"/>
              <w:rPr>
                <w:rFonts w:hint="eastAsia"/>
                <w:szCs w:val="21"/>
              </w:rPr>
            </w:pPr>
            <w:r>
              <w:rPr>
                <w:rFonts w:hint="eastAsia"/>
                <w:szCs w:val="21"/>
              </w:rPr>
              <w:t>电化学探头法</w:t>
            </w:r>
          </w:p>
        </w:tc>
        <w:tc>
          <w:tcPr>
            <w:tcW w:w="3420" w:type="dxa"/>
            <w:noWrap w:val="0"/>
            <w:vAlign w:val="top"/>
          </w:tcPr>
          <w:p>
            <w:pPr>
              <w:spacing w:line="300" w:lineRule="exact"/>
              <w:jc w:val="center"/>
              <w:rPr>
                <w:rFonts w:hint="eastAsia"/>
                <w:szCs w:val="21"/>
              </w:rPr>
            </w:pPr>
            <w:r>
              <w:rPr>
                <w:szCs w:val="21"/>
              </w:rPr>
              <w:t>GB</w:t>
            </w:r>
            <w:r>
              <w:rPr>
                <w:rFonts w:hint="eastAsia"/>
                <w:szCs w:val="21"/>
              </w:rPr>
              <w:t>11913</w:t>
            </w:r>
            <w:r>
              <w:rPr>
                <w:szCs w:val="21"/>
              </w:rPr>
              <w:t>-8</w:t>
            </w:r>
            <w:r>
              <w:rPr>
                <w:rFonts w:hint="eastAsia"/>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COD</w:t>
            </w:r>
          </w:p>
        </w:tc>
        <w:tc>
          <w:tcPr>
            <w:tcW w:w="2880" w:type="dxa"/>
            <w:noWrap w:val="0"/>
            <w:vAlign w:val="top"/>
          </w:tcPr>
          <w:p>
            <w:pPr>
              <w:spacing w:line="300" w:lineRule="exact"/>
              <w:jc w:val="center"/>
              <w:rPr>
                <w:szCs w:val="21"/>
              </w:rPr>
            </w:pPr>
            <w:r>
              <w:rPr>
                <w:szCs w:val="21"/>
              </w:rPr>
              <w:t>重铬酸盐法</w:t>
            </w:r>
          </w:p>
        </w:tc>
        <w:tc>
          <w:tcPr>
            <w:tcW w:w="3420" w:type="dxa"/>
            <w:noWrap w:val="0"/>
            <w:vAlign w:val="top"/>
          </w:tcPr>
          <w:p>
            <w:pPr>
              <w:spacing w:line="300" w:lineRule="exact"/>
              <w:jc w:val="center"/>
              <w:rPr>
                <w:szCs w:val="21"/>
              </w:rPr>
            </w:pPr>
            <w:r>
              <w:rPr>
                <w:szCs w:val="21"/>
              </w:rPr>
              <w:t>GB11914-89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BOD</w:t>
            </w:r>
            <w:r>
              <w:rPr>
                <w:szCs w:val="21"/>
                <w:vertAlign w:val="subscript"/>
              </w:rPr>
              <w:t>5</w:t>
            </w:r>
          </w:p>
        </w:tc>
        <w:tc>
          <w:tcPr>
            <w:tcW w:w="2880" w:type="dxa"/>
            <w:noWrap w:val="0"/>
            <w:vAlign w:val="top"/>
          </w:tcPr>
          <w:p>
            <w:pPr>
              <w:spacing w:line="300" w:lineRule="exact"/>
              <w:jc w:val="center"/>
              <w:rPr>
                <w:szCs w:val="21"/>
              </w:rPr>
            </w:pPr>
            <w:r>
              <w:rPr>
                <w:szCs w:val="21"/>
              </w:rPr>
              <w:t>稀释与接种法</w:t>
            </w:r>
          </w:p>
        </w:tc>
        <w:tc>
          <w:tcPr>
            <w:tcW w:w="3420" w:type="dxa"/>
            <w:noWrap w:val="0"/>
            <w:vAlign w:val="top"/>
          </w:tcPr>
          <w:p>
            <w:pPr>
              <w:spacing w:line="300" w:lineRule="exact"/>
              <w:jc w:val="center"/>
              <w:rPr>
                <w:szCs w:val="21"/>
              </w:rPr>
            </w:pPr>
            <w:r>
              <w:rPr>
                <w:szCs w:val="21"/>
              </w:rPr>
              <w:t>HJ505-2009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NH</w:t>
            </w:r>
            <w:r>
              <w:rPr>
                <w:szCs w:val="21"/>
                <w:vertAlign w:val="subscript"/>
              </w:rPr>
              <w:t>3</w:t>
            </w:r>
            <w:r>
              <w:rPr>
                <w:szCs w:val="21"/>
              </w:rPr>
              <w:t>-N</w:t>
            </w:r>
          </w:p>
        </w:tc>
        <w:tc>
          <w:tcPr>
            <w:tcW w:w="2880" w:type="dxa"/>
            <w:noWrap w:val="0"/>
            <w:vAlign w:val="top"/>
          </w:tcPr>
          <w:p>
            <w:pPr>
              <w:pStyle w:val="27"/>
              <w:widowControl w:val="0"/>
              <w:spacing w:before="0" w:beforeAutospacing="0" w:after="0" w:afterAutospacing="0" w:line="300" w:lineRule="exact"/>
              <w:rPr>
                <w:rFonts w:hint="default" w:ascii="Times New Roman" w:hAnsi="Times New Roman"/>
                <w:kern w:val="2"/>
                <w:sz w:val="21"/>
                <w:szCs w:val="21"/>
              </w:rPr>
            </w:pPr>
            <w:r>
              <w:rPr>
                <w:rFonts w:hint="default" w:ascii="Times New Roman" w:hAnsi="Times New Roman"/>
                <w:kern w:val="2"/>
                <w:sz w:val="21"/>
                <w:szCs w:val="21"/>
              </w:rPr>
              <w:t>纳氏试剂</w:t>
            </w:r>
            <w:r>
              <w:rPr>
                <w:rFonts w:ascii="Times New Roman" w:hAnsi="Times New Roman"/>
                <w:kern w:val="2"/>
                <w:sz w:val="21"/>
                <w:szCs w:val="21"/>
              </w:rPr>
              <w:t>分光光度</w:t>
            </w:r>
            <w:r>
              <w:rPr>
                <w:rFonts w:hint="default" w:ascii="Times New Roman" w:hAnsi="Times New Roman"/>
                <w:kern w:val="2"/>
                <w:sz w:val="21"/>
                <w:szCs w:val="21"/>
              </w:rPr>
              <w:t>法</w:t>
            </w:r>
          </w:p>
        </w:tc>
        <w:tc>
          <w:tcPr>
            <w:tcW w:w="3420" w:type="dxa"/>
            <w:noWrap w:val="0"/>
            <w:vAlign w:val="top"/>
          </w:tcPr>
          <w:p>
            <w:pPr>
              <w:spacing w:line="300" w:lineRule="exact"/>
              <w:jc w:val="center"/>
              <w:rPr>
                <w:szCs w:val="21"/>
              </w:rPr>
            </w:pPr>
            <w:r>
              <w:rPr>
                <w:rFonts w:hint="eastAsia"/>
                <w:szCs w:val="21"/>
              </w:rPr>
              <w:t>HJ535-2009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rFonts w:hint="eastAsia"/>
                <w:szCs w:val="21"/>
              </w:rPr>
            </w:pPr>
            <w:r>
              <w:rPr>
                <w:rFonts w:hint="eastAsia"/>
                <w:szCs w:val="21"/>
              </w:rPr>
              <w:t>总磷</w:t>
            </w:r>
          </w:p>
        </w:tc>
        <w:tc>
          <w:tcPr>
            <w:tcW w:w="2880" w:type="dxa"/>
            <w:noWrap w:val="0"/>
            <w:vAlign w:val="top"/>
          </w:tcPr>
          <w:p>
            <w:pPr>
              <w:pStyle w:val="27"/>
              <w:widowControl w:val="0"/>
              <w:spacing w:before="0" w:beforeAutospacing="0" w:after="0" w:afterAutospacing="0" w:line="300" w:lineRule="exact"/>
              <w:rPr>
                <w:rFonts w:ascii="Times New Roman" w:hAnsi="Times New Roman"/>
                <w:kern w:val="2"/>
                <w:sz w:val="21"/>
                <w:szCs w:val="21"/>
              </w:rPr>
            </w:pPr>
            <w:r>
              <w:rPr>
                <w:rFonts w:ascii="Times New Roman" w:hAnsi="Times New Roman"/>
                <w:kern w:val="2"/>
                <w:sz w:val="21"/>
                <w:szCs w:val="21"/>
              </w:rPr>
              <w:t>钼酸铵分光光度法</w:t>
            </w:r>
          </w:p>
        </w:tc>
        <w:tc>
          <w:tcPr>
            <w:tcW w:w="3420" w:type="dxa"/>
            <w:noWrap w:val="0"/>
            <w:vAlign w:val="top"/>
          </w:tcPr>
          <w:p>
            <w:pPr>
              <w:spacing w:line="300" w:lineRule="exact"/>
              <w:jc w:val="center"/>
              <w:rPr>
                <w:rFonts w:hint="eastAsia"/>
                <w:szCs w:val="21"/>
              </w:rPr>
            </w:pPr>
            <w:r>
              <w:rPr>
                <w:rFonts w:hint="eastAsia"/>
                <w:szCs w:val="21"/>
              </w:rPr>
              <w:t>GB11896-89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rFonts w:hint="eastAsia"/>
                <w:szCs w:val="21"/>
              </w:rPr>
            </w:pPr>
            <w:r>
              <w:rPr>
                <w:rFonts w:hint="eastAsia"/>
                <w:szCs w:val="21"/>
              </w:rPr>
              <w:t>总氮</w:t>
            </w:r>
          </w:p>
        </w:tc>
        <w:tc>
          <w:tcPr>
            <w:tcW w:w="2880" w:type="dxa"/>
            <w:noWrap w:val="0"/>
            <w:vAlign w:val="top"/>
          </w:tcPr>
          <w:p>
            <w:pPr>
              <w:pStyle w:val="27"/>
              <w:widowControl w:val="0"/>
              <w:spacing w:before="0" w:beforeAutospacing="0" w:after="0" w:afterAutospacing="0" w:line="300" w:lineRule="exact"/>
              <w:rPr>
                <w:rFonts w:ascii="Times New Roman" w:hAnsi="Times New Roman"/>
                <w:kern w:val="2"/>
                <w:sz w:val="21"/>
                <w:szCs w:val="21"/>
              </w:rPr>
            </w:pPr>
            <w:r>
              <w:rPr>
                <w:rFonts w:ascii="Times New Roman" w:hAnsi="Times New Roman"/>
                <w:kern w:val="2"/>
                <w:sz w:val="21"/>
                <w:szCs w:val="21"/>
              </w:rPr>
              <w:t>碱性过硫酸钾消解-紫外分光光度法</w:t>
            </w:r>
          </w:p>
        </w:tc>
        <w:tc>
          <w:tcPr>
            <w:tcW w:w="3420" w:type="dxa"/>
            <w:noWrap w:val="0"/>
            <w:vAlign w:val="top"/>
          </w:tcPr>
          <w:p>
            <w:pPr>
              <w:spacing w:line="300" w:lineRule="exact"/>
              <w:jc w:val="center"/>
              <w:rPr>
                <w:rFonts w:hint="eastAsia"/>
                <w:szCs w:val="21"/>
              </w:rPr>
            </w:pPr>
            <w:r>
              <w:rPr>
                <w:rFonts w:hint="eastAsia"/>
                <w:szCs w:val="21"/>
              </w:rPr>
              <w:t>GB11894-89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spacing w:line="300" w:lineRule="exact"/>
              <w:jc w:val="center"/>
              <w:rPr>
                <w:szCs w:val="21"/>
              </w:rPr>
            </w:pPr>
            <w:r>
              <w:rPr>
                <w:szCs w:val="21"/>
              </w:rPr>
              <w:t>石油类</w:t>
            </w:r>
          </w:p>
        </w:tc>
        <w:tc>
          <w:tcPr>
            <w:tcW w:w="2880" w:type="dxa"/>
            <w:noWrap w:val="0"/>
            <w:vAlign w:val="top"/>
          </w:tcPr>
          <w:p>
            <w:pPr>
              <w:spacing w:line="300" w:lineRule="exact"/>
              <w:jc w:val="center"/>
              <w:rPr>
                <w:szCs w:val="21"/>
              </w:rPr>
            </w:pPr>
            <w:r>
              <w:rPr>
                <w:szCs w:val="21"/>
              </w:rPr>
              <w:t>红外分光光度法</w:t>
            </w:r>
          </w:p>
        </w:tc>
        <w:tc>
          <w:tcPr>
            <w:tcW w:w="3420" w:type="dxa"/>
            <w:noWrap w:val="0"/>
            <w:vAlign w:val="top"/>
          </w:tcPr>
          <w:p>
            <w:pPr>
              <w:spacing w:line="300" w:lineRule="exact"/>
              <w:jc w:val="center"/>
              <w:rPr>
                <w:szCs w:val="21"/>
              </w:rPr>
            </w:pPr>
            <w:r>
              <w:rPr>
                <w:szCs w:val="21"/>
              </w:rPr>
              <w:t>GB/T16488-1996</w:t>
            </w:r>
          </w:p>
        </w:tc>
      </w:tr>
    </w:tbl>
    <w:p>
      <w:pPr>
        <w:spacing w:line="440" w:lineRule="exact"/>
        <w:rPr>
          <w:rFonts w:hint="eastAsia"/>
          <w:b/>
          <w:bCs/>
        </w:rPr>
      </w:pPr>
    </w:p>
    <w:p>
      <w:pPr>
        <w:spacing w:line="360" w:lineRule="auto"/>
        <w:rPr>
          <w:b/>
          <w:bCs/>
        </w:rPr>
      </w:pPr>
      <w:r>
        <w:rPr>
          <w:rFonts w:hint="eastAsia"/>
          <w:b/>
          <w:bCs/>
        </w:rPr>
        <w:t>6.2</w:t>
      </w:r>
      <w:r>
        <w:rPr>
          <w:b/>
          <w:bCs/>
        </w:rPr>
        <w:t>.2 监测结果统计及现状评价</w:t>
      </w:r>
    </w:p>
    <w:p>
      <w:pPr>
        <w:spacing w:line="360" w:lineRule="auto"/>
        <w:ind w:firstLine="420" w:firstLineChars="200"/>
      </w:pPr>
      <w:r>
        <w:t>地表水环境质量监测结果统计见表</w:t>
      </w:r>
      <w:r>
        <w:rPr>
          <w:rFonts w:hint="eastAsia"/>
        </w:rPr>
        <w:t>6-5</w:t>
      </w:r>
      <w:r>
        <w:t>。评价方法采用单因子指数评价法。</w:t>
      </w:r>
    </w:p>
    <w:p>
      <w:pPr>
        <w:pStyle w:val="6"/>
        <w:spacing w:line="360" w:lineRule="auto"/>
        <w:ind w:firstLine="540" w:firstLineChars="225"/>
        <w:rPr>
          <w:sz w:val="24"/>
          <w:szCs w:val="24"/>
        </w:rPr>
      </w:pPr>
      <w:r>
        <w:rPr>
          <w:sz w:val="24"/>
          <w:szCs w:val="24"/>
        </w:rPr>
        <w:t>DO的标准指数为：</w:t>
      </w:r>
    </w:p>
    <w:p>
      <w:pPr>
        <w:pStyle w:val="6"/>
        <w:spacing w:line="360" w:lineRule="auto"/>
        <w:ind w:right="420" w:firstLine="1200" w:firstLineChars="500"/>
        <w:rPr>
          <w:sz w:val="24"/>
          <w:szCs w:val="24"/>
        </w:rPr>
      </w:pPr>
      <w:r>
        <w:rPr>
          <w:position w:val="-32"/>
          <w:sz w:val="24"/>
          <w:szCs w:val="24"/>
        </w:rPr>
        <w:object>
          <v:shape id="_x0000_i1027" o:spt="75" type="#_x0000_t75" style="height:34.7pt;width:147pt;" o:ole="t" fillcolor="#000011" filled="f" stroked="f" coordsize="21600,21600">
            <v:path/>
            <v:fill on="f" alignshape="1" focussize="0,0"/>
            <v:stroke on="f"/>
            <v:imagedata r:id="rId38" grayscale="f" bilevel="f" o:title=""/>
            <o:lock v:ext="edit" aspectratio="t"/>
            <w10:wrap type="none"/>
            <w10:anchorlock/>
          </v:shape>
          <o:OLEObject Type="Embed" ProgID="Equation.3" ShapeID="_x0000_i1027" DrawAspect="Content" ObjectID="_1468075727" r:id="rId37">
            <o:LockedField>false</o:LockedField>
          </o:OLEObject>
        </w:object>
      </w:r>
    </w:p>
    <w:p>
      <w:pPr>
        <w:pStyle w:val="6"/>
        <w:spacing w:line="360" w:lineRule="auto"/>
        <w:ind w:right="420" w:firstLine="1200" w:firstLineChars="500"/>
        <w:rPr>
          <w:sz w:val="24"/>
          <w:szCs w:val="24"/>
        </w:rPr>
      </w:pPr>
      <w:r>
        <w:rPr>
          <w:position w:val="-30"/>
          <w:sz w:val="24"/>
          <w:szCs w:val="24"/>
        </w:rPr>
        <w:object>
          <v:shape id="_x0000_i1028" o:spt="75" type="#_x0000_t75" style="height:31.4pt;width:138.05pt;" o:ole="t" fillcolor="#000011" filled="f" stroked="f" coordsize="21600,21600">
            <v:path/>
            <v:fill on="f" alignshape="1" focussize="0,0"/>
            <v:stroke on="f"/>
            <v:imagedata r:id="rId40" grayscale="f" bilevel="f" o:title=""/>
            <o:lock v:ext="edit" aspectratio="t"/>
            <w10:wrap type="none"/>
            <w10:anchorlock/>
          </v:shape>
          <o:OLEObject Type="Embed" ProgID="Equation.3" ShapeID="_x0000_i1028" DrawAspect="Content" ObjectID="_1468075728" r:id="rId39">
            <o:LockedField>false</o:LockedField>
          </o:OLEObject>
        </w:object>
      </w:r>
    </w:p>
    <w:p>
      <w:pPr>
        <w:pStyle w:val="6"/>
        <w:spacing w:line="360" w:lineRule="auto"/>
        <w:ind w:right="420" w:firstLine="1200" w:firstLineChars="500"/>
        <w:rPr>
          <w:sz w:val="24"/>
          <w:szCs w:val="24"/>
        </w:rPr>
      </w:pPr>
      <w:r>
        <w:rPr>
          <w:position w:val="-14"/>
          <w:sz w:val="24"/>
          <w:szCs w:val="24"/>
        </w:rPr>
        <w:object>
          <v:shape id="_x0000_i1029" o:spt="75" type="#_x0000_t75" style="height:19.05pt;width:110.9pt;" o:ole="t" fillcolor="#000011" filled="f" stroked="f" coordsize="21600,21600">
            <v:path/>
            <v:fill on="f" alignshape="1" focussize="0,0"/>
            <v:stroke on="f"/>
            <v:imagedata r:id="rId42" grayscale="f" bilevel="f" o:title=""/>
            <o:lock v:ext="edit" aspectratio="t"/>
            <w10:wrap type="none"/>
            <w10:anchorlock/>
          </v:shape>
          <o:OLEObject Type="Embed" ProgID="Equation.3" ShapeID="_x0000_i1029" DrawAspect="Content" ObjectID="_1468075729" r:id="rId41">
            <o:LockedField>false</o:LockedField>
          </o:OLEObject>
        </w:object>
      </w:r>
    </w:p>
    <w:p>
      <w:pPr>
        <w:tabs>
          <w:tab w:val="left" w:pos="742"/>
        </w:tabs>
        <w:spacing w:line="360" w:lineRule="auto"/>
        <w:ind w:firstLine="420" w:firstLineChars="200"/>
      </w:pPr>
      <w:r>
        <w:t>式中：S</w:t>
      </w:r>
      <w:r>
        <w:rPr>
          <w:i/>
          <w:vertAlign w:val="subscript"/>
        </w:rPr>
        <w:t>DO</w:t>
      </w:r>
      <w:r>
        <w:rPr>
          <w:vertAlign w:val="subscript"/>
        </w:rPr>
        <w:t>,</w:t>
      </w:r>
      <w:r>
        <w:rPr>
          <w:i/>
          <w:vertAlign w:val="subscript"/>
        </w:rPr>
        <w:t>j</w:t>
      </w:r>
      <w:r>
        <w:t>—DO的标准指数；</w:t>
      </w:r>
    </w:p>
    <w:p>
      <w:pPr>
        <w:pStyle w:val="6"/>
        <w:spacing w:line="360" w:lineRule="auto"/>
        <w:ind w:firstLine="1260" w:firstLineChars="525"/>
        <w:rPr>
          <w:sz w:val="24"/>
          <w:szCs w:val="24"/>
        </w:rPr>
      </w:pPr>
      <w:r>
        <w:rPr>
          <w:sz w:val="24"/>
          <w:szCs w:val="24"/>
        </w:rPr>
        <w:t>DO</w:t>
      </w:r>
      <w:r>
        <w:rPr>
          <w:i/>
          <w:sz w:val="24"/>
          <w:szCs w:val="24"/>
          <w:vertAlign w:val="subscript"/>
        </w:rPr>
        <w:t>f</w:t>
      </w:r>
      <w:r>
        <w:rPr>
          <w:sz w:val="24"/>
          <w:szCs w:val="24"/>
        </w:rPr>
        <w:t>—饱和溶解氧浓度，mg/L；</w:t>
      </w:r>
    </w:p>
    <w:p>
      <w:pPr>
        <w:pStyle w:val="6"/>
        <w:spacing w:line="360" w:lineRule="auto"/>
        <w:ind w:firstLine="1260" w:firstLineChars="525"/>
        <w:rPr>
          <w:sz w:val="24"/>
          <w:szCs w:val="24"/>
        </w:rPr>
      </w:pPr>
      <w:r>
        <w:rPr>
          <w:sz w:val="24"/>
          <w:szCs w:val="24"/>
        </w:rPr>
        <w:t>DO</w:t>
      </w:r>
      <w:r>
        <w:rPr>
          <w:i/>
          <w:sz w:val="24"/>
          <w:szCs w:val="24"/>
          <w:vertAlign w:val="subscript"/>
        </w:rPr>
        <w:t>j</w:t>
      </w:r>
      <w:r>
        <w:rPr>
          <w:sz w:val="24"/>
          <w:szCs w:val="24"/>
        </w:rPr>
        <w:t>—溶解氧的实测值，mg/L；</w:t>
      </w:r>
    </w:p>
    <w:p>
      <w:pPr>
        <w:pStyle w:val="6"/>
        <w:spacing w:line="360" w:lineRule="auto"/>
        <w:ind w:firstLine="1260" w:firstLineChars="525"/>
        <w:rPr>
          <w:sz w:val="24"/>
          <w:szCs w:val="24"/>
        </w:rPr>
      </w:pPr>
      <w:r>
        <w:rPr>
          <w:sz w:val="24"/>
          <w:szCs w:val="24"/>
        </w:rPr>
        <w:t>DO</w:t>
      </w:r>
      <w:r>
        <w:rPr>
          <w:i/>
          <w:sz w:val="24"/>
          <w:szCs w:val="24"/>
          <w:vertAlign w:val="subscript"/>
        </w:rPr>
        <w:t>s</w:t>
      </w:r>
      <w:r>
        <w:rPr>
          <w:sz w:val="24"/>
          <w:szCs w:val="24"/>
        </w:rPr>
        <w:t>—溶解氧的地面水水质标准，mg/L；</w:t>
      </w:r>
    </w:p>
    <w:p>
      <w:pPr>
        <w:pStyle w:val="6"/>
        <w:spacing w:line="360" w:lineRule="auto"/>
        <w:rPr>
          <w:sz w:val="24"/>
          <w:szCs w:val="24"/>
        </w:rPr>
      </w:pPr>
      <w:r>
        <w:rPr>
          <w:sz w:val="24"/>
          <w:szCs w:val="24"/>
        </w:rPr>
        <w:t>pH的标准指数为：</w:t>
      </w:r>
    </w:p>
    <w:p>
      <w:pPr>
        <w:pStyle w:val="6"/>
        <w:spacing w:line="360" w:lineRule="auto"/>
        <w:ind w:right="420" w:firstLine="1440" w:firstLineChars="600"/>
        <w:rPr>
          <w:sz w:val="24"/>
          <w:szCs w:val="24"/>
        </w:rPr>
      </w:pPr>
      <w:r>
        <w:rPr>
          <w:position w:val="-30"/>
          <w:sz w:val="24"/>
          <w:szCs w:val="24"/>
        </w:rPr>
        <w:object>
          <v:shape id="_x0000_i1030" o:spt="75" type="#_x0000_t75" style="height:36pt;width:152pt;" o:ole="t" fillcolor="#000011" filled="f" stroked="f" coordsize="21600,21600">
            <v:path/>
            <v:fill on="f" alignshape="1" focussize="0,0"/>
            <v:stroke on="f"/>
            <v:imagedata r:id="rId44" grayscale="f" bilevel="f" o:title=""/>
            <o:lock v:ext="edit" aspectratio="t"/>
            <w10:wrap type="none"/>
            <w10:anchorlock/>
          </v:shape>
          <o:OLEObject Type="Embed" ProgID="Equation.3" ShapeID="_x0000_i1030" DrawAspect="Content" ObjectID="_1468075730" r:id="rId43">
            <o:LockedField>false</o:LockedField>
          </o:OLEObject>
        </w:object>
      </w:r>
    </w:p>
    <w:p>
      <w:pPr>
        <w:pStyle w:val="6"/>
        <w:spacing w:line="360" w:lineRule="auto"/>
        <w:ind w:right="420" w:firstLine="1440" w:firstLineChars="600"/>
        <w:rPr>
          <w:sz w:val="24"/>
          <w:szCs w:val="24"/>
        </w:rPr>
      </w:pPr>
      <w:r>
        <w:rPr>
          <w:position w:val="-30"/>
          <w:sz w:val="24"/>
          <w:szCs w:val="24"/>
        </w:rPr>
        <w:object>
          <v:shape id="_x0000_i1031" o:spt="75" type="#_x0000_t75" style="height:36pt;width:152pt;" o:ole="t" fillcolor="#000011" filled="f" stroked="f" coordsize="21600,21600">
            <v:path/>
            <v:fill on="f" alignshape="1" focussize="0,0"/>
            <v:stroke on="f"/>
            <v:imagedata r:id="rId46" grayscale="f" bilevel="f" o:title=""/>
            <o:lock v:ext="edit" aspectratio="t"/>
            <w10:wrap type="none"/>
            <w10:anchorlock/>
          </v:shape>
          <o:OLEObject Type="Embed" ProgID="Equation.3" ShapeID="_x0000_i1031" DrawAspect="Content" ObjectID="_1468075731" r:id="rId45">
            <o:LockedField>false</o:LockedField>
          </o:OLEObject>
        </w:object>
      </w:r>
    </w:p>
    <w:p>
      <w:pPr>
        <w:tabs>
          <w:tab w:val="left" w:pos="742"/>
        </w:tabs>
        <w:spacing w:line="360" w:lineRule="auto"/>
        <w:ind w:firstLine="420" w:firstLineChars="200"/>
        <w:rPr>
          <w:rFonts w:hint="eastAsia"/>
        </w:rPr>
      </w:pPr>
      <w:r>
        <w:t>式中：S</w:t>
      </w:r>
      <w:r>
        <w:rPr>
          <w:i/>
          <w:vertAlign w:val="subscript"/>
        </w:rPr>
        <w:t>pH</w:t>
      </w:r>
      <w:r>
        <w:rPr>
          <w:vertAlign w:val="subscript"/>
        </w:rPr>
        <w:t>,</w:t>
      </w:r>
      <w:r>
        <w:rPr>
          <w:i/>
          <w:vertAlign w:val="subscript"/>
        </w:rPr>
        <w:t>j</w:t>
      </w:r>
      <w:r>
        <w:t>—pH的单因子污染指数；</w:t>
      </w:r>
    </w:p>
    <w:p>
      <w:pPr>
        <w:pStyle w:val="6"/>
        <w:spacing w:line="360" w:lineRule="auto"/>
        <w:ind w:firstLine="1260" w:firstLineChars="525"/>
        <w:rPr>
          <w:sz w:val="24"/>
          <w:szCs w:val="24"/>
        </w:rPr>
      </w:pPr>
      <w:r>
        <w:rPr>
          <w:i/>
          <w:sz w:val="24"/>
          <w:szCs w:val="24"/>
        </w:rPr>
        <w:t>pH</w:t>
      </w:r>
      <w:r>
        <w:rPr>
          <w:sz w:val="24"/>
          <w:szCs w:val="24"/>
          <w:vertAlign w:val="subscript"/>
        </w:rPr>
        <w:t>sd</w:t>
      </w:r>
      <w:r>
        <w:rPr>
          <w:sz w:val="24"/>
          <w:szCs w:val="24"/>
        </w:rPr>
        <w:t>、</w:t>
      </w:r>
      <w:r>
        <w:rPr>
          <w:i/>
          <w:sz w:val="24"/>
          <w:szCs w:val="24"/>
        </w:rPr>
        <w:t>pH</w:t>
      </w:r>
      <w:r>
        <w:rPr>
          <w:sz w:val="24"/>
          <w:szCs w:val="24"/>
          <w:vertAlign w:val="subscript"/>
        </w:rPr>
        <w:t>su</w:t>
      </w:r>
      <w:r>
        <w:rPr>
          <w:sz w:val="24"/>
          <w:szCs w:val="24"/>
        </w:rPr>
        <w:t>—地表水标准值的上、下限值；</w:t>
      </w:r>
    </w:p>
    <w:p>
      <w:pPr>
        <w:pStyle w:val="6"/>
        <w:spacing w:line="360" w:lineRule="auto"/>
        <w:ind w:firstLine="1260" w:firstLineChars="525"/>
        <w:rPr>
          <w:sz w:val="24"/>
          <w:szCs w:val="24"/>
        </w:rPr>
      </w:pPr>
      <w:r>
        <w:rPr>
          <w:i/>
          <w:sz w:val="24"/>
          <w:szCs w:val="24"/>
        </w:rPr>
        <w:t>pH</w:t>
      </w:r>
      <w:r>
        <w:rPr>
          <w:sz w:val="24"/>
          <w:szCs w:val="24"/>
          <w:vertAlign w:val="subscript"/>
        </w:rPr>
        <w:t>j</w:t>
      </w:r>
      <w:r>
        <w:rPr>
          <w:sz w:val="24"/>
          <w:szCs w:val="24"/>
        </w:rPr>
        <w:t>—实测值。</w:t>
      </w:r>
    </w:p>
    <w:p>
      <w:pPr>
        <w:pStyle w:val="6"/>
        <w:spacing w:line="360" w:lineRule="auto"/>
        <w:rPr>
          <w:sz w:val="24"/>
          <w:szCs w:val="24"/>
        </w:rPr>
      </w:pPr>
      <w:r>
        <w:rPr>
          <w:sz w:val="24"/>
          <w:szCs w:val="24"/>
        </w:rPr>
        <w:t>其他污染物标准指数：单项水质参数i在第j点的标准指数为：</w:t>
      </w:r>
    </w:p>
    <w:p>
      <w:pPr>
        <w:pStyle w:val="6"/>
        <w:spacing w:line="360" w:lineRule="auto"/>
        <w:ind w:right="420" w:firstLine="1320" w:firstLineChars="550"/>
        <w:rPr>
          <w:sz w:val="24"/>
          <w:szCs w:val="24"/>
        </w:rPr>
      </w:pPr>
      <w:r>
        <w:rPr>
          <w:sz w:val="24"/>
          <w:szCs w:val="24"/>
        </w:rPr>
        <w:t>S</w:t>
      </w:r>
      <w:r>
        <w:rPr>
          <w:sz w:val="24"/>
          <w:szCs w:val="24"/>
          <w:vertAlign w:val="subscript"/>
        </w:rPr>
        <w:t>i,j</w:t>
      </w:r>
      <w:r>
        <w:rPr>
          <w:sz w:val="24"/>
          <w:szCs w:val="24"/>
        </w:rPr>
        <w:t>=C</w:t>
      </w:r>
      <w:r>
        <w:rPr>
          <w:sz w:val="24"/>
          <w:szCs w:val="24"/>
          <w:vertAlign w:val="subscript"/>
        </w:rPr>
        <w:t>i,j</w:t>
      </w:r>
      <w:r>
        <w:rPr>
          <w:sz w:val="24"/>
          <w:szCs w:val="24"/>
        </w:rPr>
        <w:t>/C</w:t>
      </w:r>
      <w:r>
        <w:rPr>
          <w:sz w:val="24"/>
          <w:szCs w:val="24"/>
          <w:vertAlign w:val="subscript"/>
        </w:rPr>
        <w:t>si</w:t>
      </w:r>
    </w:p>
    <w:p>
      <w:pPr>
        <w:tabs>
          <w:tab w:val="left" w:pos="742"/>
        </w:tabs>
        <w:spacing w:line="360" w:lineRule="auto"/>
        <w:ind w:firstLine="420" w:firstLineChars="200"/>
      </w:pPr>
      <w:r>
        <w:t>式中：S</w:t>
      </w:r>
      <w:r>
        <w:rPr>
          <w:vertAlign w:val="subscript"/>
        </w:rPr>
        <w:t>i,j</w:t>
      </w:r>
      <w:r>
        <w:t>—ｉ污染物的单因子指数；</w:t>
      </w:r>
    </w:p>
    <w:p>
      <w:pPr>
        <w:tabs>
          <w:tab w:val="left" w:pos="742"/>
        </w:tabs>
        <w:spacing w:line="360" w:lineRule="auto"/>
        <w:ind w:firstLine="1050" w:firstLineChars="500"/>
      </w:pPr>
      <w:r>
        <w:t>C</w:t>
      </w:r>
      <w:r>
        <w:rPr>
          <w:vertAlign w:val="subscript"/>
        </w:rPr>
        <w:t>i,j</w:t>
      </w:r>
      <w:r>
        <w:t>—污染物ｉ在监测点ｊ的浓度，mg/L；</w:t>
      </w:r>
    </w:p>
    <w:p>
      <w:pPr>
        <w:spacing w:line="360" w:lineRule="auto"/>
        <w:ind w:firstLine="1050" w:firstLineChars="500"/>
      </w:pPr>
      <w:r>
        <w:t>C</w:t>
      </w:r>
      <w:r>
        <w:rPr>
          <w:vertAlign w:val="subscript"/>
        </w:rPr>
        <w:t>si</w:t>
      </w:r>
      <w:r>
        <w:t>—i污染物的标准值，mg/L。</w:t>
      </w:r>
    </w:p>
    <w:p>
      <w:pPr>
        <w:spacing w:line="360" w:lineRule="auto"/>
        <w:ind w:firstLine="420" w:firstLineChars="200"/>
        <w:rPr>
          <w:rFonts w:hint="eastAsia"/>
        </w:rPr>
      </w:pPr>
      <w:r>
        <w:t>由表</w:t>
      </w:r>
      <w:r>
        <w:rPr>
          <w:rFonts w:hint="eastAsia"/>
        </w:rPr>
        <w:t>6-5</w:t>
      </w:r>
      <w:r>
        <w:t>可知，各监测项目浓度值均未超过《地表水环境质量标准》Ⅲ类水域标准；各项水质因子的最大I</w:t>
      </w:r>
      <w:r>
        <w:rPr>
          <w:vertAlign w:val="subscript"/>
        </w:rPr>
        <w:t>i</w:t>
      </w:r>
      <w:r>
        <w:t>值均小于1。评价结果表明，各项水质指标均符合《地表水环境质量标准》（GB3838-2002）Ⅲ类标准的要求，水环境质量现状较好。</w:t>
      </w:r>
    </w:p>
    <w:p>
      <w:pPr>
        <w:spacing w:line="440" w:lineRule="exact"/>
        <w:ind w:firstLine="422" w:firstLineChars="200"/>
        <w:rPr>
          <w:rFonts w:hint="eastAsia"/>
        </w:rPr>
      </w:pPr>
      <w:r>
        <w:rPr>
          <w:b/>
        </w:rPr>
        <w:t>表</w:t>
      </w:r>
      <w:r>
        <w:rPr>
          <w:rFonts w:hint="eastAsia"/>
          <w:b/>
        </w:rPr>
        <w:t xml:space="preserve">6-5 </w:t>
      </w:r>
      <w:r>
        <w:rPr>
          <w:b/>
        </w:rPr>
        <w:t xml:space="preserve">  地表水现状监测结果统计及评价结果表</w:t>
      </w:r>
      <w:r>
        <w:t xml:space="preserve">   单位：mg/L,pH除外</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452"/>
        <w:gridCol w:w="919"/>
        <w:gridCol w:w="919"/>
        <w:gridCol w:w="919"/>
        <w:gridCol w:w="919"/>
        <w:gridCol w:w="110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p>
        </w:tc>
        <w:tc>
          <w:tcPr>
            <w:tcW w:w="2452" w:type="dxa"/>
            <w:noWrap w:val="0"/>
            <w:vAlign w:val="center"/>
          </w:tcPr>
          <w:p>
            <w:pPr>
              <w:spacing w:line="300" w:lineRule="exact"/>
              <w:ind w:firstLine="480"/>
              <w:rPr>
                <w:sz w:val="21"/>
                <w:szCs w:val="21"/>
              </w:rPr>
            </w:pPr>
            <w:r>
              <w:rPr>
                <w:sz w:val="21"/>
                <w:szCs w:val="21"/>
              </w:rPr>
              <w:t>评价标准值</w:t>
            </w:r>
          </w:p>
          <w:p>
            <w:pPr>
              <w:spacing w:line="300" w:lineRule="exact"/>
              <w:ind w:firstLine="480"/>
              <w:rPr>
                <w:sz w:val="21"/>
                <w:szCs w:val="21"/>
              </w:rPr>
            </w:pPr>
            <w:r>
              <w:rPr>
                <w:sz w:val="21"/>
                <w:szCs w:val="21"/>
              </w:rPr>
              <w:t>（GB3838-2002）∨类</w:t>
            </w:r>
          </w:p>
        </w:tc>
        <w:tc>
          <w:tcPr>
            <w:tcW w:w="919" w:type="dxa"/>
            <w:noWrap w:val="0"/>
            <w:vAlign w:val="center"/>
          </w:tcPr>
          <w:p>
            <w:pPr>
              <w:spacing w:line="300" w:lineRule="exact"/>
              <w:jc w:val="both"/>
              <w:rPr>
                <w:sz w:val="21"/>
                <w:szCs w:val="21"/>
              </w:rPr>
            </w:pPr>
            <w:r>
              <w:rPr>
                <w:sz w:val="21"/>
                <w:szCs w:val="21"/>
              </w:rPr>
              <w:t>样品数</w:t>
            </w:r>
          </w:p>
        </w:tc>
        <w:tc>
          <w:tcPr>
            <w:tcW w:w="919" w:type="dxa"/>
            <w:noWrap w:val="0"/>
            <w:vAlign w:val="center"/>
          </w:tcPr>
          <w:p>
            <w:pPr>
              <w:spacing w:line="300" w:lineRule="exact"/>
              <w:jc w:val="both"/>
              <w:rPr>
                <w:sz w:val="21"/>
                <w:szCs w:val="21"/>
              </w:rPr>
            </w:pPr>
            <w:r>
              <w:rPr>
                <w:sz w:val="21"/>
                <w:szCs w:val="21"/>
              </w:rPr>
              <w:t>平均值</w:t>
            </w:r>
          </w:p>
        </w:tc>
        <w:tc>
          <w:tcPr>
            <w:tcW w:w="919" w:type="dxa"/>
            <w:noWrap w:val="0"/>
            <w:vAlign w:val="center"/>
          </w:tcPr>
          <w:p>
            <w:pPr>
              <w:spacing w:line="300" w:lineRule="exact"/>
              <w:jc w:val="both"/>
              <w:rPr>
                <w:sz w:val="21"/>
                <w:szCs w:val="21"/>
              </w:rPr>
            </w:pPr>
            <w:r>
              <w:rPr>
                <w:sz w:val="21"/>
                <w:szCs w:val="21"/>
              </w:rPr>
              <w:t>最小值</w:t>
            </w:r>
          </w:p>
        </w:tc>
        <w:tc>
          <w:tcPr>
            <w:tcW w:w="919" w:type="dxa"/>
            <w:noWrap w:val="0"/>
            <w:vAlign w:val="center"/>
          </w:tcPr>
          <w:p>
            <w:pPr>
              <w:spacing w:line="300" w:lineRule="exact"/>
              <w:jc w:val="both"/>
              <w:rPr>
                <w:sz w:val="21"/>
                <w:szCs w:val="21"/>
              </w:rPr>
            </w:pPr>
            <w:r>
              <w:rPr>
                <w:sz w:val="21"/>
                <w:szCs w:val="21"/>
              </w:rPr>
              <w:t>最大值</w:t>
            </w:r>
          </w:p>
        </w:tc>
        <w:tc>
          <w:tcPr>
            <w:tcW w:w="1109" w:type="dxa"/>
            <w:noWrap w:val="0"/>
            <w:vAlign w:val="center"/>
          </w:tcPr>
          <w:p>
            <w:pPr>
              <w:spacing w:line="300" w:lineRule="exact"/>
              <w:jc w:val="both"/>
              <w:rPr>
                <w:sz w:val="21"/>
                <w:szCs w:val="21"/>
              </w:rPr>
            </w:pPr>
            <w:r>
              <w:rPr>
                <w:sz w:val="21"/>
                <w:szCs w:val="21"/>
              </w:rPr>
              <w:t>超标率%</w:t>
            </w:r>
          </w:p>
        </w:tc>
        <w:tc>
          <w:tcPr>
            <w:tcW w:w="1129" w:type="dxa"/>
            <w:noWrap w:val="0"/>
            <w:vAlign w:val="center"/>
          </w:tcPr>
          <w:p>
            <w:pPr>
              <w:spacing w:line="300" w:lineRule="exact"/>
              <w:jc w:val="both"/>
              <w:rPr>
                <w:sz w:val="21"/>
                <w:szCs w:val="21"/>
              </w:rPr>
            </w:pPr>
            <w:r>
              <w:rPr>
                <w:sz w:val="21"/>
                <w:szCs w:val="21"/>
              </w:rPr>
              <w:t>最大Ii值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水温</w:t>
            </w:r>
          </w:p>
        </w:tc>
        <w:tc>
          <w:tcPr>
            <w:tcW w:w="2452" w:type="dxa"/>
            <w:noWrap w:val="0"/>
            <w:vAlign w:val="center"/>
          </w:tcPr>
          <w:p>
            <w:pPr>
              <w:spacing w:before="0" w:beforeAutospacing="0" w:after="0" w:afterAutospacing="0" w:line="300" w:lineRule="exact"/>
              <w:rPr>
                <w:sz w:val="21"/>
                <w:szCs w:val="21"/>
              </w:rPr>
            </w:pPr>
            <w:r>
              <w:rPr>
                <w:sz w:val="21"/>
                <w:szCs w:val="21"/>
              </w:rPr>
              <w:t>—</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28.3</w:t>
            </w:r>
          </w:p>
        </w:tc>
        <w:tc>
          <w:tcPr>
            <w:tcW w:w="919" w:type="dxa"/>
            <w:noWrap w:val="0"/>
            <w:vAlign w:val="center"/>
          </w:tcPr>
          <w:p>
            <w:pPr>
              <w:spacing w:before="0" w:beforeAutospacing="0" w:after="0" w:afterAutospacing="0" w:line="300" w:lineRule="exact"/>
              <w:rPr>
                <w:sz w:val="21"/>
                <w:szCs w:val="21"/>
              </w:rPr>
            </w:pPr>
            <w:r>
              <w:rPr>
                <w:sz w:val="21"/>
                <w:szCs w:val="21"/>
              </w:rPr>
              <w:t>28.1</w:t>
            </w:r>
          </w:p>
        </w:tc>
        <w:tc>
          <w:tcPr>
            <w:tcW w:w="919" w:type="dxa"/>
            <w:noWrap w:val="0"/>
            <w:vAlign w:val="center"/>
          </w:tcPr>
          <w:p>
            <w:pPr>
              <w:spacing w:before="0" w:beforeAutospacing="0" w:after="0" w:afterAutospacing="0" w:line="300" w:lineRule="exact"/>
              <w:rPr>
                <w:sz w:val="21"/>
                <w:szCs w:val="21"/>
              </w:rPr>
            </w:pPr>
            <w:r>
              <w:rPr>
                <w:sz w:val="21"/>
                <w:szCs w:val="21"/>
              </w:rPr>
              <w:t>28.5</w:t>
            </w:r>
          </w:p>
        </w:tc>
        <w:tc>
          <w:tcPr>
            <w:tcW w:w="1109" w:type="dxa"/>
            <w:noWrap w:val="0"/>
            <w:vAlign w:val="center"/>
          </w:tcPr>
          <w:p>
            <w:pPr>
              <w:spacing w:before="0" w:beforeAutospacing="0" w:after="0" w:afterAutospacing="0" w:line="300" w:lineRule="exact"/>
              <w:rPr>
                <w:sz w:val="21"/>
                <w:szCs w:val="21"/>
              </w:rPr>
            </w:pPr>
            <w:r>
              <w:rPr>
                <w:sz w:val="21"/>
                <w:szCs w:val="21"/>
              </w:rPr>
              <w:t>—</w:t>
            </w:r>
          </w:p>
        </w:tc>
        <w:tc>
          <w:tcPr>
            <w:tcW w:w="1129" w:type="dxa"/>
            <w:noWrap w:val="0"/>
            <w:vAlign w:val="center"/>
          </w:tcPr>
          <w:p>
            <w:pPr>
              <w:spacing w:before="0" w:beforeAutospacing="0" w:after="0" w:afterAutospacing="0" w:line="30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pH</w:t>
            </w:r>
          </w:p>
        </w:tc>
        <w:tc>
          <w:tcPr>
            <w:tcW w:w="2452" w:type="dxa"/>
            <w:noWrap w:val="0"/>
            <w:vAlign w:val="center"/>
          </w:tcPr>
          <w:p>
            <w:pPr>
              <w:spacing w:before="0" w:beforeAutospacing="0" w:after="0" w:afterAutospacing="0" w:line="300" w:lineRule="exact"/>
              <w:rPr>
                <w:sz w:val="21"/>
                <w:szCs w:val="21"/>
              </w:rPr>
            </w:pPr>
            <w:r>
              <w:rPr>
                <w:sz w:val="21"/>
                <w:szCs w:val="21"/>
              </w:rPr>
              <w:t>6～9</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7.92</w:t>
            </w:r>
          </w:p>
        </w:tc>
        <w:tc>
          <w:tcPr>
            <w:tcW w:w="919" w:type="dxa"/>
            <w:noWrap w:val="0"/>
            <w:vAlign w:val="center"/>
          </w:tcPr>
          <w:p>
            <w:pPr>
              <w:spacing w:before="0" w:beforeAutospacing="0" w:after="0" w:afterAutospacing="0" w:line="300" w:lineRule="exact"/>
              <w:rPr>
                <w:sz w:val="21"/>
                <w:szCs w:val="21"/>
              </w:rPr>
            </w:pPr>
            <w:r>
              <w:rPr>
                <w:sz w:val="21"/>
                <w:szCs w:val="21"/>
              </w:rPr>
              <w:t>7.90</w:t>
            </w:r>
          </w:p>
        </w:tc>
        <w:tc>
          <w:tcPr>
            <w:tcW w:w="919" w:type="dxa"/>
            <w:noWrap w:val="0"/>
            <w:vAlign w:val="center"/>
          </w:tcPr>
          <w:p>
            <w:pPr>
              <w:spacing w:before="0" w:beforeAutospacing="0" w:after="0" w:afterAutospacing="0" w:line="300" w:lineRule="exact"/>
              <w:rPr>
                <w:sz w:val="21"/>
                <w:szCs w:val="21"/>
              </w:rPr>
            </w:pPr>
            <w:r>
              <w:rPr>
                <w:sz w:val="21"/>
                <w:szCs w:val="21"/>
              </w:rPr>
              <w:t>7.93</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DO</w:t>
            </w:r>
          </w:p>
        </w:tc>
        <w:tc>
          <w:tcPr>
            <w:tcW w:w="2452" w:type="dxa"/>
            <w:noWrap w:val="0"/>
            <w:vAlign w:val="center"/>
          </w:tcPr>
          <w:p>
            <w:pPr>
              <w:spacing w:before="0" w:beforeAutospacing="0" w:after="0" w:afterAutospacing="0" w:line="300" w:lineRule="exact"/>
              <w:rPr>
                <w:sz w:val="21"/>
                <w:szCs w:val="21"/>
              </w:rPr>
            </w:pPr>
            <w:r>
              <w:rPr>
                <w:sz w:val="21"/>
                <w:szCs w:val="21"/>
              </w:rPr>
              <w:t>≥2</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7.64</w:t>
            </w:r>
          </w:p>
        </w:tc>
        <w:tc>
          <w:tcPr>
            <w:tcW w:w="919" w:type="dxa"/>
            <w:noWrap w:val="0"/>
            <w:vAlign w:val="center"/>
          </w:tcPr>
          <w:p>
            <w:pPr>
              <w:spacing w:before="0" w:beforeAutospacing="0" w:after="0" w:afterAutospacing="0" w:line="300" w:lineRule="exact"/>
              <w:rPr>
                <w:sz w:val="21"/>
                <w:szCs w:val="21"/>
              </w:rPr>
            </w:pPr>
            <w:r>
              <w:rPr>
                <w:sz w:val="21"/>
                <w:szCs w:val="21"/>
              </w:rPr>
              <w:t>7.61</w:t>
            </w:r>
          </w:p>
        </w:tc>
        <w:tc>
          <w:tcPr>
            <w:tcW w:w="919" w:type="dxa"/>
            <w:noWrap w:val="0"/>
            <w:vAlign w:val="center"/>
          </w:tcPr>
          <w:p>
            <w:pPr>
              <w:spacing w:before="0" w:beforeAutospacing="0" w:after="0" w:afterAutospacing="0" w:line="300" w:lineRule="exact"/>
              <w:rPr>
                <w:sz w:val="21"/>
                <w:szCs w:val="21"/>
              </w:rPr>
            </w:pPr>
            <w:r>
              <w:rPr>
                <w:sz w:val="21"/>
                <w:szCs w:val="21"/>
              </w:rPr>
              <w:t>7.68</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COD</w:t>
            </w:r>
          </w:p>
        </w:tc>
        <w:tc>
          <w:tcPr>
            <w:tcW w:w="2452" w:type="dxa"/>
            <w:noWrap w:val="0"/>
            <w:vAlign w:val="center"/>
          </w:tcPr>
          <w:p>
            <w:pPr>
              <w:spacing w:before="0" w:beforeAutospacing="0" w:after="0" w:afterAutospacing="0" w:line="300" w:lineRule="exact"/>
              <w:rPr>
                <w:sz w:val="21"/>
                <w:szCs w:val="21"/>
              </w:rPr>
            </w:pPr>
            <w:r>
              <w:rPr>
                <w:sz w:val="21"/>
                <w:szCs w:val="21"/>
              </w:rPr>
              <w:t>≤40</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12.2</w:t>
            </w:r>
          </w:p>
        </w:tc>
        <w:tc>
          <w:tcPr>
            <w:tcW w:w="919" w:type="dxa"/>
            <w:noWrap w:val="0"/>
            <w:vAlign w:val="center"/>
          </w:tcPr>
          <w:p>
            <w:pPr>
              <w:spacing w:before="0" w:beforeAutospacing="0" w:after="0" w:afterAutospacing="0" w:line="300" w:lineRule="exact"/>
              <w:rPr>
                <w:sz w:val="21"/>
                <w:szCs w:val="21"/>
              </w:rPr>
            </w:pPr>
            <w:r>
              <w:rPr>
                <w:sz w:val="21"/>
                <w:szCs w:val="21"/>
              </w:rPr>
              <w:t>11.4</w:t>
            </w:r>
          </w:p>
        </w:tc>
        <w:tc>
          <w:tcPr>
            <w:tcW w:w="919" w:type="dxa"/>
            <w:noWrap w:val="0"/>
            <w:vAlign w:val="center"/>
          </w:tcPr>
          <w:p>
            <w:pPr>
              <w:spacing w:before="0" w:beforeAutospacing="0" w:after="0" w:afterAutospacing="0" w:line="300" w:lineRule="exact"/>
              <w:rPr>
                <w:sz w:val="21"/>
                <w:szCs w:val="21"/>
              </w:rPr>
            </w:pPr>
            <w:r>
              <w:rPr>
                <w:sz w:val="21"/>
                <w:szCs w:val="21"/>
              </w:rPr>
              <w:t>13.1</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BOD5</w:t>
            </w:r>
          </w:p>
        </w:tc>
        <w:tc>
          <w:tcPr>
            <w:tcW w:w="2452" w:type="dxa"/>
            <w:noWrap w:val="0"/>
            <w:vAlign w:val="center"/>
          </w:tcPr>
          <w:p>
            <w:pPr>
              <w:spacing w:before="0" w:beforeAutospacing="0" w:after="0" w:afterAutospacing="0" w:line="300" w:lineRule="exact"/>
              <w:rPr>
                <w:sz w:val="21"/>
                <w:szCs w:val="21"/>
              </w:rPr>
            </w:pPr>
            <w:r>
              <w:rPr>
                <w:sz w:val="21"/>
                <w:szCs w:val="21"/>
              </w:rPr>
              <w:t>≤10</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2.47</w:t>
            </w:r>
          </w:p>
        </w:tc>
        <w:tc>
          <w:tcPr>
            <w:tcW w:w="919" w:type="dxa"/>
            <w:noWrap w:val="0"/>
            <w:vAlign w:val="center"/>
          </w:tcPr>
          <w:p>
            <w:pPr>
              <w:spacing w:before="0" w:beforeAutospacing="0" w:after="0" w:afterAutospacing="0" w:line="300" w:lineRule="exact"/>
              <w:rPr>
                <w:sz w:val="21"/>
                <w:szCs w:val="21"/>
              </w:rPr>
            </w:pPr>
            <w:r>
              <w:rPr>
                <w:sz w:val="21"/>
                <w:szCs w:val="21"/>
              </w:rPr>
              <w:t>2.3</w:t>
            </w:r>
          </w:p>
        </w:tc>
        <w:tc>
          <w:tcPr>
            <w:tcW w:w="919" w:type="dxa"/>
            <w:noWrap w:val="0"/>
            <w:vAlign w:val="center"/>
          </w:tcPr>
          <w:p>
            <w:pPr>
              <w:spacing w:before="0" w:beforeAutospacing="0" w:after="0" w:afterAutospacing="0" w:line="300" w:lineRule="exact"/>
              <w:rPr>
                <w:sz w:val="21"/>
                <w:szCs w:val="21"/>
              </w:rPr>
            </w:pPr>
            <w:r>
              <w:rPr>
                <w:sz w:val="21"/>
                <w:szCs w:val="21"/>
              </w:rPr>
              <w:t>2.6</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氨氮</w:t>
            </w:r>
          </w:p>
        </w:tc>
        <w:tc>
          <w:tcPr>
            <w:tcW w:w="2452" w:type="dxa"/>
            <w:noWrap w:val="0"/>
            <w:vAlign w:val="center"/>
          </w:tcPr>
          <w:p>
            <w:pPr>
              <w:spacing w:before="0" w:beforeAutospacing="0" w:after="0" w:afterAutospacing="0" w:line="300" w:lineRule="exact"/>
              <w:rPr>
                <w:sz w:val="21"/>
                <w:szCs w:val="21"/>
              </w:rPr>
            </w:pPr>
            <w:r>
              <w:rPr>
                <w:sz w:val="21"/>
                <w:szCs w:val="21"/>
              </w:rPr>
              <w:t>≤1.5</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0.325</w:t>
            </w:r>
          </w:p>
        </w:tc>
        <w:tc>
          <w:tcPr>
            <w:tcW w:w="919" w:type="dxa"/>
            <w:noWrap w:val="0"/>
            <w:vAlign w:val="center"/>
          </w:tcPr>
          <w:p>
            <w:pPr>
              <w:spacing w:before="0" w:beforeAutospacing="0" w:after="0" w:afterAutospacing="0" w:line="300" w:lineRule="exact"/>
              <w:rPr>
                <w:sz w:val="21"/>
                <w:szCs w:val="21"/>
              </w:rPr>
            </w:pPr>
            <w:r>
              <w:rPr>
                <w:sz w:val="21"/>
                <w:szCs w:val="21"/>
              </w:rPr>
              <w:t>0.265</w:t>
            </w:r>
          </w:p>
        </w:tc>
        <w:tc>
          <w:tcPr>
            <w:tcW w:w="919" w:type="dxa"/>
            <w:noWrap w:val="0"/>
            <w:vAlign w:val="center"/>
          </w:tcPr>
          <w:p>
            <w:pPr>
              <w:spacing w:before="0" w:beforeAutospacing="0" w:after="0" w:afterAutospacing="0" w:line="300" w:lineRule="exact"/>
              <w:rPr>
                <w:sz w:val="21"/>
                <w:szCs w:val="21"/>
              </w:rPr>
            </w:pPr>
            <w:r>
              <w:rPr>
                <w:sz w:val="21"/>
                <w:szCs w:val="21"/>
              </w:rPr>
              <w:t>0.385</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总磷</w:t>
            </w:r>
          </w:p>
        </w:tc>
        <w:tc>
          <w:tcPr>
            <w:tcW w:w="2452" w:type="dxa"/>
            <w:noWrap w:val="0"/>
            <w:vAlign w:val="center"/>
          </w:tcPr>
          <w:p>
            <w:pPr>
              <w:spacing w:before="0" w:beforeAutospacing="0" w:after="0" w:afterAutospacing="0" w:line="300" w:lineRule="exact"/>
              <w:rPr>
                <w:sz w:val="21"/>
                <w:szCs w:val="21"/>
              </w:rPr>
            </w:pPr>
            <w:r>
              <w:rPr>
                <w:sz w:val="21"/>
                <w:szCs w:val="21"/>
              </w:rPr>
              <w:t>≤0.4</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0.042</w:t>
            </w:r>
          </w:p>
        </w:tc>
        <w:tc>
          <w:tcPr>
            <w:tcW w:w="919" w:type="dxa"/>
            <w:noWrap w:val="0"/>
            <w:vAlign w:val="center"/>
          </w:tcPr>
          <w:p>
            <w:pPr>
              <w:spacing w:before="0" w:beforeAutospacing="0" w:after="0" w:afterAutospacing="0" w:line="300" w:lineRule="exact"/>
              <w:rPr>
                <w:sz w:val="21"/>
                <w:szCs w:val="21"/>
              </w:rPr>
            </w:pPr>
            <w:r>
              <w:rPr>
                <w:sz w:val="21"/>
                <w:szCs w:val="21"/>
              </w:rPr>
              <w:t>0.039</w:t>
            </w:r>
          </w:p>
        </w:tc>
        <w:tc>
          <w:tcPr>
            <w:tcW w:w="919" w:type="dxa"/>
            <w:noWrap w:val="0"/>
            <w:vAlign w:val="center"/>
          </w:tcPr>
          <w:p>
            <w:pPr>
              <w:spacing w:before="0" w:beforeAutospacing="0" w:after="0" w:afterAutospacing="0" w:line="300" w:lineRule="exact"/>
              <w:rPr>
                <w:sz w:val="21"/>
                <w:szCs w:val="21"/>
              </w:rPr>
            </w:pPr>
            <w:r>
              <w:rPr>
                <w:sz w:val="21"/>
                <w:szCs w:val="21"/>
              </w:rPr>
              <w:t>0.046</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总氮</w:t>
            </w:r>
          </w:p>
        </w:tc>
        <w:tc>
          <w:tcPr>
            <w:tcW w:w="2452" w:type="dxa"/>
            <w:noWrap w:val="0"/>
            <w:vAlign w:val="center"/>
          </w:tcPr>
          <w:p>
            <w:pPr>
              <w:spacing w:before="0" w:beforeAutospacing="0" w:after="0" w:afterAutospacing="0" w:line="300" w:lineRule="exact"/>
              <w:rPr>
                <w:sz w:val="21"/>
                <w:szCs w:val="21"/>
              </w:rPr>
            </w:pPr>
            <w:r>
              <w:rPr>
                <w:sz w:val="21"/>
                <w:szCs w:val="21"/>
              </w:rPr>
              <w:t>—</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2.24</w:t>
            </w:r>
          </w:p>
        </w:tc>
        <w:tc>
          <w:tcPr>
            <w:tcW w:w="919" w:type="dxa"/>
            <w:noWrap w:val="0"/>
            <w:vAlign w:val="center"/>
          </w:tcPr>
          <w:p>
            <w:pPr>
              <w:spacing w:before="0" w:beforeAutospacing="0" w:after="0" w:afterAutospacing="0" w:line="300" w:lineRule="exact"/>
              <w:rPr>
                <w:sz w:val="21"/>
                <w:szCs w:val="21"/>
              </w:rPr>
            </w:pPr>
            <w:r>
              <w:rPr>
                <w:sz w:val="21"/>
                <w:szCs w:val="21"/>
              </w:rPr>
              <w:t>2.14</w:t>
            </w:r>
          </w:p>
        </w:tc>
        <w:tc>
          <w:tcPr>
            <w:tcW w:w="919" w:type="dxa"/>
            <w:noWrap w:val="0"/>
            <w:vAlign w:val="center"/>
          </w:tcPr>
          <w:p>
            <w:pPr>
              <w:spacing w:before="0" w:beforeAutospacing="0" w:after="0" w:afterAutospacing="0" w:line="300" w:lineRule="exact"/>
              <w:rPr>
                <w:sz w:val="21"/>
                <w:szCs w:val="21"/>
              </w:rPr>
            </w:pPr>
            <w:r>
              <w:rPr>
                <w:sz w:val="21"/>
                <w:szCs w:val="21"/>
              </w:rPr>
              <w:t>2.43</w:t>
            </w:r>
          </w:p>
        </w:tc>
        <w:tc>
          <w:tcPr>
            <w:tcW w:w="1109" w:type="dxa"/>
            <w:noWrap w:val="0"/>
            <w:vAlign w:val="center"/>
          </w:tcPr>
          <w:p>
            <w:pPr>
              <w:spacing w:before="0" w:beforeAutospacing="0" w:after="0" w:afterAutospacing="0" w:line="300" w:lineRule="exact"/>
              <w:rPr>
                <w:sz w:val="21"/>
                <w:szCs w:val="21"/>
              </w:rPr>
            </w:pPr>
            <w:r>
              <w:rPr>
                <w:sz w:val="21"/>
                <w:szCs w:val="21"/>
              </w:rPr>
              <w:t>—</w:t>
            </w:r>
          </w:p>
        </w:tc>
        <w:tc>
          <w:tcPr>
            <w:tcW w:w="1129" w:type="dxa"/>
            <w:noWrap w:val="0"/>
            <w:vAlign w:val="center"/>
          </w:tcPr>
          <w:p>
            <w:pPr>
              <w:spacing w:before="0" w:beforeAutospacing="0" w:after="0" w:afterAutospacing="0" w:line="300" w:lineRule="exact"/>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noWrap w:val="0"/>
            <w:vAlign w:val="center"/>
          </w:tcPr>
          <w:p>
            <w:pPr>
              <w:spacing w:before="0" w:beforeAutospacing="0" w:after="0" w:afterAutospacing="0" w:line="300" w:lineRule="exact"/>
              <w:rPr>
                <w:sz w:val="21"/>
                <w:szCs w:val="21"/>
              </w:rPr>
            </w:pPr>
            <w:r>
              <w:rPr>
                <w:sz w:val="21"/>
                <w:szCs w:val="21"/>
              </w:rPr>
              <w:t>石油类</w:t>
            </w:r>
          </w:p>
        </w:tc>
        <w:tc>
          <w:tcPr>
            <w:tcW w:w="2452" w:type="dxa"/>
            <w:noWrap w:val="0"/>
            <w:vAlign w:val="center"/>
          </w:tcPr>
          <w:p>
            <w:pPr>
              <w:spacing w:before="0" w:beforeAutospacing="0" w:after="0" w:afterAutospacing="0" w:line="300" w:lineRule="exact"/>
              <w:rPr>
                <w:sz w:val="21"/>
                <w:szCs w:val="21"/>
              </w:rPr>
            </w:pPr>
            <w:r>
              <w:rPr>
                <w:sz w:val="21"/>
                <w:szCs w:val="21"/>
              </w:rPr>
              <w:t>≤1.0</w:t>
            </w:r>
          </w:p>
        </w:tc>
        <w:tc>
          <w:tcPr>
            <w:tcW w:w="919" w:type="dxa"/>
            <w:noWrap w:val="0"/>
            <w:vAlign w:val="center"/>
          </w:tcPr>
          <w:p>
            <w:pPr>
              <w:spacing w:before="0" w:beforeAutospacing="0" w:after="0" w:afterAutospacing="0" w:line="300" w:lineRule="exact"/>
              <w:rPr>
                <w:sz w:val="21"/>
                <w:szCs w:val="21"/>
              </w:rPr>
            </w:pPr>
            <w:r>
              <w:rPr>
                <w:sz w:val="21"/>
                <w:szCs w:val="21"/>
              </w:rPr>
              <w:t>3</w:t>
            </w:r>
          </w:p>
        </w:tc>
        <w:tc>
          <w:tcPr>
            <w:tcW w:w="919" w:type="dxa"/>
            <w:noWrap w:val="0"/>
            <w:vAlign w:val="center"/>
          </w:tcPr>
          <w:p>
            <w:pPr>
              <w:spacing w:before="0" w:beforeAutospacing="0" w:after="0" w:afterAutospacing="0" w:line="300" w:lineRule="exact"/>
              <w:rPr>
                <w:sz w:val="21"/>
                <w:szCs w:val="21"/>
              </w:rPr>
            </w:pPr>
            <w:r>
              <w:rPr>
                <w:sz w:val="21"/>
                <w:szCs w:val="21"/>
              </w:rPr>
              <w:t>0.1L</w:t>
            </w:r>
          </w:p>
        </w:tc>
        <w:tc>
          <w:tcPr>
            <w:tcW w:w="919" w:type="dxa"/>
            <w:noWrap w:val="0"/>
            <w:vAlign w:val="center"/>
          </w:tcPr>
          <w:p>
            <w:pPr>
              <w:spacing w:before="0" w:beforeAutospacing="0" w:after="0" w:afterAutospacing="0" w:line="300" w:lineRule="exact"/>
              <w:rPr>
                <w:sz w:val="21"/>
                <w:szCs w:val="21"/>
              </w:rPr>
            </w:pPr>
            <w:r>
              <w:rPr>
                <w:sz w:val="21"/>
                <w:szCs w:val="21"/>
              </w:rPr>
              <w:t>0.1L</w:t>
            </w:r>
          </w:p>
        </w:tc>
        <w:tc>
          <w:tcPr>
            <w:tcW w:w="919" w:type="dxa"/>
            <w:noWrap w:val="0"/>
            <w:vAlign w:val="center"/>
          </w:tcPr>
          <w:p>
            <w:pPr>
              <w:spacing w:before="0" w:beforeAutospacing="0" w:after="0" w:afterAutospacing="0" w:line="300" w:lineRule="exact"/>
              <w:rPr>
                <w:sz w:val="21"/>
                <w:szCs w:val="21"/>
              </w:rPr>
            </w:pPr>
            <w:r>
              <w:rPr>
                <w:sz w:val="21"/>
                <w:szCs w:val="21"/>
              </w:rPr>
              <w:t>0.1L</w:t>
            </w:r>
          </w:p>
        </w:tc>
        <w:tc>
          <w:tcPr>
            <w:tcW w:w="1109" w:type="dxa"/>
            <w:noWrap w:val="0"/>
            <w:vAlign w:val="center"/>
          </w:tcPr>
          <w:p>
            <w:pPr>
              <w:spacing w:before="0" w:beforeAutospacing="0" w:after="0" w:afterAutospacing="0" w:line="300" w:lineRule="exact"/>
              <w:rPr>
                <w:sz w:val="21"/>
                <w:szCs w:val="21"/>
              </w:rPr>
            </w:pPr>
            <w:r>
              <w:rPr>
                <w:sz w:val="21"/>
                <w:szCs w:val="21"/>
              </w:rPr>
              <w:t>0</w:t>
            </w:r>
          </w:p>
        </w:tc>
        <w:tc>
          <w:tcPr>
            <w:tcW w:w="1129" w:type="dxa"/>
            <w:noWrap w:val="0"/>
            <w:vAlign w:val="center"/>
          </w:tcPr>
          <w:p>
            <w:pPr>
              <w:spacing w:before="0" w:beforeAutospacing="0" w:after="0" w:afterAutospacing="0" w:line="300" w:lineRule="exact"/>
              <w:rPr>
                <w:sz w:val="21"/>
                <w:szCs w:val="21"/>
              </w:rPr>
            </w:pPr>
            <w:r>
              <w:rPr>
                <w:sz w:val="21"/>
                <w:szCs w:val="21"/>
              </w:rPr>
              <w:t>0.1</w:t>
            </w:r>
          </w:p>
        </w:tc>
      </w:tr>
    </w:tbl>
    <w:p>
      <w:pPr>
        <w:spacing w:line="440" w:lineRule="exact"/>
        <w:rPr>
          <w:sz w:val="18"/>
          <w:szCs w:val="18"/>
        </w:rPr>
      </w:pPr>
      <w:r>
        <w:rPr>
          <w:sz w:val="18"/>
          <w:szCs w:val="18"/>
        </w:rPr>
        <w:t>注：“L”表示该项目未检出，报出结果为该项目的检出限；水样表观描述：无色、无味、无沉淀。</w:t>
      </w:r>
    </w:p>
    <w:p>
      <w:pPr>
        <w:spacing w:line="440" w:lineRule="exact"/>
      </w:pPr>
    </w:p>
    <w:p>
      <w:pPr>
        <w:spacing w:line="440" w:lineRule="exact"/>
        <w:ind w:firstLine="420" w:firstLineChars="200"/>
        <w:rPr>
          <w:rFonts w:hint="eastAsia"/>
        </w:rPr>
        <w:sectPr>
          <w:footerReference r:id="rId15" w:type="default"/>
          <w:footerReference r:id="rId16" w:type="even"/>
          <w:pgSz w:w="11906" w:h="16838"/>
          <w:pgMar w:top="1418" w:right="1418" w:bottom="1418" w:left="1418" w:header="851" w:footer="992" w:gutter="0"/>
          <w:paperSrc w:first="20070" w:other="20070"/>
          <w:cols w:space="425" w:num="1"/>
          <w:docGrid w:linePitch="312" w:charSpace="0"/>
        </w:sectPr>
      </w:pPr>
    </w:p>
    <w:p>
      <w:pPr>
        <w:spacing w:line="360" w:lineRule="auto"/>
        <w:outlineLvl w:val="1"/>
        <w:rPr>
          <w:b/>
          <w:bCs/>
        </w:rPr>
      </w:pPr>
      <w:bookmarkStart w:id="273" w:name="_Toc276372241"/>
      <w:r>
        <w:rPr>
          <w:rFonts w:hint="eastAsia"/>
          <w:b/>
          <w:bCs/>
        </w:rPr>
        <w:t>6.3</w:t>
      </w:r>
      <w:r>
        <w:rPr>
          <w:b/>
          <w:bCs/>
        </w:rPr>
        <w:t xml:space="preserve"> 声环境质量现状监测与评价</w:t>
      </w:r>
      <w:bookmarkEnd w:id="273"/>
    </w:p>
    <w:p>
      <w:pPr>
        <w:spacing w:line="360" w:lineRule="auto"/>
        <w:rPr>
          <w:b/>
          <w:bCs/>
        </w:rPr>
      </w:pPr>
      <w:r>
        <w:rPr>
          <w:rFonts w:hint="eastAsia"/>
          <w:b/>
          <w:bCs/>
        </w:rPr>
        <w:t>6.3</w:t>
      </w:r>
      <w:r>
        <w:rPr>
          <w:b/>
          <w:bCs/>
        </w:rPr>
        <w:t>.1 环境噪声现状监测基本情况</w:t>
      </w:r>
    </w:p>
    <w:p>
      <w:pPr>
        <w:spacing w:line="360" w:lineRule="auto"/>
        <w:ind w:firstLine="567"/>
      </w:pPr>
      <w:r>
        <w:t>（1）监测布点</w:t>
      </w:r>
    </w:p>
    <w:p>
      <w:pPr>
        <w:spacing w:line="360" w:lineRule="auto"/>
        <w:ind w:firstLine="567"/>
      </w:pPr>
      <w:r>
        <w:t>在</w:t>
      </w:r>
      <w:r>
        <w:rPr>
          <w:rFonts w:hint="eastAsia"/>
        </w:rPr>
        <w:t>技改项目</w:t>
      </w:r>
      <w:r>
        <w:t>厂界</w:t>
      </w:r>
      <w:r>
        <w:rPr>
          <w:rFonts w:hint="eastAsia"/>
        </w:rPr>
        <w:t>四周（东</w:t>
      </w:r>
      <w:r>
        <w:t>、</w:t>
      </w:r>
      <w:r>
        <w:rPr>
          <w:rFonts w:hint="eastAsia"/>
        </w:rPr>
        <w:t>南</w:t>
      </w:r>
      <w:r>
        <w:t>、</w:t>
      </w:r>
      <w:r>
        <w:rPr>
          <w:rFonts w:hint="eastAsia"/>
        </w:rPr>
        <w:t>西</w:t>
      </w:r>
      <w:r>
        <w:t>、</w:t>
      </w:r>
      <w:r>
        <w:rPr>
          <w:rFonts w:hint="eastAsia"/>
        </w:rPr>
        <w:t>北）共</w:t>
      </w:r>
      <w:r>
        <w:t>设</w:t>
      </w:r>
      <w:r>
        <w:rPr>
          <w:rFonts w:hint="eastAsia"/>
        </w:rPr>
        <w:t>4</w:t>
      </w:r>
      <w:r>
        <w:t>个噪声现状监测点。监测点位参见图6.3-1。</w:t>
      </w:r>
    </w:p>
    <w:p>
      <w:pPr>
        <w:spacing w:line="360" w:lineRule="auto"/>
        <w:ind w:firstLine="420" w:firstLineChars="200"/>
      </w:pPr>
      <w:r>
        <w:t>（2）监测方法及仪器</w:t>
      </w:r>
    </w:p>
    <w:p>
      <w:pPr>
        <w:spacing w:line="360" w:lineRule="auto"/>
        <w:ind w:firstLine="420" w:firstLineChars="200"/>
      </w:pPr>
      <w:r>
        <w:t>按《</w:t>
      </w:r>
      <w:r>
        <w:rPr>
          <w:rFonts w:hint="eastAsia"/>
        </w:rPr>
        <w:t>声环境质量标准</w:t>
      </w:r>
      <w:r>
        <w:t>》（GB</w:t>
      </w:r>
      <w:r>
        <w:rPr>
          <w:rFonts w:hint="eastAsia"/>
        </w:rPr>
        <w:t>3096-2008</w:t>
      </w:r>
      <w:r>
        <w:t>）规定方法监测；监测仪器采用</w:t>
      </w:r>
      <w:r>
        <w:rPr>
          <w:rFonts w:hint="eastAsia"/>
        </w:rPr>
        <w:t>AWA6218B噪声统计分析仪</w:t>
      </w:r>
      <w:r>
        <w:t>。</w:t>
      </w:r>
    </w:p>
    <w:p>
      <w:pPr>
        <w:spacing w:line="360" w:lineRule="auto"/>
        <w:ind w:firstLine="420" w:firstLineChars="200"/>
      </w:pPr>
      <w:r>
        <w:t>（3）监测内容</w:t>
      </w:r>
    </w:p>
    <w:p>
      <w:pPr>
        <w:spacing w:line="360" w:lineRule="auto"/>
        <w:ind w:firstLine="420" w:firstLineChars="200"/>
      </w:pPr>
      <w:r>
        <w:t>昼、夜等效A声级值。</w:t>
      </w:r>
    </w:p>
    <w:p>
      <w:pPr>
        <w:spacing w:line="360" w:lineRule="auto"/>
        <w:ind w:firstLine="420" w:firstLineChars="200"/>
      </w:pPr>
      <w:r>
        <w:t>（4）监测频率及时间</w:t>
      </w:r>
    </w:p>
    <w:p>
      <w:pPr>
        <w:spacing w:line="360" w:lineRule="auto"/>
        <w:ind w:firstLine="420" w:firstLineChars="200"/>
      </w:pPr>
      <w:r>
        <w:t>20</w:t>
      </w:r>
      <w:r>
        <w:rPr>
          <w:rFonts w:hint="eastAsia"/>
        </w:rPr>
        <w:t>10</w:t>
      </w:r>
      <w:r>
        <w:t>年8月</w:t>
      </w:r>
      <w:r>
        <w:rPr>
          <w:rFonts w:hint="eastAsia"/>
        </w:rPr>
        <w:t>2</w:t>
      </w:r>
      <w:r>
        <w:t>日～</w:t>
      </w:r>
      <w:r>
        <w:rPr>
          <w:rFonts w:hint="eastAsia"/>
        </w:rPr>
        <w:t>3</w:t>
      </w:r>
      <w:r>
        <w:t>日，昼、夜各监测1次。</w:t>
      </w:r>
    </w:p>
    <w:p>
      <w:pPr>
        <w:spacing w:line="360" w:lineRule="auto"/>
        <w:rPr>
          <w:b/>
          <w:bCs/>
        </w:rPr>
      </w:pPr>
      <w:r>
        <w:rPr>
          <w:rFonts w:hint="eastAsia"/>
          <w:b/>
          <w:bCs/>
        </w:rPr>
        <w:t>6</w:t>
      </w:r>
      <w:r>
        <w:rPr>
          <w:b/>
          <w:bCs/>
        </w:rPr>
        <w:t>.10.2 噪声现状监测结果与评价</w:t>
      </w:r>
    </w:p>
    <w:p>
      <w:pPr>
        <w:spacing w:line="360" w:lineRule="auto"/>
        <w:ind w:firstLine="567"/>
      </w:pPr>
      <w:r>
        <w:t>噪声现状监测结果见表</w:t>
      </w:r>
      <w:r>
        <w:rPr>
          <w:rFonts w:hint="eastAsia"/>
        </w:rPr>
        <w:t>6-6</w:t>
      </w:r>
      <w:r>
        <w:t>。噪声评价方法采用与标准值比较评述法。</w:t>
      </w:r>
    </w:p>
    <w:p>
      <w:pPr>
        <w:spacing w:line="440" w:lineRule="exact"/>
        <w:jc w:val="center"/>
      </w:pPr>
      <w:r>
        <w:rPr>
          <w:b/>
        </w:rPr>
        <w:t>表</w:t>
      </w:r>
      <w:r>
        <w:rPr>
          <w:rFonts w:hint="eastAsia"/>
          <w:b/>
        </w:rPr>
        <w:t>6-6</w:t>
      </w:r>
      <w:r>
        <w:rPr>
          <w:b/>
        </w:rPr>
        <w:t xml:space="preserve">  噪声监测结果一览表</w:t>
      </w:r>
      <w:r>
        <w:t xml:space="preserve">  单位：dB</w:t>
      </w:r>
    </w:p>
    <w:tbl>
      <w:tblPr>
        <w:tblStyle w:val="20"/>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489"/>
        <w:gridCol w:w="1391"/>
        <w:gridCol w:w="1446"/>
        <w:gridCol w:w="1203"/>
        <w:gridCol w:w="8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restart"/>
            <w:noWrap w:val="0"/>
            <w:vAlign w:val="center"/>
          </w:tcPr>
          <w:p>
            <w:pPr>
              <w:spacing w:line="300" w:lineRule="exact"/>
              <w:jc w:val="center"/>
              <w:rPr>
                <w:sz w:val="21"/>
                <w:szCs w:val="21"/>
              </w:rPr>
            </w:pPr>
            <w:r>
              <w:rPr>
                <w:sz w:val="21"/>
                <w:szCs w:val="21"/>
              </w:rPr>
              <w:t>监测时间</w:t>
            </w:r>
          </w:p>
        </w:tc>
        <w:tc>
          <w:tcPr>
            <w:tcW w:w="1489" w:type="dxa"/>
            <w:vMerge w:val="restart"/>
            <w:noWrap w:val="0"/>
            <w:vAlign w:val="center"/>
          </w:tcPr>
          <w:p>
            <w:pPr>
              <w:spacing w:line="300" w:lineRule="exact"/>
              <w:jc w:val="center"/>
              <w:rPr>
                <w:sz w:val="21"/>
                <w:szCs w:val="21"/>
              </w:rPr>
            </w:pPr>
            <w:r>
              <w:rPr>
                <w:sz w:val="21"/>
                <w:szCs w:val="21"/>
              </w:rPr>
              <w:t>监测点位</w:t>
            </w:r>
          </w:p>
        </w:tc>
        <w:tc>
          <w:tcPr>
            <w:tcW w:w="1391" w:type="dxa"/>
            <w:vMerge w:val="restart"/>
            <w:noWrap w:val="0"/>
            <w:vAlign w:val="center"/>
          </w:tcPr>
          <w:p>
            <w:pPr>
              <w:spacing w:line="300" w:lineRule="exact"/>
              <w:jc w:val="center"/>
              <w:rPr>
                <w:sz w:val="21"/>
                <w:szCs w:val="21"/>
              </w:rPr>
            </w:pPr>
            <w:r>
              <w:rPr>
                <w:sz w:val="21"/>
                <w:szCs w:val="21"/>
              </w:rPr>
              <w:t>昼间</w:t>
            </w:r>
          </w:p>
        </w:tc>
        <w:tc>
          <w:tcPr>
            <w:tcW w:w="1446" w:type="dxa"/>
            <w:vMerge w:val="restart"/>
            <w:noWrap w:val="0"/>
            <w:vAlign w:val="center"/>
          </w:tcPr>
          <w:p>
            <w:pPr>
              <w:spacing w:line="300" w:lineRule="exact"/>
              <w:jc w:val="center"/>
              <w:rPr>
                <w:sz w:val="21"/>
                <w:szCs w:val="21"/>
              </w:rPr>
            </w:pPr>
            <w:r>
              <w:rPr>
                <w:sz w:val="21"/>
                <w:szCs w:val="21"/>
              </w:rPr>
              <w:t>夜间</w:t>
            </w:r>
          </w:p>
        </w:tc>
        <w:tc>
          <w:tcPr>
            <w:tcW w:w="1203" w:type="dxa"/>
            <w:vMerge w:val="restart"/>
            <w:noWrap w:val="0"/>
            <w:vAlign w:val="center"/>
          </w:tcPr>
          <w:p>
            <w:pPr>
              <w:spacing w:line="300" w:lineRule="exact"/>
              <w:jc w:val="center"/>
              <w:rPr>
                <w:sz w:val="21"/>
                <w:szCs w:val="21"/>
              </w:rPr>
            </w:pPr>
            <w:r>
              <w:rPr>
                <w:sz w:val="21"/>
                <w:szCs w:val="21"/>
              </w:rPr>
              <w:t>环境特征</w:t>
            </w:r>
          </w:p>
        </w:tc>
        <w:tc>
          <w:tcPr>
            <w:tcW w:w="2040" w:type="dxa"/>
            <w:gridSpan w:val="2"/>
            <w:noWrap w:val="0"/>
            <w:vAlign w:val="center"/>
          </w:tcPr>
          <w:p>
            <w:pPr>
              <w:spacing w:line="300" w:lineRule="exact"/>
              <w:jc w:val="center"/>
              <w:rPr>
                <w:sz w:val="21"/>
                <w:szCs w:val="21"/>
              </w:rPr>
            </w:pPr>
            <w:r>
              <w:rPr>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vMerge w:val="continue"/>
            <w:noWrap w:val="0"/>
            <w:vAlign w:val="center"/>
          </w:tcPr>
          <w:p>
            <w:pPr>
              <w:spacing w:line="300" w:lineRule="exact"/>
              <w:jc w:val="left"/>
              <w:rPr>
                <w:spacing w:val="-20"/>
                <w:sz w:val="21"/>
                <w:szCs w:val="21"/>
              </w:rPr>
            </w:pPr>
          </w:p>
        </w:tc>
        <w:tc>
          <w:tcPr>
            <w:tcW w:w="1391" w:type="dxa"/>
            <w:vMerge w:val="continue"/>
            <w:noWrap w:val="0"/>
            <w:vAlign w:val="center"/>
          </w:tcPr>
          <w:p>
            <w:pPr>
              <w:spacing w:line="300" w:lineRule="exact"/>
              <w:jc w:val="center"/>
              <w:rPr>
                <w:sz w:val="21"/>
                <w:szCs w:val="21"/>
              </w:rPr>
            </w:pPr>
          </w:p>
        </w:tc>
        <w:tc>
          <w:tcPr>
            <w:tcW w:w="1446" w:type="dxa"/>
            <w:vMerge w:val="continue"/>
            <w:noWrap w:val="0"/>
            <w:vAlign w:val="center"/>
          </w:tcPr>
          <w:p>
            <w:pPr>
              <w:spacing w:line="300" w:lineRule="exact"/>
              <w:jc w:val="center"/>
              <w:rPr>
                <w:sz w:val="21"/>
                <w:szCs w:val="21"/>
              </w:rPr>
            </w:pPr>
          </w:p>
        </w:tc>
        <w:tc>
          <w:tcPr>
            <w:tcW w:w="1203" w:type="dxa"/>
            <w:vMerge w:val="continue"/>
            <w:noWrap w:val="0"/>
            <w:vAlign w:val="center"/>
          </w:tcPr>
          <w:p>
            <w:pPr>
              <w:spacing w:line="300" w:lineRule="exact"/>
              <w:jc w:val="center"/>
              <w:rPr>
                <w:sz w:val="21"/>
                <w:szCs w:val="21"/>
              </w:rPr>
            </w:pPr>
          </w:p>
        </w:tc>
        <w:tc>
          <w:tcPr>
            <w:tcW w:w="860" w:type="dxa"/>
            <w:noWrap w:val="0"/>
            <w:vAlign w:val="center"/>
          </w:tcPr>
          <w:p>
            <w:pPr>
              <w:spacing w:line="300" w:lineRule="exact"/>
              <w:jc w:val="center"/>
              <w:rPr>
                <w:sz w:val="21"/>
                <w:szCs w:val="21"/>
              </w:rPr>
            </w:pPr>
            <w:r>
              <w:rPr>
                <w:sz w:val="21"/>
                <w:szCs w:val="21"/>
              </w:rPr>
              <w:t>昼间</w:t>
            </w:r>
          </w:p>
        </w:tc>
        <w:tc>
          <w:tcPr>
            <w:tcW w:w="1180" w:type="dxa"/>
            <w:noWrap w:val="0"/>
            <w:vAlign w:val="center"/>
          </w:tcPr>
          <w:p>
            <w:pPr>
              <w:spacing w:line="300" w:lineRule="exact"/>
              <w:jc w:val="center"/>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restart"/>
            <w:noWrap w:val="0"/>
            <w:vAlign w:val="center"/>
          </w:tcPr>
          <w:p>
            <w:pPr>
              <w:spacing w:line="300" w:lineRule="exact"/>
              <w:jc w:val="center"/>
              <w:rPr>
                <w:rFonts w:hint="eastAsia"/>
                <w:sz w:val="21"/>
                <w:szCs w:val="21"/>
              </w:rPr>
            </w:pPr>
            <w:r>
              <w:rPr>
                <w:sz w:val="21"/>
                <w:szCs w:val="21"/>
              </w:rPr>
              <w:t>20</w:t>
            </w:r>
            <w:r>
              <w:rPr>
                <w:rFonts w:hint="eastAsia"/>
                <w:sz w:val="21"/>
                <w:szCs w:val="21"/>
              </w:rPr>
              <w:t>10</w:t>
            </w:r>
            <w:r>
              <w:rPr>
                <w:sz w:val="21"/>
                <w:szCs w:val="21"/>
              </w:rPr>
              <w:t>.8.</w:t>
            </w:r>
            <w:r>
              <w:rPr>
                <w:rFonts w:hint="eastAsia"/>
                <w:sz w:val="21"/>
                <w:szCs w:val="21"/>
              </w:rPr>
              <w:t>2</w:t>
            </w:r>
          </w:p>
        </w:tc>
        <w:tc>
          <w:tcPr>
            <w:tcW w:w="1489" w:type="dxa"/>
            <w:noWrap w:val="0"/>
            <w:vAlign w:val="center"/>
          </w:tcPr>
          <w:p>
            <w:pPr>
              <w:spacing w:line="300" w:lineRule="exact"/>
              <w:jc w:val="center"/>
              <w:rPr>
                <w:sz w:val="21"/>
                <w:szCs w:val="21"/>
              </w:rPr>
            </w:pPr>
            <w:r>
              <w:rPr>
                <w:sz w:val="21"/>
                <w:szCs w:val="21"/>
              </w:rPr>
              <w:t>1#</w:t>
            </w:r>
          </w:p>
        </w:tc>
        <w:tc>
          <w:tcPr>
            <w:tcW w:w="1391" w:type="dxa"/>
            <w:noWrap w:val="0"/>
            <w:vAlign w:val="center"/>
          </w:tcPr>
          <w:p>
            <w:pPr>
              <w:spacing w:line="300" w:lineRule="exact"/>
              <w:jc w:val="center"/>
              <w:rPr>
                <w:rFonts w:hint="eastAsia"/>
                <w:sz w:val="21"/>
                <w:szCs w:val="21"/>
              </w:rPr>
            </w:pPr>
            <w:r>
              <w:rPr>
                <w:rFonts w:hint="eastAsia"/>
                <w:sz w:val="21"/>
                <w:szCs w:val="21"/>
              </w:rPr>
              <w:t>56.3</w:t>
            </w:r>
          </w:p>
        </w:tc>
        <w:tc>
          <w:tcPr>
            <w:tcW w:w="1446" w:type="dxa"/>
            <w:noWrap w:val="0"/>
            <w:vAlign w:val="center"/>
          </w:tcPr>
          <w:p>
            <w:pPr>
              <w:spacing w:line="300" w:lineRule="exact"/>
              <w:jc w:val="center"/>
              <w:rPr>
                <w:rFonts w:hint="eastAsia"/>
                <w:sz w:val="21"/>
                <w:szCs w:val="21"/>
              </w:rPr>
            </w:pPr>
            <w:r>
              <w:rPr>
                <w:rFonts w:hint="eastAsia"/>
                <w:sz w:val="21"/>
                <w:szCs w:val="21"/>
              </w:rPr>
              <w:t>46.8</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2#</w:t>
            </w:r>
          </w:p>
        </w:tc>
        <w:tc>
          <w:tcPr>
            <w:tcW w:w="1391" w:type="dxa"/>
            <w:noWrap w:val="0"/>
            <w:vAlign w:val="center"/>
          </w:tcPr>
          <w:p>
            <w:pPr>
              <w:spacing w:line="300" w:lineRule="exact"/>
              <w:jc w:val="center"/>
              <w:rPr>
                <w:rFonts w:hint="eastAsia"/>
                <w:sz w:val="21"/>
                <w:szCs w:val="21"/>
              </w:rPr>
            </w:pPr>
            <w:r>
              <w:rPr>
                <w:rFonts w:hint="eastAsia"/>
                <w:sz w:val="21"/>
                <w:szCs w:val="21"/>
              </w:rPr>
              <w:t>56.8</w:t>
            </w:r>
          </w:p>
        </w:tc>
        <w:tc>
          <w:tcPr>
            <w:tcW w:w="1446" w:type="dxa"/>
            <w:noWrap w:val="0"/>
            <w:vAlign w:val="center"/>
          </w:tcPr>
          <w:p>
            <w:pPr>
              <w:spacing w:line="300" w:lineRule="exact"/>
              <w:jc w:val="center"/>
              <w:rPr>
                <w:rFonts w:hint="eastAsia"/>
                <w:sz w:val="21"/>
                <w:szCs w:val="21"/>
              </w:rPr>
            </w:pPr>
            <w:r>
              <w:rPr>
                <w:rFonts w:hint="eastAsia"/>
                <w:sz w:val="21"/>
                <w:szCs w:val="21"/>
              </w:rPr>
              <w:t>48.5</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3#</w:t>
            </w:r>
          </w:p>
        </w:tc>
        <w:tc>
          <w:tcPr>
            <w:tcW w:w="1391" w:type="dxa"/>
            <w:noWrap w:val="0"/>
            <w:vAlign w:val="center"/>
          </w:tcPr>
          <w:p>
            <w:pPr>
              <w:spacing w:line="300" w:lineRule="exact"/>
              <w:jc w:val="center"/>
              <w:rPr>
                <w:rFonts w:hint="eastAsia"/>
                <w:sz w:val="21"/>
                <w:szCs w:val="21"/>
              </w:rPr>
            </w:pPr>
            <w:r>
              <w:rPr>
                <w:rFonts w:hint="eastAsia"/>
                <w:sz w:val="21"/>
                <w:szCs w:val="21"/>
              </w:rPr>
              <w:t>52.2</w:t>
            </w:r>
          </w:p>
        </w:tc>
        <w:tc>
          <w:tcPr>
            <w:tcW w:w="1446" w:type="dxa"/>
            <w:noWrap w:val="0"/>
            <w:vAlign w:val="center"/>
          </w:tcPr>
          <w:p>
            <w:pPr>
              <w:spacing w:line="300" w:lineRule="exact"/>
              <w:jc w:val="center"/>
              <w:rPr>
                <w:rFonts w:hint="eastAsia"/>
                <w:sz w:val="21"/>
                <w:szCs w:val="21"/>
              </w:rPr>
            </w:pPr>
            <w:r>
              <w:rPr>
                <w:rFonts w:hint="eastAsia"/>
                <w:sz w:val="21"/>
                <w:szCs w:val="21"/>
              </w:rPr>
              <w:t>43.8</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4#</w:t>
            </w:r>
          </w:p>
        </w:tc>
        <w:tc>
          <w:tcPr>
            <w:tcW w:w="1391" w:type="dxa"/>
            <w:noWrap w:val="0"/>
            <w:vAlign w:val="center"/>
          </w:tcPr>
          <w:p>
            <w:pPr>
              <w:spacing w:line="300" w:lineRule="exact"/>
              <w:jc w:val="center"/>
              <w:rPr>
                <w:rFonts w:hint="eastAsia"/>
                <w:sz w:val="21"/>
                <w:szCs w:val="21"/>
              </w:rPr>
            </w:pPr>
            <w:r>
              <w:rPr>
                <w:rFonts w:hint="eastAsia"/>
                <w:sz w:val="21"/>
                <w:szCs w:val="21"/>
              </w:rPr>
              <w:t>54.1</w:t>
            </w:r>
          </w:p>
        </w:tc>
        <w:tc>
          <w:tcPr>
            <w:tcW w:w="1446" w:type="dxa"/>
            <w:noWrap w:val="0"/>
            <w:vAlign w:val="center"/>
          </w:tcPr>
          <w:p>
            <w:pPr>
              <w:spacing w:line="300" w:lineRule="exact"/>
              <w:jc w:val="center"/>
              <w:rPr>
                <w:rFonts w:hint="eastAsia"/>
                <w:sz w:val="21"/>
                <w:szCs w:val="21"/>
              </w:rPr>
            </w:pPr>
            <w:r>
              <w:rPr>
                <w:rFonts w:hint="eastAsia"/>
                <w:sz w:val="21"/>
                <w:szCs w:val="21"/>
              </w:rPr>
              <w:t>46.1</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restart"/>
            <w:noWrap w:val="0"/>
            <w:vAlign w:val="center"/>
          </w:tcPr>
          <w:p>
            <w:pPr>
              <w:spacing w:line="300" w:lineRule="exact"/>
              <w:jc w:val="center"/>
              <w:rPr>
                <w:rFonts w:hint="eastAsia"/>
                <w:sz w:val="21"/>
                <w:szCs w:val="21"/>
              </w:rPr>
            </w:pPr>
            <w:r>
              <w:rPr>
                <w:sz w:val="21"/>
                <w:szCs w:val="21"/>
              </w:rPr>
              <w:t>20</w:t>
            </w:r>
            <w:r>
              <w:rPr>
                <w:rFonts w:hint="eastAsia"/>
                <w:sz w:val="21"/>
                <w:szCs w:val="21"/>
              </w:rPr>
              <w:t>10</w:t>
            </w:r>
            <w:r>
              <w:rPr>
                <w:sz w:val="21"/>
                <w:szCs w:val="21"/>
              </w:rPr>
              <w:t>.8.</w:t>
            </w:r>
            <w:r>
              <w:rPr>
                <w:rFonts w:hint="eastAsia"/>
                <w:sz w:val="21"/>
                <w:szCs w:val="21"/>
              </w:rPr>
              <w:t>3</w:t>
            </w:r>
          </w:p>
        </w:tc>
        <w:tc>
          <w:tcPr>
            <w:tcW w:w="1489" w:type="dxa"/>
            <w:noWrap w:val="0"/>
            <w:vAlign w:val="center"/>
          </w:tcPr>
          <w:p>
            <w:pPr>
              <w:spacing w:line="300" w:lineRule="exact"/>
              <w:jc w:val="center"/>
              <w:rPr>
                <w:sz w:val="21"/>
                <w:szCs w:val="21"/>
              </w:rPr>
            </w:pPr>
            <w:r>
              <w:rPr>
                <w:sz w:val="21"/>
                <w:szCs w:val="21"/>
              </w:rPr>
              <w:t>1#</w:t>
            </w:r>
          </w:p>
        </w:tc>
        <w:tc>
          <w:tcPr>
            <w:tcW w:w="1391" w:type="dxa"/>
            <w:noWrap w:val="0"/>
            <w:vAlign w:val="center"/>
          </w:tcPr>
          <w:p>
            <w:pPr>
              <w:spacing w:line="300" w:lineRule="exact"/>
              <w:jc w:val="center"/>
              <w:rPr>
                <w:rFonts w:hint="eastAsia"/>
                <w:sz w:val="21"/>
                <w:szCs w:val="21"/>
              </w:rPr>
            </w:pPr>
            <w:r>
              <w:rPr>
                <w:rFonts w:hint="eastAsia"/>
                <w:sz w:val="21"/>
                <w:szCs w:val="21"/>
              </w:rPr>
              <w:t>53.6</w:t>
            </w:r>
          </w:p>
        </w:tc>
        <w:tc>
          <w:tcPr>
            <w:tcW w:w="1446" w:type="dxa"/>
            <w:noWrap w:val="0"/>
            <w:vAlign w:val="center"/>
          </w:tcPr>
          <w:p>
            <w:pPr>
              <w:spacing w:line="300" w:lineRule="exact"/>
              <w:jc w:val="center"/>
              <w:rPr>
                <w:rFonts w:hint="eastAsia"/>
                <w:sz w:val="21"/>
                <w:szCs w:val="21"/>
              </w:rPr>
            </w:pPr>
            <w:r>
              <w:rPr>
                <w:rFonts w:hint="eastAsia"/>
                <w:sz w:val="21"/>
                <w:szCs w:val="21"/>
              </w:rPr>
              <w:t>45.2</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2#</w:t>
            </w:r>
          </w:p>
        </w:tc>
        <w:tc>
          <w:tcPr>
            <w:tcW w:w="1391" w:type="dxa"/>
            <w:noWrap w:val="0"/>
            <w:vAlign w:val="center"/>
          </w:tcPr>
          <w:p>
            <w:pPr>
              <w:spacing w:line="300" w:lineRule="exact"/>
              <w:jc w:val="center"/>
              <w:rPr>
                <w:rFonts w:hint="eastAsia"/>
                <w:sz w:val="21"/>
                <w:szCs w:val="21"/>
              </w:rPr>
            </w:pPr>
            <w:r>
              <w:rPr>
                <w:rFonts w:hint="eastAsia"/>
                <w:sz w:val="21"/>
                <w:szCs w:val="21"/>
              </w:rPr>
              <w:t>53.1</w:t>
            </w:r>
          </w:p>
        </w:tc>
        <w:tc>
          <w:tcPr>
            <w:tcW w:w="1446" w:type="dxa"/>
            <w:noWrap w:val="0"/>
            <w:vAlign w:val="center"/>
          </w:tcPr>
          <w:p>
            <w:pPr>
              <w:spacing w:line="300" w:lineRule="exact"/>
              <w:jc w:val="center"/>
              <w:rPr>
                <w:rFonts w:hint="eastAsia"/>
                <w:sz w:val="21"/>
                <w:szCs w:val="21"/>
              </w:rPr>
            </w:pPr>
            <w:r>
              <w:rPr>
                <w:rFonts w:hint="eastAsia"/>
                <w:sz w:val="21"/>
                <w:szCs w:val="21"/>
              </w:rPr>
              <w:t>45.1</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3#</w:t>
            </w:r>
          </w:p>
        </w:tc>
        <w:tc>
          <w:tcPr>
            <w:tcW w:w="1391" w:type="dxa"/>
            <w:noWrap w:val="0"/>
            <w:vAlign w:val="center"/>
          </w:tcPr>
          <w:p>
            <w:pPr>
              <w:spacing w:line="300" w:lineRule="exact"/>
              <w:jc w:val="center"/>
              <w:rPr>
                <w:rFonts w:hint="eastAsia"/>
                <w:sz w:val="21"/>
                <w:szCs w:val="21"/>
              </w:rPr>
            </w:pPr>
            <w:r>
              <w:rPr>
                <w:rFonts w:hint="eastAsia"/>
                <w:sz w:val="21"/>
                <w:szCs w:val="21"/>
              </w:rPr>
              <w:t>51.8</w:t>
            </w:r>
          </w:p>
        </w:tc>
        <w:tc>
          <w:tcPr>
            <w:tcW w:w="1446" w:type="dxa"/>
            <w:noWrap w:val="0"/>
            <w:vAlign w:val="center"/>
          </w:tcPr>
          <w:p>
            <w:pPr>
              <w:spacing w:line="300" w:lineRule="exact"/>
              <w:jc w:val="center"/>
              <w:rPr>
                <w:rFonts w:hint="eastAsia"/>
                <w:sz w:val="21"/>
                <w:szCs w:val="21"/>
              </w:rPr>
            </w:pPr>
            <w:r>
              <w:rPr>
                <w:rFonts w:hint="eastAsia"/>
                <w:sz w:val="21"/>
                <w:szCs w:val="21"/>
              </w:rPr>
              <w:t>41.3</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25" w:type="dxa"/>
            <w:vMerge w:val="continue"/>
            <w:noWrap w:val="0"/>
            <w:vAlign w:val="center"/>
          </w:tcPr>
          <w:p>
            <w:pPr>
              <w:spacing w:line="300" w:lineRule="exact"/>
              <w:jc w:val="center"/>
              <w:rPr>
                <w:sz w:val="21"/>
                <w:szCs w:val="21"/>
              </w:rPr>
            </w:pPr>
          </w:p>
        </w:tc>
        <w:tc>
          <w:tcPr>
            <w:tcW w:w="1489" w:type="dxa"/>
            <w:noWrap w:val="0"/>
            <w:vAlign w:val="center"/>
          </w:tcPr>
          <w:p>
            <w:pPr>
              <w:spacing w:line="300" w:lineRule="exact"/>
              <w:jc w:val="center"/>
              <w:rPr>
                <w:sz w:val="21"/>
                <w:szCs w:val="21"/>
              </w:rPr>
            </w:pPr>
            <w:r>
              <w:rPr>
                <w:sz w:val="21"/>
                <w:szCs w:val="21"/>
              </w:rPr>
              <w:t>4#</w:t>
            </w:r>
          </w:p>
        </w:tc>
        <w:tc>
          <w:tcPr>
            <w:tcW w:w="1391" w:type="dxa"/>
            <w:noWrap w:val="0"/>
            <w:vAlign w:val="center"/>
          </w:tcPr>
          <w:p>
            <w:pPr>
              <w:spacing w:line="300" w:lineRule="exact"/>
              <w:jc w:val="center"/>
              <w:rPr>
                <w:rFonts w:hint="eastAsia"/>
                <w:sz w:val="21"/>
                <w:szCs w:val="21"/>
              </w:rPr>
            </w:pPr>
            <w:r>
              <w:rPr>
                <w:rFonts w:hint="eastAsia"/>
                <w:sz w:val="21"/>
                <w:szCs w:val="21"/>
              </w:rPr>
              <w:t>52.3</w:t>
            </w:r>
          </w:p>
        </w:tc>
        <w:tc>
          <w:tcPr>
            <w:tcW w:w="1446" w:type="dxa"/>
            <w:noWrap w:val="0"/>
            <w:vAlign w:val="center"/>
          </w:tcPr>
          <w:p>
            <w:pPr>
              <w:spacing w:line="300" w:lineRule="exact"/>
              <w:jc w:val="center"/>
              <w:rPr>
                <w:rFonts w:hint="eastAsia"/>
                <w:sz w:val="21"/>
                <w:szCs w:val="21"/>
              </w:rPr>
            </w:pPr>
            <w:r>
              <w:rPr>
                <w:rFonts w:hint="eastAsia"/>
                <w:sz w:val="21"/>
                <w:szCs w:val="21"/>
              </w:rPr>
              <w:t>44.1</w:t>
            </w:r>
          </w:p>
        </w:tc>
        <w:tc>
          <w:tcPr>
            <w:tcW w:w="1203" w:type="dxa"/>
            <w:noWrap w:val="0"/>
            <w:vAlign w:val="center"/>
          </w:tcPr>
          <w:p>
            <w:pPr>
              <w:spacing w:line="300" w:lineRule="exact"/>
              <w:jc w:val="center"/>
              <w:rPr>
                <w:sz w:val="21"/>
                <w:szCs w:val="21"/>
              </w:rPr>
            </w:pPr>
            <w:r>
              <w:rPr>
                <w:sz w:val="21"/>
                <w:szCs w:val="21"/>
              </w:rPr>
              <w:t>厂界</w:t>
            </w:r>
          </w:p>
        </w:tc>
        <w:tc>
          <w:tcPr>
            <w:tcW w:w="860" w:type="dxa"/>
            <w:noWrap w:val="0"/>
            <w:vAlign w:val="center"/>
          </w:tcPr>
          <w:p>
            <w:pPr>
              <w:spacing w:line="300" w:lineRule="exact"/>
              <w:jc w:val="center"/>
              <w:rPr>
                <w:rFonts w:hint="eastAsia"/>
                <w:sz w:val="21"/>
                <w:szCs w:val="21"/>
              </w:rPr>
            </w:pPr>
            <w:r>
              <w:rPr>
                <w:rFonts w:hint="eastAsia"/>
                <w:sz w:val="21"/>
                <w:szCs w:val="21"/>
              </w:rPr>
              <w:t>60</w:t>
            </w:r>
          </w:p>
        </w:tc>
        <w:tc>
          <w:tcPr>
            <w:tcW w:w="1180" w:type="dxa"/>
            <w:noWrap w:val="0"/>
            <w:vAlign w:val="center"/>
          </w:tcPr>
          <w:p>
            <w:pPr>
              <w:spacing w:line="300" w:lineRule="exact"/>
              <w:jc w:val="center"/>
              <w:rPr>
                <w:rFonts w:hint="eastAsia"/>
                <w:sz w:val="21"/>
                <w:szCs w:val="21"/>
              </w:rPr>
            </w:pPr>
            <w:r>
              <w:rPr>
                <w:rFonts w:hint="eastAsia"/>
                <w:sz w:val="21"/>
                <w:szCs w:val="21"/>
              </w:rPr>
              <w:t>50</w:t>
            </w:r>
          </w:p>
        </w:tc>
      </w:tr>
    </w:tbl>
    <w:p>
      <w:pPr>
        <w:spacing w:line="360" w:lineRule="auto"/>
        <w:ind w:firstLine="420" w:firstLineChars="200"/>
        <w:rPr>
          <w:rFonts w:hint="eastAsia"/>
        </w:rPr>
      </w:pPr>
    </w:p>
    <w:p>
      <w:pPr>
        <w:spacing w:line="360" w:lineRule="auto"/>
        <w:ind w:firstLine="420" w:firstLineChars="200"/>
      </w:pPr>
      <w:r>
        <w:t>由表</w:t>
      </w:r>
      <w:r>
        <w:rPr>
          <w:rFonts w:hint="eastAsia"/>
        </w:rPr>
        <w:t>6-6</w:t>
      </w:r>
      <w:r>
        <w:t>可知： 1#～</w:t>
      </w:r>
      <w:r>
        <w:rPr>
          <w:rFonts w:hint="eastAsia"/>
        </w:rPr>
        <w:t>4</w:t>
      </w:r>
      <w:r>
        <w:t>#点噪声监测值昼间为</w:t>
      </w:r>
      <w:r>
        <w:rPr>
          <w:rFonts w:hint="eastAsia"/>
        </w:rPr>
        <w:t>51.8</w:t>
      </w:r>
      <w:r>
        <w:t>～5</w:t>
      </w:r>
      <w:r>
        <w:rPr>
          <w:rFonts w:hint="eastAsia"/>
        </w:rPr>
        <w:t>6.8d</w:t>
      </w:r>
      <w:r>
        <w:t>B，夜间</w:t>
      </w:r>
      <w:r>
        <w:rPr>
          <w:rFonts w:hint="eastAsia"/>
        </w:rPr>
        <w:t>41.3</w:t>
      </w:r>
      <w:r>
        <w:t>～</w:t>
      </w:r>
      <w:r>
        <w:rPr>
          <w:rFonts w:hint="eastAsia"/>
        </w:rPr>
        <w:t>48.5</w:t>
      </w:r>
      <w:r>
        <w:t>dB，各监测点昼间、夜间噪声监测值均满足《</w:t>
      </w:r>
      <w:r>
        <w:rPr>
          <w:rFonts w:hint="eastAsia"/>
        </w:rPr>
        <w:t>声环境质量标准</w:t>
      </w:r>
      <w:r>
        <w:t>》</w:t>
      </w:r>
      <w:r>
        <w:rPr>
          <w:rFonts w:hint="eastAsia"/>
        </w:rPr>
        <w:t>（GB3096-2008）2</w:t>
      </w:r>
      <w:r>
        <w:t>类标准要求。</w:t>
      </w:r>
    </w:p>
    <w:p>
      <w:pPr>
        <w:spacing w:line="360" w:lineRule="auto"/>
        <w:ind w:firstLine="420" w:firstLineChars="200"/>
      </w:pPr>
      <w:r>
        <w:t>综合以上分析，区域环境质量现状较好，有环境容量，无明显制约</w:t>
      </w:r>
      <w:r>
        <w:rPr>
          <w:rFonts w:hint="eastAsia"/>
        </w:rPr>
        <w:t>技改</w:t>
      </w:r>
      <w:r>
        <w:t>建设的环境问题。</w:t>
      </w:r>
    </w:p>
    <w:bookmarkEnd w:id="267"/>
    <w:bookmarkEnd w:id="268"/>
    <w:bookmarkEnd w:id="269"/>
    <w:p>
      <w:pPr>
        <w:spacing w:line="360" w:lineRule="auto"/>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80" w:lineRule="exact"/>
        <w:rPr>
          <w:rFonts w:hint="eastAsia" w:ascii="宋体" w:hAnsi="宋体"/>
        </w:rPr>
      </w:pPr>
    </w:p>
    <w:p>
      <w:pPr>
        <w:spacing w:line="460" w:lineRule="exact"/>
        <w:outlineLvl w:val="0"/>
        <w:rPr>
          <w:b/>
          <w:bCs/>
          <w:sz w:val="28"/>
          <w:szCs w:val="28"/>
        </w:rPr>
        <w:sectPr>
          <w:pgSz w:w="11906" w:h="16838"/>
          <w:pgMar w:top="1134" w:right="1418" w:bottom="1134" w:left="1418" w:header="851" w:footer="992" w:gutter="0"/>
          <w:paperSrc w:first="20070" w:other="20070"/>
          <w:cols w:space="425" w:num="1"/>
          <w:docGrid w:linePitch="312" w:charSpace="0"/>
        </w:sectPr>
      </w:pPr>
      <w:bookmarkStart w:id="274" w:name="_Toc175479821"/>
      <w:bookmarkStart w:id="275" w:name="_Toc189814163"/>
      <w:bookmarkStart w:id="276" w:name="_Toc473281521"/>
    </w:p>
    <w:p>
      <w:pPr>
        <w:spacing w:line="360" w:lineRule="auto"/>
        <w:outlineLvl w:val="0"/>
        <w:rPr>
          <w:b/>
          <w:bCs/>
          <w:sz w:val="28"/>
          <w:szCs w:val="28"/>
        </w:rPr>
      </w:pPr>
      <w:bookmarkStart w:id="277" w:name="_Toc276372242"/>
      <w:r>
        <w:rPr>
          <w:rFonts w:hint="eastAsia"/>
          <w:b/>
          <w:bCs/>
          <w:sz w:val="28"/>
          <w:szCs w:val="28"/>
        </w:rPr>
        <w:t>7</w:t>
      </w:r>
      <w:r>
        <w:rPr>
          <w:b/>
          <w:bCs/>
          <w:sz w:val="28"/>
          <w:szCs w:val="28"/>
        </w:rPr>
        <w:t>施工期环境影响分析</w:t>
      </w:r>
      <w:bookmarkEnd w:id="274"/>
      <w:bookmarkEnd w:id="275"/>
      <w:bookmarkEnd w:id="276"/>
      <w:r>
        <w:rPr>
          <w:b/>
          <w:bCs/>
          <w:sz w:val="28"/>
          <w:szCs w:val="28"/>
        </w:rPr>
        <w:t>及水土保持初步方案</w:t>
      </w:r>
      <w:bookmarkEnd w:id="277"/>
    </w:p>
    <w:p>
      <w:pPr>
        <w:spacing w:line="360" w:lineRule="auto"/>
        <w:outlineLvl w:val="1"/>
        <w:rPr>
          <w:rFonts w:hint="eastAsia"/>
          <w:b/>
        </w:rPr>
      </w:pPr>
      <w:bookmarkStart w:id="278" w:name="_Toc189814164"/>
      <w:bookmarkStart w:id="279" w:name="_Toc165607381"/>
      <w:bookmarkStart w:id="280" w:name="_Toc473281522"/>
      <w:bookmarkStart w:id="281" w:name="_Toc175479822"/>
      <w:bookmarkStart w:id="282" w:name="_Toc276372243"/>
      <w:r>
        <w:rPr>
          <w:rFonts w:hint="eastAsia"/>
          <w:b/>
          <w:bCs/>
        </w:rPr>
        <w:t>7</w:t>
      </w:r>
      <w:r>
        <w:rPr>
          <w:b/>
          <w:bCs/>
        </w:rPr>
        <w:t>.1</w:t>
      </w:r>
      <w:bookmarkEnd w:id="278"/>
      <w:bookmarkEnd w:id="279"/>
      <w:bookmarkEnd w:id="280"/>
      <w:bookmarkEnd w:id="281"/>
      <w:r>
        <w:rPr>
          <w:b/>
        </w:rPr>
        <w:t>主要施工内容及施工方法</w:t>
      </w:r>
      <w:bookmarkEnd w:id="282"/>
    </w:p>
    <w:p>
      <w:pPr>
        <w:spacing w:line="360" w:lineRule="auto"/>
        <w:rPr>
          <w:b/>
          <w:bCs/>
        </w:rPr>
      </w:pPr>
      <w:r>
        <w:rPr>
          <w:rFonts w:hint="eastAsia"/>
          <w:b/>
          <w:bCs/>
        </w:rPr>
        <w:t xml:space="preserve">7.1.1 </w:t>
      </w:r>
      <w:r>
        <w:rPr>
          <w:b/>
          <w:bCs/>
        </w:rPr>
        <w:t>施工内容</w:t>
      </w:r>
    </w:p>
    <w:p>
      <w:pPr>
        <w:adjustRightInd w:val="0"/>
        <w:snapToGrid w:val="0"/>
        <w:spacing w:line="360" w:lineRule="auto"/>
        <w:ind w:firstLine="420" w:firstLineChars="200"/>
        <w:jc w:val="left"/>
      </w:pPr>
      <w:r>
        <w:t>根据厂区的建设内容，</w:t>
      </w:r>
      <w:r>
        <w:rPr>
          <w:rFonts w:hint="eastAsia"/>
        </w:rPr>
        <w:t>技改</w:t>
      </w:r>
      <w:r>
        <w:t>施工内容主要有：旧厂房拆</w:t>
      </w:r>
      <w:r>
        <w:rPr>
          <w:rFonts w:hint="eastAsia"/>
        </w:rPr>
        <w:t>除</w:t>
      </w:r>
      <w:r>
        <w:t>、开挖和回填土石方、场地平整、浇混凝土垫层、现浇混凝土、预制构件安装、厂区道路建设、给排水管网系统建设和绿化建设等。</w:t>
      </w:r>
    </w:p>
    <w:p>
      <w:pPr>
        <w:spacing w:line="360" w:lineRule="auto"/>
        <w:rPr>
          <w:b/>
          <w:bCs/>
        </w:rPr>
      </w:pPr>
      <w:r>
        <w:rPr>
          <w:rFonts w:hint="eastAsia"/>
          <w:b/>
          <w:bCs/>
        </w:rPr>
        <w:t xml:space="preserve">7.1.2 </w:t>
      </w:r>
      <w:r>
        <w:rPr>
          <w:b/>
          <w:bCs/>
        </w:rPr>
        <w:t>主要施工机械</w:t>
      </w:r>
    </w:p>
    <w:p>
      <w:pPr>
        <w:adjustRightInd w:val="0"/>
        <w:snapToGrid w:val="0"/>
        <w:spacing w:line="360" w:lineRule="auto"/>
        <w:ind w:firstLine="420" w:firstLineChars="200"/>
        <w:jc w:val="left"/>
      </w:pPr>
      <w:r>
        <w:t>施工机械主要有：挖掘机、推土机、打桩机、载重汽车、混凝土搅拌机、振捣棒、重型碾压机、起重机等。</w:t>
      </w:r>
    </w:p>
    <w:p>
      <w:pPr>
        <w:spacing w:line="360" w:lineRule="auto"/>
        <w:outlineLvl w:val="1"/>
        <w:rPr>
          <w:rFonts w:hint="eastAsia"/>
          <w:b/>
          <w:bCs/>
        </w:rPr>
      </w:pPr>
      <w:bookmarkStart w:id="283" w:name="_Toc238263239"/>
      <w:bookmarkStart w:id="284" w:name="_Toc227653654"/>
      <w:bookmarkStart w:id="285" w:name="_Toc276372244"/>
      <w:r>
        <w:rPr>
          <w:b/>
          <w:bCs/>
        </w:rPr>
        <w:t>7.2  主要污染源及污染防治对策</w:t>
      </w:r>
      <w:bookmarkEnd w:id="283"/>
      <w:bookmarkEnd w:id="284"/>
      <w:bookmarkEnd w:id="285"/>
    </w:p>
    <w:p>
      <w:pPr>
        <w:adjustRightInd w:val="0"/>
        <w:snapToGrid w:val="0"/>
        <w:spacing w:line="360" w:lineRule="auto"/>
        <w:ind w:firstLine="630"/>
        <w:jc w:val="left"/>
      </w:pPr>
      <w:r>
        <w:rPr>
          <w:rFonts w:hint="eastAsia"/>
        </w:rPr>
        <w:t>技改项目</w:t>
      </w:r>
      <w:r>
        <w:t>建设可分为旧厂房拆</w:t>
      </w:r>
      <w:r>
        <w:rPr>
          <w:rFonts w:hint="eastAsia"/>
        </w:rPr>
        <w:t>除</w:t>
      </w:r>
      <w:r>
        <w:t>、土石方开挖、打桩、建筑结构、设备安装调试4个阶段。各项施工活动将不可避免地对周围环境产生影响，主要包括废气和粉尘、噪声、固体废物、废水等对周围环境的影响，其中以粉尘和施工噪声影响较为明显。不同施工阶段主要污染源及污染物排放情况见表7</w:t>
      </w:r>
      <w:r>
        <w:rPr>
          <w:rFonts w:hint="eastAsia"/>
        </w:rPr>
        <w:t>-</w:t>
      </w:r>
      <w:r>
        <w:t>1。</w:t>
      </w:r>
    </w:p>
    <w:p>
      <w:pPr>
        <w:adjustRightInd w:val="0"/>
        <w:snapToGrid w:val="0"/>
        <w:spacing w:line="348" w:lineRule="auto"/>
        <w:ind w:firstLine="630"/>
        <w:jc w:val="center"/>
        <w:rPr>
          <w:b/>
          <w:snapToGrid w:val="0"/>
          <w:spacing w:val="8"/>
          <w:kern w:val="0"/>
        </w:rPr>
      </w:pPr>
      <w:r>
        <w:rPr>
          <w:b/>
          <w:snapToGrid w:val="0"/>
          <w:spacing w:val="8"/>
          <w:kern w:val="0"/>
        </w:rPr>
        <w:t>表7</w:t>
      </w:r>
      <w:r>
        <w:rPr>
          <w:rFonts w:hint="eastAsia"/>
          <w:b/>
          <w:snapToGrid w:val="0"/>
          <w:spacing w:val="8"/>
          <w:kern w:val="0"/>
        </w:rPr>
        <w:t>-</w:t>
      </w:r>
      <w:r>
        <w:rPr>
          <w:b/>
          <w:snapToGrid w:val="0"/>
          <w:spacing w:val="8"/>
          <w:kern w:val="0"/>
        </w:rPr>
        <w:t>1  不同施工阶段主要污染源及污染物排放情况</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4077"/>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12"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施工阶段</w:t>
            </w:r>
          </w:p>
        </w:tc>
        <w:tc>
          <w:tcPr>
            <w:tcW w:w="4077" w:type="dxa"/>
            <w:tcBorders>
              <w:top w:val="single" w:color="000000" w:sz="12" w:space="0"/>
              <w:left w:val="single" w:color="000000" w:sz="4" w:space="0"/>
              <w:bottom w:val="single" w:color="000000" w:sz="12"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主要污染源</w:t>
            </w:r>
          </w:p>
        </w:tc>
        <w:tc>
          <w:tcPr>
            <w:tcW w:w="3028" w:type="dxa"/>
            <w:tcBorders>
              <w:top w:val="single" w:color="000000" w:sz="12" w:space="0"/>
              <w:left w:val="single" w:color="000000" w:sz="4" w:space="0"/>
              <w:bottom w:val="single" w:color="000000" w:sz="12" w:space="0"/>
              <w:right w:val="single" w:color="000000" w:sz="12"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12" w:space="0"/>
              <w:right w:val="single" w:color="000000" w:sz="4" w:space="0"/>
            </w:tcBorders>
            <w:noWrap w:val="0"/>
            <w:vAlign w:val="center"/>
          </w:tcPr>
          <w:p>
            <w:pPr>
              <w:adjustRightInd w:val="0"/>
              <w:snapToGrid w:val="0"/>
              <w:spacing w:after="60" w:line="240" w:lineRule="atLeast"/>
              <w:rPr>
                <w:snapToGrid w:val="0"/>
                <w:spacing w:val="8"/>
                <w:kern w:val="0"/>
                <w:sz w:val="21"/>
                <w:szCs w:val="21"/>
              </w:rPr>
            </w:pPr>
            <w:r>
              <w:rPr>
                <w:sz w:val="21"/>
                <w:szCs w:val="21"/>
              </w:rPr>
              <w:t>旧厂房</w:t>
            </w:r>
            <w:r>
              <w:rPr>
                <w:snapToGrid w:val="0"/>
                <w:spacing w:val="8"/>
                <w:kern w:val="0"/>
                <w:sz w:val="21"/>
                <w:szCs w:val="21"/>
              </w:rPr>
              <w:t>拆</w:t>
            </w:r>
            <w:r>
              <w:rPr>
                <w:rFonts w:hint="eastAsia"/>
                <w:snapToGrid w:val="0"/>
                <w:spacing w:val="8"/>
                <w:kern w:val="0"/>
                <w:sz w:val="21"/>
                <w:szCs w:val="21"/>
              </w:rPr>
              <w:t>除</w:t>
            </w:r>
          </w:p>
        </w:tc>
        <w:tc>
          <w:tcPr>
            <w:tcW w:w="4077" w:type="dxa"/>
            <w:tcBorders>
              <w:top w:val="single" w:color="000000" w:sz="12" w:space="0"/>
              <w:left w:val="single" w:color="000000" w:sz="4" w:space="0"/>
              <w:bottom w:val="single" w:color="000000" w:sz="12" w:space="0"/>
              <w:right w:val="single" w:color="000000" w:sz="4" w:space="0"/>
            </w:tcBorders>
            <w:noWrap w:val="0"/>
            <w:vAlign w:val="center"/>
          </w:tcPr>
          <w:p>
            <w:pPr>
              <w:adjustRightInd w:val="0"/>
              <w:snapToGrid w:val="0"/>
              <w:spacing w:after="60" w:line="240" w:lineRule="atLeast"/>
              <w:ind w:firstLine="512"/>
              <w:jc w:val="center"/>
              <w:rPr>
                <w:rFonts w:hint="eastAsia"/>
                <w:snapToGrid w:val="0"/>
                <w:spacing w:val="8"/>
                <w:kern w:val="0"/>
                <w:sz w:val="21"/>
                <w:szCs w:val="21"/>
              </w:rPr>
            </w:pPr>
            <w:r>
              <w:rPr>
                <w:rFonts w:hint="eastAsia"/>
                <w:snapToGrid w:val="0"/>
                <w:spacing w:val="8"/>
                <w:kern w:val="0"/>
                <w:sz w:val="21"/>
                <w:szCs w:val="21"/>
              </w:rPr>
              <w:t>废旧厂房、</w:t>
            </w:r>
            <w:r>
              <w:rPr>
                <w:snapToGrid w:val="0"/>
                <w:spacing w:val="8"/>
                <w:kern w:val="0"/>
                <w:sz w:val="21"/>
                <w:szCs w:val="21"/>
              </w:rPr>
              <w:t>吊车、升降机、切割</w:t>
            </w:r>
            <w:r>
              <w:rPr>
                <w:rFonts w:hint="eastAsia"/>
                <w:snapToGrid w:val="0"/>
                <w:spacing w:val="8"/>
                <w:kern w:val="0"/>
                <w:sz w:val="21"/>
                <w:szCs w:val="21"/>
              </w:rPr>
              <w:t>机</w:t>
            </w:r>
          </w:p>
        </w:tc>
        <w:tc>
          <w:tcPr>
            <w:tcW w:w="3028" w:type="dxa"/>
            <w:tcBorders>
              <w:top w:val="single" w:color="000000" w:sz="12" w:space="0"/>
              <w:left w:val="single" w:color="000000" w:sz="4" w:space="0"/>
              <w:bottom w:val="single" w:color="000000" w:sz="12" w:space="0"/>
              <w:right w:val="single" w:color="000000" w:sz="12"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扬尘、噪声、垃圾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12" w:space="0"/>
              <w:left w:val="single" w:color="000000" w:sz="12" w:space="0"/>
              <w:bottom w:val="single" w:color="000000" w:sz="4" w:space="0"/>
              <w:right w:val="single" w:color="000000" w:sz="4" w:space="0"/>
            </w:tcBorders>
            <w:noWrap w:val="0"/>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土石方开挖阶段</w:t>
            </w:r>
          </w:p>
        </w:tc>
        <w:tc>
          <w:tcPr>
            <w:tcW w:w="4077"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裸露地面、土方堆场、挖掘机、推土机、铲车、运输卡车</w:t>
            </w:r>
          </w:p>
        </w:tc>
        <w:tc>
          <w:tcPr>
            <w:tcW w:w="3028" w:type="dxa"/>
            <w:tcBorders>
              <w:top w:val="single" w:color="000000" w:sz="12" w:space="0"/>
              <w:left w:val="single" w:color="000000" w:sz="4" w:space="0"/>
              <w:bottom w:val="single" w:color="000000" w:sz="4" w:space="0"/>
              <w:right w:val="single" w:color="000000" w:sz="12" w:space="0"/>
            </w:tcBorders>
            <w:noWrap w:val="0"/>
            <w:vAlign w:val="center"/>
          </w:tcPr>
          <w:p>
            <w:pPr>
              <w:adjustRightInd w:val="0"/>
              <w:snapToGrid w:val="0"/>
              <w:spacing w:after="60" w:line="240" w:lineRule="atLeast"/>
              <w:ind w:firstLine="512"/>
              <w:rPr>
                <w:rFonts w:hint="eastAsia"/>
                <w:snapToGrid w:val="0"/>
                <w:spacing w:val="8"/>
                <w:kern w:val="0"/>
                <w:sz w:val="21"/>
                <w:szCs w:val="21"/>
              </w:rPr>
            </w:pPr>
            <w:r>
              <w:rPr>
                <w:snapToGrid w:val="0"/>
                <w:spacing w:val="8"/>
                <w:kern w:val="0"/>
                <w:sz w:val="21"/>
                <w:szCs w:val="21"/>
              </w:rPr>
              <w:t>扬尘、噪声、垃圾、</w:t>
            </w:r>
          </w:p>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车辆尾气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4"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打桩阶段</w:t>
            </w:r>
          </w:p>
        </w:tc>
        <w:tc>
          <w:tcPr>
            <w:tcW w:w="407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打桩机、运输卡车等</w:t>
            </w:r>
          </w:p>
        </w:tc>
        <w:tc>
          <w:tcPr>
            <w:tcW w:w="3028"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扬尘、噪声、车辆尾气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4" w:space="0"/>
              <w:right w:val="single" w:color="000000" w:sz="4" w:space="0"/>
            </w:tcBorders>
            <w:noWrap w:val="0"/>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建筑结构阶段</w:t>
            </w:r>
          </w:p>
        </w:tc>
        <w:tc>
          <w:tcPr>
            <w:tcW w:w="407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after="60" w:line="240" w:lineRule="atLeast"/>
              <w:ind w:firstLine="512"/>
              <w:jc w:val="center"/>
              <w:rPr>
                <w:rFonts w:hint="eastAsia"/>
                <w:snapToGrid w:val="0"/>
                <w:spacing w:val="8"/>
                <w:kern w:val="0"/>
                <w:sz w:val="21"/>
                <w:szCs w:val="21"/>
              </w:rPr>
            </w:pPr>
            <w:r>
              <w:rPr>
                <w:snapToGrid w:val="0"/>
                <w:spacing w:val="8"/>
                <w:kern w:val="0"/>
                <w:sz w:val="21"/>
                <w:szCs w:val="21"/>
              </w:rPr>
              <w:t>建材堆场、进出场地车辆、</w:t>
            </w:r>
          </w:p>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振捣棒</w:t>
            </w:r>
          </w:p>
        </w:tc>
        <w:tc>
          <w:tcPr>
            <w:tcW w:w="3028"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after="60" w:line="240" w:lineRule="atLeast"/>
              <w:ind w:firstLine="512"/>
              <w:rPr>
                <w:rFonts w:hint="eastAsia"/>
                <w:snapToGrid w:val="0"/>
                <w:spacing w:val="8"/>
                <w:kern w:val="0"/>
                <w:sz w:val="21"/>
                <w:szCs w:val="21"/>
              </w:rPr>
            </w:pPr>
            <w:r>
              <w:rPr>
                <w:snapToGrid w:val="0"/>
                <w:spacing w:val="8"/>
                <w:kern w:val="0"/>
                <w:sz w:val="21"/>
                <w:szCs w:val="21"/>
              </w:rPr>
              <w:t>扬尘、噪声、垃圾、</w:t>
            </w:r>
          </w:p>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车辆尾气、施工排水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tcBorders>
              <w:top w:val="single" w:color="000000" w:sz="4" w:space="0"/>
              <w:left w:val="single" w:color="000000" w:sz="12" w:space="0"/>
              <w:bottom w:val="single" w:color="000000" w:sz="12" w:space="0"/>
              <w:right w:val="single" w:color="000000" w:sz="4" w:space="0"/>
            </w:tcBorders>
            <w:noWrap w:val="0"/>
            <w:vAlign w:val="center"/>
          </w:tcPr>
          <w:p>
            <w:pPr>
              <w:adjustRightInd w:val="0"/>
              <w:snapToGrid w:val="0"/>
              <w:spacing w:after="60" w:line="240" w:lineRule="atLeast"/>
              <w:rPr>
                <w:snapToGrid w:val="0"/>
                <w:spacing w:val="8"/>
                <w:kern w:val="0"/>
                <w:sz w:val="21"/>
                <w:szCs w:val="21"/>
              </w:rPr>
            </w:pPr>
            <w:r>
              <w:rPr>
                <w:snapToGrid w:val="0"/>
                <w:spacing w:val="8"/>
                <w:kern w:val="0"/>
                <w:sz w:val="21"/>
                <w:szCs w:val="21"/>
              </w:rPr>
              <w:t>设备安装调试阶段</w:t>
            </w:r>
          </w:p>
        </w:tc>
        <w:tc>
          <w:tcPr>
            <w:tcW w:w="4077"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after="60" w:line="240" w:lineRule="atLeast"/>
              <w:ind w:firstLine="512"/>
              <w:jc w:val="center"/>
              <w:rPr>
                <w:snapToGrid w:val="0"/>
                <w:spacing w:val="8"/>
                <w:kern w:val="0"/>
                <w:sz w:val="21"/>
                <w:szCs w:val="21"/>
              </w:rPr>
            </w:pPr>
            <w:r>
              <w:rPr>
                <w:snapToGrid w:val="0"/>
                <w:spacing w:val="8"/>
                <w:kern w:val="0"/>
                <w:sz w:val="21"/>
                <w:szCs w:val="21"/>
              </w:rPr>
              <w:t>吊车、升降机、切割等机械</w:t>
            </w:r>
          </w:p>
        </w:tc>
        <w:tc>
          <w:tcPr>
            <w:tcW w:w="3028" w:type="dxa"/>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after="60" w:line="240" w:lineRule="atLeast"/>
              <w:ind w:firstLine="512"/>
              <w:rPr>
                <w:snapToGrid w:val="0"/>
                <w:spacing w:val="8"/>
                <w:kern w:val="0"/>
                <w:sz w:val="21"/>
                <w:szCs w:val="21"/>
              </w:rPr>
            </w:pPr>
            <w:r>
              <w:rPr>
                <w:snapToGrid w:val="0"/>
                <w:spacing w:val="8"/>
                <w:kern w:val="0"/>
                <w:sz w:val="21"/>
                <w:szCs w:val="21"/>
              </w:rPr>
              <w:t>噪声、垃圾、车辆尾气</w:t>
            </w:r>
          </w:p>
        </w:tc>
      </w:tr>
    </w:tbl>
    <w:p>
      <w:pPr>
        <w:adjustRightInd w:val="0"/>
        <w:snapToGrid w:val="0"/>
        <w:spacing w:line="348" w:lineRule="auto"/>
        <w:ind w:firstLine="630"/>
        <w:jc w:val="left"/>
        <w:rPr>
          <w:snapToGrid w:val="0"/>
          <w:spacing w:val="8"/>
          <w:kern w:val="0"/>
          <w:sz w:val="28"/>
        </w:rPr>
      </w:pPr>
    </w:p>
    <w:p>
      <w:pPr>
        <w:adjustRightInd w:val="0"/>
        <w:snapToGrid w:val="0"/>
        <w:spacing w:line="360" w:lineRule="auto"/>
        <w:ind w:firstLine="630"/>
        <w:jc w:val="left"/>
      </w:pPr>
      <w:r>
        <w:t>为尽可能降低施工建设对环境的影响，首先要对各施工单位提出严格的施工建设环保要求，其次要求建设单位对各施工现场及施工队伍进行严格的监督管理，必要时可采用现场监测手段加以控制和管理。</w:t>
      </w:r>
    </w:p>
    <w:p>
      <w:pPr>
        <w:spacing w:line="360" w:lineRule="auto"/>
        <w:outlineLvl w:val="1"/>
        <w:rPr>
          <w:b/>
          <w:bCs/>
        </w:rPr>
      </w:pPr>
      <w:bookmarkStart w:id="286" w:name="_Toc238263240"/>
      <w:bookmarkStart w:id="287" w:name="_Toc276372245"/>
      <w:r>
        <w:rPr>
          <w:b/>
          <w:bCs/>
        </w:rPr>
        <w:t>7.3  施工期环境影响分析及减缓措施</w:t>
      </w:r>
      <w:bookmarkEnd w:id="286"/>
      <w:bookmarkEnd w:id="287"/>
    </w:p>
    <w:p>
      <w:pPr>
        <w:spacing w:line="360" w:lineRule="auto"/>
        <w:rPr>
          <w:b/>
          <w:bCs/>
        </w:rPr>
      </w:pPr>
      <w:r>
        <w:rPr>
          <w:b/>
          <w:bCs/>
        </w:rPr>
        <w:t>7.3.1  施工期环境空气影响分析及防治措施</w:t>
      </w:r>
    </w:p>
    <w:p>
      <w:pPr>
        <w:adjustRightInd w:val="0"/>
        <w:snapToGrid w:val="0"/>
        <w:spacing w:line="360" w:lineRule="auto"/>
        <w:ind w:firstLine="630"/>
        <w:jc w:val="left"/>
      </w:pPr>
      <w:r>
        <w:t>施工期主要环境空气污染源有：各类燃油动力机械进行场地清理平整、挖填、土石方运输等作业排放废气，装卸作业产生扬尘。这些污染源产生的污染物将导致施工期附近区域的环境空气质量下降。</w:t>
      </w:r>
    </w:p>
    <w:p>
      <w:pPr>
        <w:adjustRightInd w:val="0"/>
        <w:snapToGrid w:val="0"/>
        <w:spacing w:line="360" w:lineRule="auto"/>
        <w:ind w:firstLine="630"/>
        <w:jc w:val="left"/>
      </w:pPr>
      <w:r>
        <w:t>采取的防治措施主要有：</w:t>
      </w:r>
    </w:p>
    <w:p>
      <w:pPr>
        <w:autoSpaceDE w:val="0"/>
        <w:autoSpaceDN w:val="0"/>
        <w:adjustRightInd w:val="0"/>
        <w:snapToGrid w:val="0"/>
        <w:spacing w:line="360" w:lineRule="auto"/>
        <w:ind w:firstLine="420" w:firstLineChars="200"/>
        <w:jc w:val="left"/>
      </w:pPr>
      <w:r>
        <w:rPr>
          <w:rFonts w:hint="eastAsia"/>
        </w:rPr>
        <w:t>（1）</w:t>
      </w:r>
      <w:r>
        <w:t>施工单位必须做好现场管理和责任区内的环境保洁工作，并专人负责落实。对施工现场进行科学管理，砂石料应统一堆放，水泥应设专门库房堆放，尽量减少搬运环节。</w:t>
      </w:r>
    </w:p>
    <w:p>
      <w:pPr>
        <w:adjustRightInd w:val="0"/>
        <w:snapToGrid w:val="0"/>
        <w:spacing w:line="360" w:lineRule="auto"/>
        <w:ind w:firstLine="420" w:firstLineChars="200"/>
      </w:pPr>
      <w:r>
        <w:rPr>
          <w:rFonts w:hint="eastAsia"/>
        </w:rPr>
        <w:t>（2）旧建筑拆除、</w:t>
      </w:r>
      <w:r>
        <w:t>地面开挖时或爆破后，对作业面和土堆适当喷水，采用湿式作业，使其保持一定湿度，以减少扬尘产生量。</w:t>
      </w:r>
    </w:p>
    <w:p>
      <w:pPr>
        <w:adjustRightInd w:val="0"/>
        <w:snapToGrid w:val="0"/>
        <w:spacing w:line="360" w:lineRule="auto"/>
        <w:ind w:firstLine="420" w:firstLineChars="200"/>
      </w:pPr>
      <w:r>
        <w:rPr>
          <w:rFonts w:hint="eastAsia"/>
        </w:rPr>
        <w:t>（3）</w:t>
      </w:r>
      <w:r>
        <w:t>对施工场地未开工的裸露地面、废弃物堆放场地、建筑材料堆放场地采取遮盖措施，防止产生扬尘；对已开工的施工场地，除采取遮盖措施外，还应采取洒水等措施，防止产生扬尘。</w:t>
      </w:r>
    </w:p>
    <w:p>
      <w:pPr>
        <w:adjustRightInd w:val="0"/>
        <w:snapToGrid w:val="0"/>
        <w:spacing w:line="360" w:lineRule="auto"/>
        <w:ind w:firstLine="420" w:firstLineChars="200"/>
      </w:pPr>
      <w:r>
        <w:rPr>
          <w:rFonts w:hint="eastAsia"/>
        </w:rPr>
        <w:t>（4）</w:t>
      </w:r>
      <w:r>
        <w:t>设置汽车冲洗点，对运输车辆进行冲洗，抑制粉尘散发和运输中的二次扬尘，以减轻其对环境的影响；运输物料的车辆应控制物料的装载量和高度，并采用篷布遮盖，防止物料洒落；在物料上洒水增湿，抑制粉尘产生；合理安排运输计划，避免汽车空载，减少汽车往返次数，减少汽车尾气的排放量。</w:t>
      </w:r>
    </w:p>
    <w:p>
      <w:pPr>
        <w:adjustRightInd w:val="0"/>
        <w:snapToGrid w:val="0"/>
        <w:spacing w:line="360" w:lineRule="auto"/>
        <w:ind w:firstLine="420" w:firstLineChars="200"/>
      </w:pPr>
      <w:r>
        <w:rPr>
          <w:rFonts w:hint="eastAsia"/>
        </w:rPr>
        <w:t>（5）</w:t>
      </w:r>
      <w:r>
        <w:t xml:space="preserve"> 加强施工机械的使用管理和施工机械的维修和保养，合理降低同时使用次数，提高机械使用效率，减少废气排放，以减轻其对环境的影响。</w:t>
      </w:r>
    </w:p>
    <w:p>
      <w:pPr>
        <w:adjustRightInd w:val="0"/>
        <w:snapToGrid w:val="0"/>
        <w:spacing w:line="360" w:lineRule="auto"/>
        <w:ind w:firstLine="420" w:firstLineChars="200"/>
      </w:pPr>
      <w:r>
        <w:rPr>
          <w:rFonts w:hint="eastAsia"/>
        </w:rPr>
        <w:t>（6）</w:t>
      </w:r>
      <w:r>
        <w:t>文明施工，施工现场需设围栏或部分围栏，实行挂网式施工，减少施工扬尘扩散范围。</w:t>
      </w:r>
    </w:p>
    <w:p>
      <w:pPr>
        <w:autoSpaceDE w:val="0"/>
        <w:autoSpaceDN w:val="0"/>
        <w:adjustRightInd w:val="0"/>
        <w:snapToGrid w:val="0"/>
        <w:spacing w:line="360" w:lineRule="auto"/>
        <w:ind w:firstLine="420" w:firstLineChars="200"/>
        <w:jc w:val="left"/>
      </w:pPr>
      <w:r>
        <w:rPr>
          <w:rFonts w:hint="eastAsia"/>
        </w:rPr>
        <w:t>（7）</w:t>
      </w:r>
      <w:r>
        <w:t>风速过大时应停止施工作业，并对堆放的砂石等建筑材料进行遮盖处理。</w:t>
      </w:r>
    </w:p>
    <w:p>
      <w:pPr>
        <w:spacing w:line="360" w:lineRule="auto"/>
        <w:ind w:firstLine="480"/>
        <w:rPr>
          <w:rFonts w:hint="eastAsia"/>
        </w:rPr>
      </w:pPr>
      <w:r>
        <w:rPr>
          <w:rFonts w:hint="eastAsia"/>
        </w:rPr>
        <w:t>（8）旧建筑拆除后尽快</w:t>
      </w:r>
      <w:r>
        <w:t>清除建筑垃圾</w:t>
      </w:r>
      <w:r>
        <w:rPr>
          <w:rFonts w:hint="eastAsia"/>
        </w:rPr>
        <w:t>。</w:t>
      </w:r>
    </w:p>
    <w:p>
      <w:pPr>
        <w:spacing w:line="360" w:lineRule="auto"/>
        <w:ind w:firstLine="480"/>
        <w:rPr>
          <w:rFonts w:hint="eastAsia"/>
        </w:rPr>
      </w:pPr>
      <w:r>
        <w:t>（</w:t>
      </w:r>
      <w:r>
        <w:rPr>
          <w:rFonts w:hint="eastAsia"/>
        </w:rPr>
        <w:t>9</w:t>
      </w:r>
      <w:r>
        <w:t>）对</w:t>
      </w:r>
      <w:r>
        <w:rPr>
          <w:rFonts w:hint="eastAsia"/>
        </w:rPr>
        <w:t>标高在350米以上的建筑拆除后，尽快实施绿化</w:t>
      </w:r>
      <w:r>
        <w:t>。</w:t>
      </w:r>
    </w:p>
    <w:p>
      <w:pPr>
        <w:spacing w:line="360" w:lineRule="auto"/>
        <w:rPr>
          <w:b/>
          <w:bCs/>
        </w:rPr>
      </w:pPr>
      <w:r>
        <w:rPr>
          <w:b/>
          <w:bCs/>
        </w:rPr>
        <w:t>7.3.2  施工期声环境影响分析及防治措施</w:t>
      </w:r>
    </w:p>
    <w:p>
      <w:pPr>
        <w:adjustRightInd w:val="0"/>
        <w:snapToGrid w:val="0"/>
        <w:spacing w:line="360" w:lineRule="auto"/>
        <w:ind w:firstLine="420" w:firstLineChars="200"/>
      </w:pPr>
      <w:r>
        <w:rPr>
          <w:rFonts w:hint="eastAsia"/>
        </w:rPr>
        <w:t>（1）</w:t>
      </w:r>
      <w:r>
        <w:t>施工期主要噪声污染源</w:t>
      </w:r>
    </w:p>
    <w:p>
      <w:pPr>
        <w:autoSpaceDE w:val="0"/>
        <w:autoSpaceDN w:val="0"/>
        <w:adjustRightInd w:val="0"/>
        <w:snapToGrid w:val="0"/>
        <w:spacing w:line="360" w:lineRule="auto"/>
        <w:ind w:firstLine="420" w:firstLineChars="200"/>
        <w:jc w:val="left"/>
      </w:pPr>
      <w:r>
        <w:t>施工期噪声主要指建筑施工噪声和交通运输噪声两类。</w:t>
      </w:r>
    </w:p>
    <w:p>
      <w:pPr>
        <w:autoSpaceDE w:val="0"/>
        <w:autoSpaceDN w:val="0"/>
        <w:adjustRightInd w:val="0"/>
        <w:snapToGrid w:val="0"/>
        <w:spacing w:line="360" w:lineRule="auto"/>
        <w:ind w:firstLine="420" w:firstLineChars="200"/>
        <w:jc w:val="left"/>
      </w:pPr>
      <w:r>
        <w:t>在施工过程中，各种施工机械设备的运转以及各类车辆的运行将不可避免地产生噪声污染，各种施工机械、运输车辆等均属噪声源。</w:t>
      </w:r>
    </w:p>
    <w:p>
      <w:pPr>
        <w:adjustRightInd w:val="0"/>
        <w:snapToGrid w:val="0"/>
        <w:spacing w:line="360" w:lineRule="auto"/>
      </w:pPr>
      <w:r>
        <w:t>本工程的主要施工机械产生较大的噪声，根据实测资料，将主要施工机械在不同距离上的噪声值列于表7－</w:t>
      </w:r>
      <w:r>
        <w:rPr>
          <w:rFonts w:hint="eastAsia"/>
        </w:rPr>
        <w:t>2</w:t>
      </w:r>
      <w:r>
        <w:t>。</w:t>
      </w: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rFonts w:hint="eastAsia"/>
          <w:b/>
        </w:rPr>
      </w:pPr>
    </w:p>
    <w:p>
      <w:pPr>
        <w:adjustRightInd w:val="0"/>
        <w:snapToGrid w:val="0"/>
        <w:spacing w:line="348" w:lineRule="auto"/>
        <w:jc w:val="center"/>
        <w:rPr>
          <w:b/>
        </w:rPr>
      </w:pPr>
      <w:r>
        <w:rPr>
          <w:b/>
        </w:rPr>
        <w:t>表7－</w:t>
      </w:r>
      <w:r>
        <w:rPr>
          <w:rFonts w:hint="eastAsia"/>
          <w:b/>
        </w:rPr>
        <w:t>2</w:t>
      </w:r>
      <w:r>
        <w:rPr>
          <w:b/>
        </w:rPr>
        <w:t xml:space="preserve">  主要施工机械及不同距离上的噪声级</w:t>
      </w:r>
    </w:p>
    <w:tbl>
      <w:tblPr>
        <w:tblStyle w:val="20"/>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635"/>
        <w:gridCol w:w="1363"/>
        <w:gridCol w:w="626"/>
        <w:gridCol w:w="761"/>
        <w:gridCol w:w="761"/>
        <w:gridCol w:w="761"/>
        <w:gridCol w:w="761"/>
        <w:gridCol w:w="897"/>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2" w:type="dxa"/>
            <w:vMerge w:val="restart"/>
            <w:tcBorders>
              <w:top w:val="single" w:color="000000" w:sz="12" w:space="0"/>
              <w:left w:val="single" w:color="000000" w:sz="12" w:space="0"/>
              <w:bottom w:val="single" w:color="auto" w:sz="12" w:space="0"/>
              <w:right w:val="single" w:color="000000" w:sz="4" w:space="0"/>
            </w:tcBorders>
            <w:noWrap w:val="0"/>
            <w:vAlign w:val="center"/>
          </w:tcPr>
          <w:p>
            <w:pPr>
              <w:adjustRightInd w:val="0"/>
              <w:snapToGrid w:val="0"/>
              <w:spacing w:line="348" w:lineRule="auto"/>
              <w:jc w:val="center"/>
              <w:rPr>
                <w:szCs w:val="21"/>
              </w:rPr>
            </w:pPr>
            <w:r>
              <w:rPr>
                <w:szCs w:val="21"/>
              </w:rPr>
              <w:t>序号</w:t>
            </w:r>
          </w:p>
        </w:tc>
        <w:tc>
          <w:tcPr>
            <w:tcW w:w="1635" w:type="dxa"/>
            <w:vMerge w:val="restart"/>
            <w:tcBorders>
              <w:top w:val="single" w:color="000000" w:sz="12" w:space="0"/>
              <w:left w:val="single" w:color="000000" w:sz="4" w:space="0"/>
              <w:bottom w:val="single" w:color="auto" w:sz="12" w:space="0"/>
              <w:right w:val="single" w:color="000000" w:sz="4" w:space="0"/>
            </w:tcBorders>
            <w:noWrap w:val="0"/>
            <w:vAlign w:val="center"/>
          </w:tcPr>
          <w:p>
            <w:pPr>
              <w:adjustRightInd w:val="0"/>
              <w:snapToGrid w:val="0"/>
              <w:spacing w:line="348" w:lineRule="auto"/>
              <w:jc w:val="center"/>
              <w:rPr>
                <w:szCs w:val="21"/>
              </w:rPr>
            </w:pPr>
            <w:r>
              <w:rPr>
                <w:szCs w:val="21"/>
              </w:rPr>
              <w:t>设备名称</w:t>
            </w:r>
          </w:p>
        </w:tc>
        <w:tc>
          <w:tcPr>
            <w:tcW w:w="6829" w:type="dxa"/>
            <w:gridSpan w:val="8"/>
            <w:tcBorders>
              <w:top w:val="single" w:color="000000" w:sz="12" w:space="0"/>
              <w:left w:val="single" w:color="000000" w:sz="4" w:space="0"/>
              <w:bottom w:val="single" w:color="000000" w:sz="4" w:space="0"/>
              <w:right w:val="single" w:color="000000" w:sz="12" w:space="0"/>
            </w:tcBorders>
            <w:noWrap w:val="0"/>
            <w:vAlign w:val="center"/>
          </w:tcPr>
          <w:p>
            <w:pPr>
              <w:adjustRightInd w:val="0"/>
              <w:snapToGrid w:val="0"/>
              <w:spacing w:line="348" w:lineRule="auto"/>
              <w:jc w:val="center"/>
              <w:rPr>
                <w:szCs w:val="21"/>
              </w:rPr>
            </w:pPr>
            <w:r>
              <w:rPr>
                <w:szCs w:val="21"/>
              </w:rP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2" w:type="dxa"/>
            <w:vMerge w:val="continue"/>
            <w:tcBorders>
              <w:top w:val="single" w:color="auto" w:sz="4" w:space="0"/>
              <w:left w:val="single" w:color="000000" w:sz="12" w:space="0"/>
              <w:bottom w:val="single" w:color="000000" w:sz="12" w:space="0"/>
              <w:right w:val="single" w:color="000000" w:sz="4" w:space="0"/>
            </w:tcBorders>
            <w:noWrap w:val="0"/>
            <w:vAlign w:val="center"/>
          </w:tcPr>
          <w:p>
            <w:pPr>
              <w:pStyle w:val="33"/>
              <w:snapToGrid w:val="0"/>
              <w:spacing w:before="78" w:after="78" w:line="348" w:lineRule="auto"/>
              <w:ind w:right="-122"/>
              <w:rPr>
                <w:rFonts w:ascii="Times New Roman" w:hAnsi="Times New Roman"/>
                <w:color w:val="auto"/>
              </w:rPr>
            </w:pPr>
          </w:p>
        </w:tc>
        <w:tc>
          <w:tcPr>
            <w:tcW w:w="1635" w:type="dxa"/>
            <w:vMerge w:val="continue"/>
            <w:tcBorders>
              <w:top w:val="single" w:color="auto"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p>
        </w:tc>
        <w:tc>
          <w:tcPr>
            <w:tcW w:w="1363"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频谱特性</w:t>
            </w:r>
          </w:p>
        </w:tc>
        <w:tc>
          <w:tcPr>
            <w:tcW w:w="626"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5m</w:t>
            </w:r>
          </w:p>
        </w:tc>
        <w:tc>
          <w:tcPr>
            <w:tcW w:w="761"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10m</w:t>
            </w:r>
          </w:p>
        </w:tc>
        <w:tc>
          <w:tcPr>
            <w:tcW w:w="761"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20m</w:t>
            </w:r>
          </w:p>
        </w:tc>
        <w:tc>
          <w:tcPr>
            <w:tcW w:w="761"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30m</w:t>
            </w:r>
          </w:p>
        </w:tc>
        <w:tc>
          <w:tcPr>
            <w:tcW w:w="761"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50m</w:t>
            </w:r>
          </w:p>
        </w:tc>
        <w:tc>
          <w:tcPr>
            <w:tcW w:w="897" w:type="dxa"/>
            <w:tcBorders>
              <w:top w:val="single" w:color="000000" w:sz="4" w:space="0"/>
              <w:left w:val="single" w:color="000000" w:sz="4" w:space="0"/>
              <w:bottom w:val="single" w:color="000000" w:sz="12" w:space="0"/>
              <w:right w:val="single" w:color="000000" w:sz="4" w:space="0"/>
            </w:tcBorders>
            <w:noWrap w:val="0"/>
            <w:vAlign w:val="center"/>
          </w:tcPr>
          <w:p>
            <w:pPr>
              <w:adjustRightInd w:val="0"/>
              <w:snapToGrid w:val="0"/>
              <w:spacing w:line="348" w:lineRule="auto"/>
              <w:jc w:val="center"/>
              <w:rPr>
                <w:szCs w:val="21"/>
              </w:rPr>
            </w:pPr>
            <w:r>
              <w:rPr>
                <w:szCs w:val="21"/>
              </w:rPr>
              <w:t>100m</w:t>
            </w:r>
          </w:p>
        </w:tc>
        <w:tc>
          <w:tcPr>
            <w:tcW w:w="899" w:type="dxa"/>
            <w:tcBorders>
              <w:top w:val="single" w:color="000000" w:sz="4" w:space="0"/>
              <w:left w:val="single" w:color="000000" w:sz="4" w:space="0"/>
              <w:bottom w:val="single" w:color="000000" w:sz="12" w:space="0"/>
              <w:right w:val="single" w:color="000000" w:sz="12" w:space="0"/>
            </w:tcBorders>
            <w:noWrap w:val="0"/>
            <w:vAlign w:val="center"/>
          </w:tcPr>
          <w:p>
            <w:pPr>
              <w:adjustRightInd w:val="0"/>
              <w:snapToGrid w:val="0"/>
              <w:spacing w:line="348" w:lineRule="auto"/>
              <w:jc w:val="center"/>
              <w:rPr>
                <w:szCs w:val="21"/>
              </w:rPr>
            </w:pPr>
            <w:r>
              <w:rPr>
                <w:szCs w:val="21"/>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tcBorders>
              <w:top w:val="single" w:color="000000" w:sz="12" w:space="0"/>
              <w:left w:val="single" w:color="000000" w:sz="12" w:space="0"/>
              <w:bottom w:val="single" w:color="000000" w:sz="4" w:space="0"/>
              <w:right w:val="single" w:color="000000" w:sz="4" w:space="0"/>
            </w:tcBorders>
            <w:noWrap w:val="0"/>
            <w:vAlign w:val="center"/>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1</w:t>
            </w:r>
          </w:p>
        </w:tc>
        <w:tc>
          <w:tcPr>
            <w:tcW w:w="1635" w:type="dxa"/>
            <w:tcBorders>
              <w:top w:val="single" w:color="000000" w:sz="12" w:space="0"/>
              <w:left w:val="single" w:color="000000" w:sz="4" w:space="0"/>
              <w:bottom w:val="single" w:color="000000" w:sz="4" w:space="0"/>
              <w:right w:val="single" w:color="000000" w:sz="4" w:space="0"/>
            </w:tcBorders>
            <w:noWrap w:val="0"/>
            <w:vAlign w:val="center"/>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挖掘机</w:t>
            </w:r>
          </w:p>
        </w:tc>
        <w:tc>
          <w:tcPr>
            <w:tcW w:w="1363"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84</w:t>
            </w:r>
          </w:p>
        </w:tc>
        <w:tc>
          <w:tcPr>
            <w:tcW w:w="761"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80</w:t>
            </w:r>
          </w:p>
        </w:tc>
        <w:tc>
          <w:tcPr>
            <w:tcW w:w="761"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76</w:t>
            </w:r>
          </w:p>
        </w:tc>
        <w:tc>
          <w:tcPr>
            <w:tcW w:w="761"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72</w:t>
            </w:r>
          </w:p>
        </w:tc>
        <w:tc>
          <w:tcPr>
            <w:tcW w:w="761"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67</w:t>
            </w:r>
          </w:p>
        </w:tc>
        <w:tc>
          <w:tcPr>
            <w:tcW w:w="897" w:type="dxa"/>
            <w:tcBorders>
              <w:top w:val="single" w:color="000000" w:sz="12"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61</w:t>
            </w:r>
          </w:p>
        </w:tc>
        <w:tc>
          <w:tcPr>
            <w:tcW w:w="899" w:type="dxa"/>
            <w:tcBorders>
              <w:top w:val="single" w:color="000000" w:sz="12" w:space="0"/>
              <w:left w:val="single" w:color="000000" w:sz="4" w:space="0"/>
              <w:right w:val="single" w:color="000000" w:sz="12" w:space="0"/>
            </w:tcBorders>
            <w:noWrap w:val="0"/>
            <w:vAlign w:val="center"/>
          </w:tcPr>
          <w:p>
            <w:pPr>
              <w:adjustRightInd w:val="0"/>
              <w:snapToGrid w:val="0"/>
              <w:spacing w:before="48" w:beforeLines="20" w:line="288" w:lineRule="auto"/>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tcBorders>
              <w:top w:val="single" w:color="000000" w:sz="4" w:space="0"/>
              <w:left w:val="single" w:color="000000" w:sz="12"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2</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推土机</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84</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80</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76</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72</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67</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61</w:t>
            </w:r>
          </w:p>
        </w:tc>
        <w:tc>
          <w:tcPr>
            <w:tcW w:w="899" w:type="dxa"/>
            <w:tcBorders>
              <w:left w:val="single" w:color="000000" w:sz="4" w:space="0"/>
              <w:bottom w:val="single" w:color="000000" w:sz="4" w:space="0"/>
              <w:right w:val="single" w:color="000000" w:sz="12" w:space="0"/>
            </w:tcBorders>
            <w:noWrap w:val="0"/>
            <w:vAlign w:val="center"/>
          </w:tcPr>
          <w:p>
            <w:pPr>
              <w:adjustRightInd w:val="0"/>
              <w:snapToGrid w:val="0"/>
              <w:spacing w:before="48" w:beforeLines="20" w:line="288" w:lineRule="auto"/>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tcBorders>
              <w:top w:val="single" w:color="000000" w:sz="4" w:space="0"/>
              <w:left w:val="single" w:color="000000" w:sz="12"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3</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振捣棒</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低中频</w:t>
            </w:r>
          </w:p>
        </w:tc>
        <w:tc>
          <w:tcPr>
            <w:tcW w:w="626"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82</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78</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74</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70</w:t>
            </w:r>
          </w:p>
        </w:tc>
        <w:tc>
          <w:tcPr>
            <w:tcW w:w="761"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65</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59</w:t>
            </w:r>
          </w:p>
        </w:tc>
        <w:tc>
          <w:tcPr>
            <w:tcW w:w="899" w:type="dxa"/>
            <w:tcBorders>
              <w:top w:val="single" w:color="000000" w:sz="4" w:space="0"/>
              <w:left w:val="single" w:color="000000" w:sz="4" w:space="0"/>
              <w:bottom w:val="single" w:color="000000" w:sz="4" w:space="0"/>
              <w:right w:val="single" w:color="000000" w:sz="12" w:space="0"/>
            </w:tcBorders>
            <w:noWrap w:val="0"/>
            <w:vAlign w:val="center"/>
          </w:tcPr>
          <w:p>
            <w:pPr>
              <w:adjustRightInd w:val="0"/>
              <w:snapToGrid w:val="0"/>
              <w:spacing w:before="48" w:beforeLines="20" w:line="288" w:lineRule="auto"/>
              <w:jc w:val="center"/>
              <w:rPr>
                <w:szCs w:val="21"/>
              </w:rPr>
            </w:pPr>
            <w:r>
              <w:rPr>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22" w:type="dxa"/>
            <w:tcBorders>
              <w:left w:val="single" w:color="000000" w:sz="12"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4</w:t>
            </w:r>
          </w:p>
        </w:tc>
        <w:tc>
          <w:tcPr>
            <w:tcW w:w="1635"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重型碾压机</w:t>
            </w:r>
          </w:p>
        </w:tc>
        <w:tc>
          <w:tcPr>
            <w:tcW w:w="1363"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低中频</w:t>
            </w:r>
          </w:p>
        </w:tc>
        <w:tc>
          <w:tcPr>
            <w:tcW w:w="626"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86</w:t>
            </w:r>
          </w:p>
        </w:tc>
        <w:tc>
          <w:tcPr>
            <w:tcW w:w="761"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83</w:t>
            </w:r>
          </w:p>
        </w:tc>
        <w:tc>
          <w:tcPr>
            <w:tcW w:w="761"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79</w:t>
            </w:r>
          </w:p>
        </w:tc>
        <w:tc>
          <w:tcPr>
            <w:tcW w:w="761"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75</w:t>
            </w:r>
          </w:p>
        </w:tc>
        <w:tc>
          <w:tcPr>
            <w:tcW w:w="761"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70</w:t>
            </w:r>
          </w:p>
        </w:tc>
        <w:tc>
          <w:tcPr>
            <w:tcW w:w="897" w:type="dxa"/>
            <w:tcBorders>
              <w:left w:val="single" w:color="000000" w:sz="4" w:space="0"/>
              <w:bottom w:val="single" w:color="000000" w:sz="4" w:space="0"/>
              <w:right w:val="single" w:color="000000" w:sz="4" w:space="0"/>
            </w:tcBorders>
            <w:noWrap w:val="0"/>
            <w:vAlign w:val="center"/>
          </w:tcPr>
          <w:p>
            <w:pPr>
              <w:adjustRightInd w:val="0"/>
              <w:snapToGrid w:val="0"/>
              <w:spacing w:before="48" w:beforeLines="20" w:line="288" w:lineRule="auto"/>
              <w:jc w:val="center"/>
              <w:rPr>
                <w:szCs w:val="21"/>
              </w:rPr>
            </w:pPr>
            <w:r>
              <w:rPr>
                <w:szCs w:val="21"/>
              </w:rPr>
              <w:t>64</w:t>
            </w:r>
          </w:p>
        </w:tc>
        <w:tc>
          <w:tcPr>
            <w:tcW w:w="899" w:type="dxa"/>
            <w:tcBorders>
              <w:left w:val="single" w:color="000000" w:sz="4" w:space="0"/>
              <w:bottom w:val="single" w:color="000000" w:sz="4" w:space="0"/>
              <w:right w:val="single" w:color="000000" w:sz="12" w:space="0"/>
            </w:tcBorders>
            <w:noWrap w:val="0"/>
            <w:vAlign w:val="center"/>
          </w:tcPr>
          <w:p>
            <w:pPr>
              <w:adjustRightInd w:val="0"/>
              <w:snapToGrid w:val="0"/>
              <w:spacing w:before="48" w:beforeLines="20" w:line="288" w:lineRule="auto"/>
              <w:jc w:val="center"/>
              <w:rPr>
                <w:szCs w:val="21"/>
              </w:rPr>
            </w:pPr>
            <w:r>
              <w:rPr>
                <w:szCs w:val="21"/>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22" w:type="dxa"/>
            <w:tcBorders>
              <w:top w:val="single" w:color="000000" w:sz="4" w:space="0"/>
              <w:left w:val="single" w:color="000000" w:sz="12"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5</w:t>
            </w:r>
          </w:p>
        </w:tc>
        <w:tc>
          <w:tcPr>
            <w:tcW w:w="1635"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载重汽车</w:t>
            </w:r>
          </w:p>
        </w:tc>
        <w:tc>
          <w:tcPr>
            <w:tcW w:w="1363"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宽频</w:t>
            </w:r>
          </w:p>
        </w:tc>
        <w:tc>
          <w:tcPr>
            <w:tcW w:w="626"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82</w:t>
            </w:r>
          </w:p>
        </w:tc>
        <w:tc>
          <w:tcPr>
            <w:tcW w:w="761"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78</w:t>
            </w:r>
          </w:p>
        </w:tc>
        <w:tc>
          <w:tcPr>
            <w:tcW w:w="761"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74</w:t>
            </w:r>
          </w:p>
        </w:tc>
        <w:tc>
          <w:tcPr>
            <w:tcW w:w="761"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70</w:t>
            </w:r>
          </w:p>
        </w:tc>
        <w:tc>
          <w:tcPr>
            <w:tcW w:w="761"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65</w:t>
            </w:r>
          </w:p>
        </w:tc>
        <w:tc>
          <w:tcPr>
            <w:tcW w:w="897" w:type="dxa"/>
            <w:tcBorders>
              <w:top w:val="single" w:color="000000" w:sz="4" w:space="0"/>
              <w:left w:val="single" w:color="000000" w:sz="4" w:space="0"/>
              <w:bottom w:val="single" w:color="000000" w:sz="12" w:space="0"/>
              <w:right w:val="single" w:color="000000" w:sz="4"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59</w:t>
            </w:r>
          </w:p>
        </w:tc>
        <w:tc>
          <w:tcPr>
            <w:tcW w:w="899" w:type="dxa"/>
            <w:tcBorders>
              <w:top w:val="single" w:color="000000" w:sz="4" w:space="0"/>
              <w:left w:val="single" w:color="000000" w:sz="4" w:space="0"/>
              <w:bottom w:val="single" w:color="000000" w:sz="12" w:space="0"/>
              <w:right w:val="single" w:color="000000" w:sz="12" w:space="0"/>
            </w:tcBorders>
            <w:noWrap w:val="0"/>
            <w:vAlign w:val="top"/>
          </w:tcPr>
          <w:p>
            <w:pPr>
              <w:pStyle w:val="33"/>
              <w:snapToGrid w:val="0"/>
              <w:spacing w:before="48" w:beforeLines="20" w:after="78" w:line="288" w:lineRule="auto"/>
              <w:ind w:right="-122"/>
              <w:rPr>
                <w:rFonts w:ascii="Times New Roman" w:hAnsi="Times New Roman"/>
                <w:color w:val="auto"/>
              </w:rPr>
            </w:pPr>
            <w:r>
              <w:rPr>
                <w:rFonts w:ascii="Times New Roman" w:hAnsi="Times New Roman"/>
                <w:color w:val="auto"/>
              </w:rPr>
              <w:t>53</w:t>
            </w:r>
          </w:p>
        </w:tc>
      </w:tr>
    </w:tbl>
    <w:p>
      <w:pPr>
        <w:autoSpaceDE w:val="0"/>
        <w:autoSpaceDN w:val="0"/>
        <w:adjustRightInd w:val="0"/>
        <w:snapToGrid w:val="0"/>
        <w:spacing w:line="348" w:lineRule="auto"/>
        <w:ind w:firstLine="420" w:firstLineChars="200"/>
        <w:jc w:val="left"/>
      </w:pPr>
    </w:p>
    <w:p>
      <w:pPr>
        <w:autoSpaceDE w:val="0"/>
        <w:autoSpaceDN w:val="0"/>
        <w:adjustRightInd w:val="0"/>
        <w:snapToGrid w:val="0"/>
        <w:spacing w:line="360" w:lineRule="auto"/>
        <w:ind w:firstLine="420" w:firstLineChars="200"/>
        <w:jc w:val="left"/>
      </w:pPr>
      <w:r>
        <w:t>由于施工场界为拟建工程厂界，当施工机械位于厂界边缘施工时，厂界噪声将超过标准；靠近厂界南侧和西侧</w:t>
      </w:r>
      <w:r>
        <w:rPr>
          <w:rFonts w:hint="eastAsia"/>
        </w:rPr>
        <w:t>5</w:t>
      </w:r>
      <w:r>
        <w:t>0m内约有十几户居民，预计</w:t>
      </w:r>
      <w:r>
        <w:rPr>
          <w:rFonts w:hint="eastAsia"/>
        </w:rPr>
        <w:t>两处</w:t>
      </w:r>
      <w:r>
        <w:t>居民点将受施工噪声的影响，影响值在</w:t>
      </w:r>
      <w:r>
        <w:rPr>
          <w:rFonts w:hint="eastAsia"/>
        </w:rPr>
        <w:t>65</w:t>
      </w:r>
      <w:r>
        <w:t>～7</w:t>
      </w:r>
      <w:r>
        <w:rPr>
          <w:rFonts w:hint="eastAsia"/>
        </w:rPr>
        <w:t>9</w:t>
      </w:r>
      <w:r>
        <w:t>dB(A)之间。</w:t>
      </w:r>
    </w:p>
    <w:p>
      <w:pPr>
        <w:autoSpaceDE w:val="0"/>
        <w:autoSpaceDN w:val="0"/>
        <w:adjustRightInd w:val="0"/>
        <w:snapToGrid w:val="0"/>
        <w:spacing w:line="360" w:lineRule="auto"/>
        <w:ind w:firstLine="420" w:firstLineChars="200"/>
        <w:jc w:val="left"/>
      </w:pPr>
      <w:r>
        <w:rPr>
          <w:rFonts w:hint="eastAsia"/>
        </w:rPr>
        <w:t>（2）</w:t>
      </w:r>
      <w:r>
        <w:t>防治措施</w:t>
      </w:r>
    </w:p>
    <w:p>
      <w:pPr>
        <w:autoSpaceDE w:val="0"/>
        <w:autoSpaceDN w:val="0"/>
        <w:adjustRightInd w:val="0"/>
        <w:snapToGrid w:val="0"/>
        <w:spacing w:line="360" w:lineRule="auto"/>
        <w:ind w:firstLine="420" w:firstLineChars="200"/>
        <w:jc w:val="left"/>
      </w:pPr>
      <w:r>
        <w:t>为了减轻拟建工程施工期噪声的环境影响，建设单位和施工单位必须严格执行渝府令第126号《重庆市环境噪声污染防治管理办法》的各项要求，文明施工。</w:t>
      </w:r>
    </w:p>
    <w:p>
      <w:pPr>
        <w:autoSpaceDE w:val="0"/>
        <w:autoSpaceDN w:val="0"/>
        <w:adjustRightInd w:val="0"/>
        <w:snapToGrid w:val="0"/>
        <w:spacing w:line="360" w:lineRule="auto"/>
        <w:ind w:firstLine="420" w:firstLineChars="200"/>
        <w:jc w:val="left"/>
      </w:pPr>
      <w:r>
        <w:rPr>
          <w:rFonts w:hint="eastAsia"/>
        </w:rPr>
        <w:t>①</w:t>
      </w:r>
      <w:r>
        <w:t>施工作业应尽量安排在白天进行，若必须夜间连续施工作业，应征得当地环保部门的同意，并将施工的时间及内容张榜公布。</w:t>
      </w:r>
    </w:p>
    <w:p>
      <w:pPr>
        <w:autoSpaceDE w:val="0"/>
        <w:autoSpaceDN w:val="0"/>
        <w:adjustRightInd w:val="0"/>
        <w:snapToGrid w:val="0"/>
        <w:spacing w:line="360" w:lineRule="auto"/>
        <w:ind w:firstLine="420" w:firstLineChars="200"/>
        <w:jc w:val="left"/>
      </w:pPr>
      <w:r>
        <w:rPr>
          <w:rFonts w:hint="eastAsia"/>
        </w:rPr>
        <w:t>②</w:t>
      </w:r>
      <w:r>
        <w:t>尽可能选取低噪声、低振动的施工机械和运输车辆。</w:t>
      </w:r>
    </w:p>
    <w:p>
      <w:pPr>
        <w:autoSpaceDE w:val="0"/>
        <w:autoSpaceDN w:val="0"/>
        <w:adjustRightInd w:val="0"/>
        <w:snapToGrid w:val="0"/>
        <w:spacing w:line="360" w:lineRule="auto"/>
        <w:ind w:firstLine="420" w:firstLineChars="200"/>
        <w:jc w:val="left"/>
      </w:pPr>
      <w:r>
        <w:rPr>
          <w:rFonts w:hint="eastAsia"/>
        </w:rPr>
        <w:t>③</w:t>
      </w:r>
      <w:r>
        <w:t>在高噪声设备周围设置声波遮挡物，不允许抛扔施工所用物件。</w:t>
      </w:r>
    </w:p>
    <w:p>
      <w:pPr>
        <w:autoSpaceDE w:val="0"/>
        <w:autoSpaceDN w:val="0"/>
        <w:adjustRightInd w:val="0"/>
        <w:snapToGrid w:val="0"/>
        <w:spacing w:line="360" w:lineRule="auto"/>
        <w:ind w:firstLine="420" w:firstLineChars="200"/>
        <w:jc w:val="left"/>
      </w:pPr>
      <w:r>
        <w:rPr>
          <w:rFonts w:hint="eastAsia"/>
        </w:rPr>
        <w:t>④</w:t>
      </w:r>
      <w:r>
        <w:t>尽可能减少车辆鸣笛，并适当降低车辆速度。</w:t>
      </w:r>
    </w:p>
    <w:p>
      <w:pPr>
        <w:autoSpaceDE w:val="0"/>
        <w:autoSpaceDN w:val="0"/>
        <w:adjustRightInd w:val="0"/>
        <w:snapToGrid w:val="0"/>
        <w:spacing w:line="360" w:lineRule="auto"/>
        <w:ind w:firstLine="420" w:firstLineChars="200"/>
        <w:jc w:val="left"/>
      </w:pPr>
      <w:r>
        <w:rPr>
          <w:rFonts w:hint="eastAsia"/>
        </w:rPr>
        <w:t>⑤</w:t>
      </w:r>
      <w:r>
        <w:t>提高施工机械的工作效率，尽量减少施工机械工作时间，并将有固定工作地点的施工机械如搅拌机、空压机等设置在远离环境敏感点的位置上，以减轻施工噪声对周边环境的影响。</w:t>
      </w:r>
    </w:p>
    <w:p>
      <w:pPr>
        <w:spacing w:line="360" w:lineRule="auto"/>
        <w:rPr>
          <w:b/>
          <w:bCs/>
        </w:rPr>
      </w:pPr>
      <w:r>
        <w:rPr>
          <w:b/>
          <w:bCs/>
        </w:rPr>
        <w:t>7.3.3  施工期地表水环境影响分析</w:t>
      </w:r>
    </w:p>
    <w:p>
      <w:pPr>
        <w:autoSpaceDE w:val="0"/>
        <w:autoSpaceDN w:val="0"/>
        <w:adjustRightInd w:val="0"/>
        <w:snapToGrid w:val="0"/>
        <w:spacing w:line="360" w:lineRule="auto"/>
        <w:ind w:firstLine="420" w:firstLineChars="200"/>
        <w:jc w:val="left"/>
      </w:pPr>
      <w:r>
        <w:t>施工过程产生的废水主要有施工生产废水、生活污水和场地冲洗废水。</w:t>
      </w:r>
    </w:p>
    <w:p>
      <w:pPr>
        <w:autoSpaceDE w:val="0"/>
        <w:autoSpaceDN w:val="0"/>
        <w:adjustRightInd w:val="0"/>
        <w:snapToGrid w:val="0"/>
        <w:spacing w:line="360" w:lineRule="auto"/>
        <w:ind w:firstLine="420" w:firstLineChars="200"/>
        <w:jc w:val="left"/>
      </w:pPr>
      <w:r>
        <w:t>施工期生产废水包括开挖、钻孔产生的泥浆水和各种施工机械设备运转的冷却及清洗用水，约5m3/d。开挖、钻孔产生的泥浆水含有大量的泥砂，各种施工机械设备运转的冷却及清洗用水含有一定量的油。</w:t>
      </w:r>
    </w:p>
    <w:p>
      <w:pPr>
        <w:autoSpaceDE w:val="0"/>
        <w:autoSpaceDN w:val="0"/>
        <w:adjustRightInd w:val="0"/>
        <w:snapToGrid w:val="0"/>
        <w:spacing w:line="360" w:lineRule="auto"/>
        <w:ind w:firstLine="420" w:firstLineChars="200"/>
        <w:jc w:val="left"/>
      </w:pPr>
      <w:r>
        <w:t>施工期生活污水来自施工队伍的生活活动，主要包括盥洗废水和冲厕水等，约2m3/d。</w:t>
      </w:r>
    </w:p>
    <w:p>
      <w:pPr>
        <w:autoSpaceDE w:val="0"/>
        <w:autoSpaceDN w:val="0"/>
        <w:adjustRightInd w:val="0"/>
        <w:snapToGrid w:val="0"/>
        <w:spacing w:line="360" w:lineRule="auto"/>
        <w:ind w:firstLine="420" w:firstLineChars="200"/>
        <w:jc w:val="left"/>
      </w:pPr>
      <w:r>
        <w:t>施工生产废水的主要污染物为SS和矿物油，生活污水含有机物和悬浮物。施工现场冲洗废水中虽无大量有毒有害物质，但其中可能含有较多的泥土、砂石和一定量的地表油污等。施工废水水量虽然不大，但如不经处理或处理不当直接外排，会对地表水环境产生不利影响。因此，应对施工期废水进行处理。</w:t>
      </w:r>
    </w:p>
    <w:p>
      <w:pPr>
        <w:autoSpaceDE w:val="0"/>
        <w:autoSpaceDN w:val="0"/>
        <w:adjustRightInd w:val="0"/>
        <w:snapToGrid w:val="0"/>
        <w:spacing w:line="360" w:lineRule="auto"/>
        <w:ind w:firstLine="420" w:firstLineChars="200"/>
        <w:jc w:val="left"/>
      </w:pPr>
      <w:r>
        <w:t>防治措施：施工单位必须在施工现场设置集水池、沉砂池、简易生化处理装置、沉淀蒸发池等水处理构筑物，对施工废水，按其不同性质分类收集，对于冲洗水等以SS为主要污染物的废水，经沉砂池沉淀后回用于地面洒水；设置旱厕收集和处理冲厕水和其他生活污水，处理后用于农业灌溉，建议施工现场设置沉淀蒸发池，收集不能及时回用的生活、生产污水，施工结束后掩埋。</w:t>
      </w:r>
    </w:p>
    <w:p>
      <w:pPr>
        <w:spacing w:line="360" w:lineRule="auto"/>
        <w:rPr>
          <w:b/>
          <w:bCs/>
        </w:rPr>
      </w:pPr>
      <w:bookmarkStart w:id="288" w:name="_Toc148057410"/>
      <w:bookmarkStart w:id="289" w:name="_Toc158348156"/>
      <w:r>
        <w:rPr>
          <w:b/>
          <w:bCs/>
        </w:rPr>
        <w:t>7.3.4  施工期固体废物环境影响分析</w:t>
      </w:r>
      <w:bookmarkEnd w:id="288"/>
      <w:bookmarkEnd w:id="289"/>
    </w:p>
    <w:p>
      <w:pPr>
        <w:adjustRightInd w:val="0"/>
        <w:snapToGrid w:val="0"/>
        <w:spacing w:line="360" w:lineRule="auto"/>
        <w:ind w:firstLine="560"/>
      </w:pPr>
      <w:r>
        <w:t>施工期固体废物主要是建筑垃圾和生活垃圾。</w:t>
      </w:r>
    </w:p>
    <w:p>
      <w:pPr>
        <w:autoSpaceDE w:val="0"/>
        <w:autoSpaceDN w:val="0"/>
        <w:adjustRightInd w:val="0"/>
        <w:snapToGrid w:val="0"/>
        <w:spacing w:line="360" w:lineRule="auto"/>
        <w:ind w:firstLine="420" w:firstLineChars="200"/>
      </w:pPr>
      <w:r>
        <w:t>建筑垃圾包括废弃建材(如砂石、石灰、混凝土、木材、废砖等)以及设备安装过程中产生的废包装材料等，属于一般固体废物。</w:t>
      </w:r>
    </w:p>
    <w:p>
      <w:pPr>
        <w:autoSpaceDE w:val="0"/>
        <w:autoSpaceDN w:val="0"/>
        <w:adjustRightInd w:val="0"/>
        <w:snapToGrid w:val="0"/>
        <w:spacing w:line="360" w:lineRule="auto"/>
        <w:ind w:firstLine="420" w:firstLineChars="200"/>
      </w:pPr>
      <w:r>
        <w:t>生活垃圾主要包括废弃的各种生活用品以及饮食垃圾，属于一般固体废物。</w:t>
      </w:r>
    </w:p>
    <w:p>
      <w:pPr>
        <w:adjustRightInd w:val="0"/>
        <w:snapToGrid w:val="0"/>
        <w:spacing w:line="360" w:lineRule="auto"/>
        <w:ind w:firstLine="560"/>
      </w:pPr>
      <w:r>
        <w:t>土石方工程产生的弃土若堆放不当，在大雨或暴雨时易造成水土流失；房屋拆除废料、施工废料若进入河流，可能会淤塞河道，影响排洪；生活垃圾可能影响施工区环境卫生和景观。</w:t>
      </w:r>
    </w:p>
    <w:p>
      <w:pPr>
        <w:autoSpaceDE w:val="0"/>
        <w:autoSpaceDN w:val="0"/>
        <w:adjustRightInd w:val="0"/>
        <w:snapToGrid w:val="0"/>
        <w:spacing w:line="360" w:lineRule="auto"/>
        <w:ind w:firstLine="420" w:firstLineChars="200"/>
      </w:pPr>
      <w:bookmarkStart w:id="290" w:name="_Toc186181708"/>
      <w:bookmarkStart w:id="291" w:name="_Toc186182403"/>
      <w:r>
        <w:t>防治措施</w:t>
      </w:r>
      <w:bookmarkEnd w:id="290"/>
      <w:bookmarkEnd w:id="291"/>
      <w:r>
        <w:t>：</w:t>
      </w:r>
    </w:p>
    <w:p>
      <w:pPr>
        <w:autoSpaceDE w:val="0"/>
        <w:autoSpaceDN w:val="0"/>
        <w:adjustRightInd w:val="0"/>
        <w:snapToGrid w:val="0"/>
        <w:spacing w:line="360" w:lineRule="auto"/>
        <w:ind w:firstLine="420" w:firstLineChars="200"/>
      </w:pPr>
      <w:r>
        <w:rPr>
          <w:rFonts w:hint="eastAsia"/>
        </w:rPr>
        <w:t>（1）</w:t>
      </w:r>
      <w:r>
        <w:t>施工过程中的建筑垃圾要及时清运，并尽量加以回收利用，防止因长期堆存而产生扬尘等污染。</w:t>
      </w:r>
    </w:p>
    <w:p>
      <w:pPr>
        <w:autoSpaceDE w:val="0"/>
        <w:autoSpaceDN w:val="0"/>
        <w:adjustRightInd w:val="0"/>
        <w:snapToGrid w:val="0"/>
        <w:spacing w:line="360" w:lineRule="auto"/>
        <w:ind w:firstLine="420" w:firstLineChars="200"/>
      </w:pPr>
      <w:r>
        <w:rPr>
          <w:rFonts w:hint="eastAsia"/>
        </w:rPr>
        <w:t>（2）</w:t>
      </w:r>
      <w:r>
        <w:t>场地平整产生的土石方应尽量做到挖、填平衡，减少弃土产生量，避免大量弃土滑坡、流失。</w:t>
      </w:r>
    </w:p>
    <w:p>
      <w:pPr>
        <w:autoSpaceDE w:val="0"/>
        <w:autoSpaceDN w:val="0"/>
        <w:adjustRightInd w:val="0"/>
        <w:snapToGrid w:val="0"/>
        <w:spacing w:line="360" w:lineRule="auto"/>
        <w:ind w:firstLine="420" w:firstLineChars="200"/>
      </w:pPr>
      <w:r>
        <w:rPr>
          <w:rFonts w:hint="eastAsia"/>
        </w:rPr>
        <w:t>（3）</w:t>
      </w:r>
      <w:r>
        <w:t>生活垃圾如不及时清运处理，容易腐烂变质、滋生苍蝇蚊虫、产生恶臭、传染疾病，会对周围环境和作业人员健康带来不利影响。因此，施工场地内须设临时生活垃圾收集站，收集的生活垃圾送</w:t>
      </w:r>
      <w:r>
        <w:rPr>
          <w:rFonts w:hint="eastAsia"/>
        </w:rPr>
        <w:t>酉阳</w:t>
      </w:r>
      <w:r>
        <w:t>生活垃圾</w:t>
      </w:r>
      <w:r>
        <w:rPr>
          <w:rFonts w:hint="eastAsia"/>
        </w:rPr>
        <w:t>填埋</w:t>
      </w:r>
      <w:r>
        <w:t>场进行处理。</w:t>
      </w:r>
    </w:p>
    <w:p>
      <w:pPr>
        <w:spacing w:line="360" w:lineRule="auto"/>
        <w:rPr>
          <w:b/>
          <w:bCs/>
        </w:rPr>
      </w:pPr>
      <w:bookmarkStart w:id="292" w:name="_Toc158348157"/>
      <w:r>
        <w:rPr>
          <w:b/>
          <w:bCs/>
        </w:rPr>
        <w:t xml:space="preserve">7.3.5  </w:t>
      </w:r>
      <w:bookmarkEnd w:id="292"/>
      <w:bookmarkStart w:id="293" w:name="_Toc238263241"/>
      <w:r>
        <w:rPr>
          <w:b/>
          <w:bCs/>
        </w:rPr>
        <w:t>施工期社会环境、生活质量影响及减缓措施</w:t>
      </w:r>
    </w:p>
    <w:p>
      <w:pPr>
        <w:adjustRightInd w:val="0"/>
        <w:snapToGrid w:val="0"/>
        <w:spacing w:line="360" w:lineRule="auto"/>
        <w:ind w:firstLine="420" w:firstLineChars="200"/>
      </w:pPr>
      <w:r>
        <w:t>施工期可为施工承建单位带来经济效益，同时提供一定数量的就业岗位，增加部分人员收入。</w:t>
      </w:r>
    </w:p>
    <w:p>
      <w:pPr>
        <w:adjustRightInd w:val="0"/>
        <w:snapToGrid w:val="0"/>
        <w:spacing w:line="360" w:lineRule="auto"/>
        <w:ind w:firstLine="420" w:firstLineChars="200"/>
      </w:pPr>
      <w:r>
        <w:t>施工期大量物料通过汽车运往施工场地，可能造成现有道路运输繁忙。</w:t>
      </w:r>
    </w:p>
    <w:p>
      <w:pPr>
        <w:spacing w:line="360" w:lineRule="auto"/>
        <w:rPr>
          <w:rFonts w:hint="eastAsia"/>
          <w:b/>
          <w:bCs/>
        </w:rPr>
      </w:pPr>
      <w:r>
        <w:t>减缓措施：加强施工区的环境管理和监督，加强施工区及相关道路的交通管理，合理安排施工顺序尽可能减少施工期对社会环境和生活质量的影响。</w:t>
      </w:r>
    </w:p>
    <w:p>
      <w:pPr>
        <w:spacing w:line="360" w:lineRule="auto"/>
        <w:outlineLvl w:val="1"/>
        <w:rPr>
          <w:b/>
          <w:bCs/>
        </w:rPr>
      </w:pPr>
      <w:bookmarkStart w:id="294" w:name="_Toc276372246"/>
      <w:r>
        <w:rPr>
          <w:b/>
          <w:bCs/>
        </w:rPr>
        <w:t>7.4  水土流失环境影响分析及水土保持初步方案</w:t>
      </w:r>
      <w:bookmarkEnd w:id="293"/>
      <w:bookmarkEnd w:id="294"/>
    </w:p>
    <w:p>
      <w:pPr>
        <w:spacing w:line="360" w:lineRule="auto"/>
        <w:rPr>
          <w:b/>
          <w:bCs/>
        </w:rPr>
      </w:pPr>
      <w:bookmarkStart w:id="295" w:name="_Toc117743249"/>
      <w:bookmarkStart w:id="296" w:name="_Toc117053169"/>
      <w:bookmarkStart w:id="297" w:name="_Toc92708790"/>
      <w:bookmarkStart w:id="298" w:name="_Toc118186843"/>
      <w:bookmarkStart w:id="299" w:name="_Toc118366880"/>
      <w:r>
        <w:rPr>
          <w:b/>
          <w:bCs/>
        </w:rPr>
        <w:t>7.4.</w:t>
      </w:r>
      <w:r>
        <w:rPr>
          <w:rFonts w:hint="eastAsia"/>
          <w:b/>
          <w:bCs/>
        </w:rPr>
        <w:t>1</w:t>
      </w:r>
      <w:r>
        <w:rPr>
          <w:b/>
          <w:bCs/>
        </w:rPr>
        <w:t xml:space="preserve">  工程水土流失可能性分析</w:t>
      </w:r>
      <w:bookmarkEnd w:id="295"/>
      <w:bookmarkEnd w:id="296"/>
      <w:bookmarkEnd w:id="297"/>
      <w:bookmarkEnd w:id="298"/>
      <w:bookmarkEnd w:id="299"/>
    </w:p>
    <w:p>
      <w:pPr>
        <w:adjustRightInd w:val="0"/>
        <w:snapToGrid w:val="0"/>
        <w:spacing w:line="360" w:lineRule="auto"/>
        <w:ind w:firstLine="420" w:firstLineChars="200"/>
      </w:pPr>
      <w:r>
        <w:rPr>
          <w:rFonts w:hint="eastAsia"/>
        </w:rPr>
        <w:t>技改项目</w:t>
      </w:r>
      <w:r>
        <w:t>水土流失主要是在项目的施工期。</w:t>
      </w:r>
    </w:p>
    <w:p>
      <w:pPr>
        <w:adjustRightInd w:val="0"/>
        <w:snapToGrid w:val="0"/>
        <w:spacing w:line="360" w:lineRule="auto"/>
        <w:ind w:firstLine="420" w:firstLineChars="200"/>
      </w:pPr>
      <w:r>
        <w:rPr>
          <w:rFonts w:hint="eastAsia"/>
        </w:rPr>
        <w:t>项目</w:t>
      </w:r>
      <w:r>
        <w:t>施工中扰动地面面积大，可能引起水土流失的因素主要是人为因素，分析如下：</w:t>
      </w:r>
    </w:p>
    <w:p>
      <w:pPr>
        <w:adjustRightInd w:val="0"/>
        <w:snapToGrid w:val="0"/>
        <w:spacing w:line="360" w:lineRule="auto"/>
        <w:ind w:firstLine="420" w:firstLineChars="200"/>
      </w:pPr>
      <w:r>
        <w:rPr>
          <w:rFonts w:hint="eastAsia"/>
        </w:rPr>
        <w:t>（1）</w:t>
      </w:r>
      <w:r>
        <w:t xml:space="preserve"> 施工过程中由于机械碾压、人员践踏、土体翻出地表及埋放等过程，使植被遭到砍伐、铲除、淹覆。植被的破坏易使土壤受到外界的干扰，土层厚度、土体构型、理化性质或多或少地发生变化，虽然这种变化比较缓慢，若一旦受到强烈的干扰侵蚀（如遇降雨，特别是暴雨季节），泥沙物质随地表径流流向低洼区域，进入</w:t>
      </w:r>
      <w:r>
        <w:rPr>
          <w:rFonts w:hint="eastAsia"/>
        </w:rPr>
        <w:t>附近溪沟</w:t>
      </w:r>
      <w:r>
        <w:t>，从而形成水土流失。</w:t>
      </w:r>
    </w:p>
    <w:p>
      <w:pPr>
        <w:adjustRightInd w:val="0"/>
        <w:snapToGrid w:val="0"/>
        <w:spacing w:line="360" w:lineRule="auto"/>
        <w:ind w:firstLine="420" w:firstLineChars="200"/>
      </w:pPr>
      <w:r>
        <w:rPr>
          <w:rFonts w:hint="eastAsia"/>
        </w:rPr>
        <w:t>（2）</w:t>
      </w:r>
      <w:r>
        <w:t>厂房及设备基础施工时有一定量挖方和填方，临时堆积的弃土遇雨水会产生水土流失。</w:t>
      </w:r>
    </w:p>
    <w:p>
      <w:pPr>
        <w:spacing w:line="360" w:lineRule="auto"/>
        <w:rPr>
          <w:b/>
          <w:bCs/>
        </w:rPr>
      </w:pPr>
      <w:bookmarkStart w:id="300" w:name="_Toc117053170"/>
      <w:bookmarkStart w:id="301" w:name="_Toc118186844"/>
      <w:bookmarkStart w:id="302" w:name="_Toc117743250"/>
      <w:bookmarkStart w:id="303" w:name="_Toc118366881"/>
      <w:bookmarkStart w:id="304" w:name="_Toc92708791"/>
      <w:r>
        <w:rPr>
          <w:b/>
          <w:bCs/>
        </w:rPr>
        <w:t>7.4.</w:t>
      </w:r>
      <w:r>
        <w:rPr>
          <w:rFonts w:hint="eastAsia"/>
          <w:b/>
          <w:bCs/>
        </w:rPr>
        <w:t>2</w:t>
      </w:r>
      <w:r>
        <w:rPr>
          <w:b/>
          <w:bCs/>
        </w:rPr>
        <w:t xml:space="preserve">  水土流失影响分析</w:t>
      </w:r>
      <w:bookmarkEnd w:id="300"/>
      <w:bookmarkEnd w:id="301"/>
      <w:bookmarkEnd w:id="302"/>
      <w:bookmarkEnd w:id="303"/>
      <w:bookmarkEnd w:id="304"/>
    </w:p>
    <w:p>
      <w:pPr>
        <w:adjustRightInd w:val="0"/>
        <w:snapToGrid w:val="0"/>
        <w:spacing w:line="360" w:lineRule="auto"/>
        <w:ind w:firstLine="420" w:firstLineChars="200"/>
        <w:jc w:val="left"/>
      </w:pPr>
      <w:r>
        <w:rPr>
          <w:rFonts w:hint="eastAsia"/>
        </w:rPr>
        <w:t>（1）</w:t>
      </w:r>
      <w:r>
        <w:t>工程扰动原地貌、损坏土地和植被的面积</w:t>
      </w:r>
    </w:p>
    <w:p>
      <w:pPr>
        <w:adjustRightInd w:val="0"/>
        <w:snapToGrid w:val="0"/>
        <w:spacing w:line="360" w:lineRule="auto"/>
        <w:ind w:firstLine="420" w:firstLineChars="200"/>
        <w:jc w:val="left"/>
      </w:pPr>
      <w:r>
        <w:t>工程扰动土地主要包括项目建设区面积</w:t>
      </w:r>
      <w:r>
        <w:rPr>
          <w:rFonts w:hint="eastAsia"/>
        </w:rPr>
        <w:t>2.42</w:t>
      </w:r>
      <w:r>
        <w:t>hm2。</w:t>
      </w:r>
    </w:p>
    <w:p>
      <w:pPr>
        <w:adjustRightInd w:val="0"/>
        <w:snapToGrid w:val="0"/>
        <w:spacing w:line="360" w:lineRule="auto"/>
        <w:ind w:firstLine="420" w:firstLineChars="200"/>
        <w:jc w:val="left"/>
      </w:pPr>
      <w:r>
        <w:rPr>
          <w:rFonts w:hint="eastAsia"/>
        </w:rPr>
        <w:t>（2）</w:t>
      </w:r>
      <w:r>
        <w:t>土石方平衡</w:t>
      </w:r>
    </w:p>
    <w:p>
      <w:pPr>
        <w:adjustRightInd w:val="0"/>
        <w:snapToGrid w:val="0"/>
        <w:spacing w:line="360" w:lineRule="auto"/>
        <w:ind w:firstLine="630"/>
        <w:jc w:val="left"/>
        <w:rPr>
          <w:rFonts w:hint="eastAsia"/>
        </w:rPr>
      </w:pPr>
      <w:r>
        <w:t>本工程共开挖土石方约</w:t>
      </w:r>
      <w:r>
        <w:rPr>
          <w:rFonts w:hint="eastAsia"/>
        </w:rPr>
        <w:t>3.75</w:t>
      </w:r>
      <w:r>
        <w:t>万m3，</w:t>
      </w:r>
      <w:r>
        <w:rPr>
          <w:rFonts w:hint="eastAsia"/>
        </w:rPr>
        <w:t>全部在工程区域内平衡</w:t>
      </w:r>
      <w:r>
        <w:t>，不产生施工弃土</w:t>
      </w:r>
      <w:r>
        <w:rPr>
          <w:rFonts w:hint="eastAsia"/>
        </w:rPr>
        <w:t>和借方</w:t>
      </w:r>
      <w:r>
        <w:t>。</w:t>
      </w:r>
    </w:p>
    <w:p>
      <w:pPr>
        <w:adjustRightInd w:val="0"/>
        <w:snapToGrid w:val="0"/>
        <w:spacing w:line="360" w:lineRule="auto"/>
        <w:ind w:firstLine="420" w:firstLineChars="200"/>
        <w:jc w:val="left"/>
      </w:pPr>
      <w:r>
        <w:rPr>
          <w:rFonts w:hint="eastAsia"/>
        </w:rPr>
        <w:t>（3）</w:t>
      </w:r>
      <w:r>
        <w:t>水土流失的危害</w:t>
      </w:r>
    </w:p>
    <w:p>
      <w:pPr>
        <w:adjustRightInd w:val="0"/>
        <w:snapToGrid w:val="0"/>
        <w:spacing w:line="360" w:lineRule="auto"/>
        <w:ind w:firstLine="630"/>
        <w:jc w:val="left"/>
      </w:pPr>
      <w:r>
        <w:rPr>
          <w:rFonts w:hint="eastAsia" w:ascii="宋体" w:hAnsi="宋体"/>
        </w:rPr>
        <w:t>①</w:t>
      </w:r>
      <w:r>
        <w:t>表土流失，破坏土体构型。正常的自然土壤具有A、B和C层等发生层次，土壤侵蚀致使土壤流失，土层变薄，土壤发生层次缺失，破坏土体结构。</w:t>
      </w:r>
    </w:p>
    <w:p>
      <w:pPr>
        <w:adjustRightInd w:val="0"/>
        <w:snapToGrid w:val="0"/>
        <w:spacing w:line="360" w:lineRule="auto"/>
        <w:ind w:firstLine="630"/>
        <w:jc w:val="left"/>
      </w:pPr>
      <w:r>
        <w:rPr>
          <w:rFonts w:hint="eastAsia" w:ascii="宋体" w:hAnsi="宋体"/>
        </w:rPr>
        <w:t>②</w:t>
      </w:r>
      <w:r>
        <w:t xml:space="preserve"> 土壤养分流失，降低土壤肥力。土壤无论受到何种形式干扰，首先破坏肥力最高、养分最多、结构最好的表层土壤，土壤有机质、全氮、全磷含量随着土壤侵蚀强度的加剧而降低。</w:t>
      </w:r>
    </w:p>
    <w:p>
      <w:pPr>
        <w:adjustRightInd w:val="0"/>
        <w:snapToGrid w:val="0"/>
        <w:spacing w:line="360" w:lineRule="auto"/>
        <w:ind w:firstLine="630"/>
        <w:jc w:val="left"/>
      </w:pPr>
      <w:r>
        <w:rPr>
          <w:rFonts w:hint="eastAsia" w:ascii="宋体" w:hAnsi="宋体"/>
        </w:rPr>
        <w:t>③</w:t>
      </w:r>
      <w:r>
        <w:t>降低河道防洪标准，使洪水灾害频繁发生；淤埋房屋；桥（涵）、行洪道以超常速度淤积，破坏基础设施建设、危及交通、电力线安全；严重影响水源地。</w:t>
      </w:r>
    </w:p>
    <w:p>
      <w:pPr>
        <w:adjustRightInd w:val="0"/>
        <w:snapToGrid w:val="0"/>
        <w:spacing w:line="360" w:lineRule="auto"/>
        <w:ind w:firstLine="630"/>
        <w:jc w:val="left"/>
      </w:pPr>
      <w:r>
        <w:rPr>
          <w:rFonts w:hint="eastAsia" w:ascii="宋体" w:hAnsi="宋体"/>
        </w:rPr>
        <w:t>④</w:t>
      </w:r>
      <w:r>
        <w:t xml:space="preserve"> 生态环境恶化、景观破坏。特别是汛期暴雨期间，满地是黄泥污水，景观差。</w:t>
      </w:r>
    </w:p>
    <w:p>
      <w:pPr>
        <w:spacing w:line="360" w:lineRule="auto"/>
        <w:rPr>
          <w:b/>
          <w:bCs/>
        </w:rPr>
      </w:pPr>
      <w:bookmarkStart w:id="305" w:name="_Toc118186845"/>
      <w:bookmarkStart w:id="306" w:name="_Toc117053171"/>
      <w:bookmarkStart w:id="307" w:name="_Toc92708792"/>
      <w:bookmarkStart w:id="308" w:name="_Toc118366882"/>
      <w:bookmarkStart w:id="309" w:name="_Toc117743251"/>
      <w:r>
        <w:rPr>
          <w:b/>
          <w:bCs/>
        </w:rPr>
        <w:t>7.4.</w:t>
      </w:r>
      <w:r>
        <w:rPr>
          <w:rFonts w:hint="eastAsia"/>
          <w:b/>
          <w:bCs/>
        </w:rPr>
        <w:t>3</w:t>
      </w:r>
      <w:r>
        <w:rPr>
          <w:b/>
          <w:bCs/>
        </w:rPr>
        <w:t xml:space="preserve">  水土流失防治措施</w:t>
      </w:r>
      <w:bookmarkEnd w:id="305"/>
      <w:bookmarkEnd w:id="306"/>
      <w:bookmarkEnd w:id="307"/>
      <w:bookmarkEnd w:id="308"/>
      <w:bookmarkEnd w:id="309"/>
    </w:p>
    <w:p>
      <w:pPr>
        <w:adjustRightInd w:val="0"/>
        <w:snapToGrid w:val="0"/>
        <w:spacing w:line="360" w:lineRule="auto"/>
        <w:ind w:firstLine="630"/>
        <w:jc w:val="left"/>
      </w:pPr>
      <w:r>
        <w:t>为了防治水土流失，本工程以施工期为重点防治时段，因地制宜地采取各类水土流失防治措施，有效地预防和治理征地范围内的各类水土流失，使工程区域地面土壤侵蚀量减少，保障主体工程安全，改善区域生态环境质量，促进生产、生活、生态协调发展。本工程拟实行以下水土流失防治措施：</w:t>
      </w:r>
    </w:p>
    <w:p>
      <w:pPr>
        <w:adjustRightInd w:val="0"/>
        <w:snapToGrid w:val="0"/>
        <w:spacing w:line="360" w:lineRule="auto"/>
        <w:ind w:firstLine="630"/>
        <w:jc w:val="left"/>
      </w:pPr>
      <w:r>
        <w:t>(1)</w:t>
      </w:r>
      <w:r>
        <w:rPr>
          <w:rFonts w:hint="eastAsia"/>
        </w:rPr>
        <w:t xml:space="preserve"> </w:t>
      </w:r>
      <w:r>
        <w:t>修</w:t>
      </w:r>
      <w:r>
        <w:rPr>
          <w:rFonts w:hint="eastAsia"/>
        </w:rPr>
        <w:t>筑</w:t>
      </w:r>
      <w:r>
        <w:t>围墙，进行封闭性施工，严格控制施工范围；</w:t>
      </w:r>
    </w:p>
    <w:p>
      <w:pPr>
        <w:adjustRightInd w:val="0"/>
        <w:snapToGrid w:val="0"/>
        <w:spacing w:line="360" w:lineRule="auto"/>
        <w:ind w:firstLine="630"/>
        <w:jc w:val="left"/>
      </w:pPr>
      <w:r>
        <w:t>(2) 合理选择施工工序，回填土石方应分层碾压夯实；工程建设期间合理堆放建筑材料以及临时土石方，及时拦挡以控制渣量流失。在不影响主体工程建设的情况下，尽量对场地内道路进行提前硬化或同步施工；</w:t>
      </w:r>
    </w:p>
    <w:p>
      <w:pPr>
        <w:adjustRightInd w:val="0"/>
        <w:snapToGrid w:val="0"/>
        <w:spacing w:line="360" w:lineRule="auto"/>
        <w:ind w:firstLine="630"/>
        <w:jc w:val="left"/>
      </w:pPr>
      <w:r>
        <w:t>(3) 合理选择施工工期，尽量避免在雨季进行各种基础开挖，在不可避免的雨天施工时，为防止临时堆料、弃渣及开挖裸露土质边坡坡面等被雨水冲刷，</w:t>
      </w:r>
      <w:r>
        <w:rPr>
          <w:rFonts w:hint="eastAsia"/>
        </w:rPr>
        <w:t>应</w:t>
      </w:r>
      <w:r>
        <w:t>选用塑料薄膜进行覆盖，以避免水土流失；</w:t>
      </w:r>
    </w:p>
    <w:p>
      <w:pPr>
        <w:adjustRightInd w:val="0"/>
        <w:snapToGrid w:val="0"/>
        <w:spacing w:line="360" w:lineRule="auto"/>
        <w:ind w:firstLine="630"/>
        <w:jc w:val="left"/>
      </w:pPr>
      <w:r>
        <w:t>(4) 严格控制运输流失，对出入场区的工程车辆严格管理，严禁超载，防止在运输过程中洒落物料</w:t>
      </w:r>
      <w:r>
        <w:rPr>
          <w:rFonts w:hint="eastAsia"/>
        </w:rPr>
        <w:t>，</w:t>
      </w:r>
      <w:r>
        <w:t>车辆必须加盖防护，且车辆在驶出工程区时必须进行清洗</w:t>
      </w:r>
      <w:r>
        <w:rPr>
          <w:rFonts w:hint="eastAsia"/>
        </w:rPr>
        <w:t>，</w:t>
      </w:r>
      <w:r>
        <w:t>车辆冲洗站设置沉沙池；</w:t>
      </w:r>
    </w:p>
    <w:p>
      <w:pPr>
        <w:adjustRightInd w:val="0"/>
        <w:snapToGrid w:val="0"/>
        <w:spacing w:line="360" w:lineRule="auto"/>
        <w:ind w:firstLine="630"/>
        <w:jc w:val="left"/>
      </w:pPr>
      <w:r>
        <w:t>(5) 针对场区土石方平衡形成的裸露页岩边坡进行防护设计，采用喷浆机进行喷浆护坡，防止基岩风化剥落；</w:t>
      </w:r>
    </w:p>
    <w:p>
      <w:pPr>
        <w:adjustRightInd w:val="0"/>
        <w:snapToGrid w:val="0"/>
        <w:spacing w:line="360" w:lineRule="auto"/>
        <w:ind w:firstLine="630"/>
        <w:jc w:val="left"/>
      </w:pPr>
      <w:r>
        <w:t>(6) 场地内设置浆砌块石的截、排水沟，施工完后需进行场地平整；</w:t>
      </w:r>
    </w:p>
    <w:p>
      <w:pPr>
        <w:adjustRightInd w:val="0"/>
        <w:snapToGrid w:val="0"/>
        <w:spacing w:line="360" w:lineRule="auto"/>
        <w:ind w:firstLine="630"/>
        <w:jc w:val="left"/>
      </w:pPr>
      <w:r>
        <w:t>(7) 在临时堆土场采用填土编织袋进行拦挡，并在周边设临时排水沟和临时沉沙池；增加对沙砾等建筑材料的拦挡和覆盖；在雨季采用塑料薄膜对开挖坡面进行遮盖。</w:t>
      </w:r>
    </w:p>
    <w:p>
      <w:pPr>
        <w:adjustRightInd w:val="0"/>
        <w:snapToGrid w:val="0"/>
        <w:spacing w:line="360" w:lineRule="auto"/>
        <w:ind w:firstLine="630"/>
        <w:jc w:val="left"/>
        <w:rPr>
          <w:rFonts w:hint="eastAsia"/>
        </w:rPr>
      </w:pPr>
      <w:r>
        <w:t>(8) 植物可以阻止水土流失，植物的地上部分可以拦截降水，减轻雨滴溅击，削弱降水对土壤的破坏作用；因此在施工期间同时进行绿化工程建设，不仅可以有效降低水土流失，还可以减轻扬尘、噪声污染。绿化时首先应对场地四周进行绿化，分期对干道边和内场地进行绿化。</w:t>
      </w:r>
    </w:p>
    <w:p>
      <w:pPr>
        <w:spacing w:line="360" w:lineRule="auto"/>
        <w:rPr>
          <w:b/>
          <w:bCs/>
        </w:rPr>
      </w:pPr>
      <w:r>
        <w:rPr>
          <w:b/>
          <w:bCs/>
        </w:rPr>
        <w:t>7.4.</w:t>
      </w:r>
      <w:r>
        <w:rPr>
          <w:rFonts w:hint="eastAsia"/>
          <w:b/>
          <w:bCs/>
        </w:rPr>
        <w:t>4</w:t>
      </w:r>
      <w:r>
        <w:rPr>
          <w:b/>
          <w:bCs/>
        </w:rPr>
        <w:t xml:space="preserve">  水土保持效益分析</w:t>
      </w:r>
    </w:p>
    <w:p>
      <w:pPr>
        <w:adjustRightInd w:val="0"/>
        <w:snapToGrid w:val="0"/>
        <w:spacing w:line="360" w:lineRule="auto"/>
        <w:ind w:firstLine="420" w:firstLineChars="200"/>
        <w:jc w:val="left"/>
        <w:rPr>
          <w:rFonts w:hint="eastAsia"/>
          <w:snapToGrid w:val="0"/>
          <w:kern w:val="0"/>
        </w:rPr>
      </w:pPr>
      <w:r>
        <w:rPr>
          <w:snapToGrid w:val="0"/>
          <w:kern w:val="0"/>
        </w:rPr>
        <w:t>水土保持措施可有效减少洪水流量，改善土壤理化性质，提高土壤肥力，改善贴地层的温度、湿度，提高林草覆盖率。</w:t>
      </w:r>
      <w:r>
        <w:rPr>
          <w:rFonts w:hint="eastAsia"/>
          <w:snapToGrid w:val="0"/>
          <w:kern w:val="0"/>
        </w:rPr>
        <w:t>技改项目</w:t>
      </w:r>
      <w:r>
        <w:rPr>
          <w:snapToGrid w:val="0"/>
          <w:kern w:val="0"/>
        </w:rPr>
        <w:t>植物措施的实施，有利于维持厂区周围生态环境的稳定，提高保水保土能力，减少自然灾害的发生，并能取得一定的景观效益，提升</w:t>
      </w:r>
      <w:r>
        <w:rPr>
          <w:rFonts w:hint="eastAsia"/>
          <w:snapToGrid w:val="0"/>
          <w:kern w:val="0"/>
        </w:rPr>
        <w:t>厂区</w:t>
      </w:r>
      <w:r>
        <w:rPr>
          <w:snapToGrid w:val="0"/>
          <w:kern w:val="0"/>
        </w:rPr>
        <w:t>周围环境的品质。</w:t>
      </w:r>
      <w:bookmarkStart w:id="310" w:name="_Toc148057412"/>
      <w:bookmarkStart w:id="311" w:name="_Toc227653656"/>
      <w:bookmarkStart w:id="312" w:name="_Toc238263242"/>
      <w:bookmarkStart w:id="313" w:name="_Toc186181709"/>
      <w:bookmarkStart w:id="314" w:name="_Toc162694581"/>
      <w:bookmarkStart w:id="315" w:name="_Toc207187986"/>
      <w:bookmarkStart w:id="316" w:name="_Toc186182404"/>
    </w:p>
    <w:bookmarkEnd w:id="310"/>
    <w:p>
      <w:pPr>
        <w:spacing w:line="360" w:lineRule="auto"/>
        <w:outlineLvl w:val="1"/>
        <w:rPr>
          <w:rFonts w:hint="eastAsia"/>
          <w:b/>
          <w:bCs/>
        </w:rPr>
      </w:pPr>
      <w:bookmarkStart w:id="317" w:name="_Toc276372247"/>
      <w:r>
        <w:rPr>
          <w:rFonts w:hint="eastAsia"/>
          <w:b/>
          <w:bCs/>
        </w:rPr>
        <w:t>7.5 废弃放射源处置</w:t>
      </w:r>
      <w:bookmarkEnd w:id="317"/>
    </w:p>
    <w:p>
      <w:pPr>
        <w:spacing w:line="360" w:lineRule="auto"/>
        <w:ind w:firstLine="472" w:firstLineChars="225"/>
        <w:rPr>
          <w:rFonts w:hint="eastAsia"/>
          <w:snapToGrid w:val="0"/>
          <w:color w:val="FF0000"/>
          <w:kern w:val="0"/>
        </w:rPr>
      </w:pPr>
      <w:bookmarkStart w:id="318" w:name="_Toc276372248"/>
      <w:bookmarkStart w:id="319" w:name="_Toc276372161"/>
      <w:r>
        <w:rPr>
          <w:rFonts w:hint="eastAsia"/>
          <w:snapToGrid w:val="0"/>
          <w:color w:val="FF0000"/>
          <w:kern w:val="0"/>
        </w:rPr>
        <w:t>现有机立窑生产线生产过程中涉及6枚放射源，在立窑拆除后，青鹏公司应做好废弃放射源的安全处置工作，对拆卸的放射源实施封存，严禁转让、买卖含放射源设备，及时主动与重庆市辐射环境管理站联系，协调安全转移放射源的有关事项，确保放射源全部得到妥善安全处置。</w:t>
      </w:r>
      <w:bookmarkEnd w:id="318"/>
      <w:bookmarkEnd w:id="319"/>
    </w:p>
    <w:p>
      <w:pPr>
        <w:spacing w:line="360" w:lineRule="auto"/>
        <w:outlineLvl w:val="1"/>
        <w:rPr>
          <w:b/>
          <w:bCs/>
        </w:rPr>
      </w:pPr>
      <w:bookmarkStart w:id="320" w:name="_Toc276372249"/>
      <w:r>
        <w:rPr>
          <w:rFonts w:hint="eastAsia"/>
          <w:b/>
          <w:bCs/>
        </w:rPr>
        <w:t xml:space="preserve">7.6 </w:t>
      </w:r>
      <w:r>
        <w:rPr>
          <w:b/>
          <w:bCs/>
        </w:rPr>
        <w:t>小结</w:t>
      </w:r>
      <w:bookmarkEnd w:id="311"/>
      <w:bookmarkEnd w:id="312"/>
      <w:bookmarkEnd w:id="313"/>
      <w:bookmarkEnd w:id="314"/>
      <w:bookmarkEnd w:id="315"/>
      <w:bookmarkEnd w:id="316"/>
      <w:bookmarkEnd w:id="320"/>
    </w:p>
    <w:p>
      <w:pPr>
        <w:spacing w:line="360" w:lineRule="auto"/>
        <w:ind w:firstLine="420" w:firstLineChars="200"/>
        <w:rPr>
          <w:rFonts w:hint="eastAsia"/>
          <w:snapToGrid w:val="0"/>
          <w:kern w:val="0"/>
        </w:rPr>
      </w:pPr>
      <w:r>
        <w:rPr>
          <w:rFonts w:hint="eastAsia"/>
          <w:snapToGrid w:val="0"/>
          <w:kern w:val="0"/>
        </w:rPr>
        <w:t>技改项目</w:t>
      </w:r>
      <w:r>
        <w:rPr>
          <w:snapToGrid w:val="0"/>
          <w:kern w:val="0"/>
        </w:rPr>
        <w:t>在施工活动中将不可避免地在一定程度上对施工区附近环境产生短期的影响。在对施工期产生的噪声、废气、废水、固体废物</w:t>
      </w:r>
      <w:r>
        <w:rPr>
          <w:rFonts w:hint="eastAsia"/>
          <w:snapToGrid w:val="0"/>
          <w:kern w:val="0"/>
        </w:rPr>
        <w:t>及放射源</w:t>
      </w:r>
      <w:r>
        <w:rPr>
          <w:snapToGrid w:val="0"/>
          <w:kern w:val="0"/>
        </w:rPr>
        <w:t>采取相应的防治和减缓措施后，施工活动对环境产生的影响可得到有效的控制，对周围环境影响较小。</w:t>
      </w:r>
    </w:p>
    <w:p>
      <w:pPr>
        <w:spacing w:line="360" w:lineRule="auto"/>
        <w:rPr>
          <w:rFonts w:hint="eastAsia" w:ascii="Tunga" w:hAnsi="Tunga" w:cs="Tunga"/>
        </w:rPr>
      </w:pPr>
    </w:p>
    <w:p>
      <w:pPr>
        <w:spacing w:line="460" w:lineRule="exact"/>
        <w:ind w:firstLine="420" w:firstLineChars="200"/>
        <w:rPr>
          <w:rFonts w:ascii="宋体" w:hAnsi="宋体"/>
        </w:rPr>
        <w:sectPr>
          <w:pgSz w:w="11906" w:h="16838"/>
          <w:pgMar w:top="1134" w:right="1418" w:bottom="1134" w:left="1418" w:header="851" w:footer="992" w:gutter="0"/>
          <w:paperSrc w:first="20070" w:other="20070"/>
          <w:cols w:space="425" w:num="1"/>
          <w:docGrid w:linePitch="312" w:charSpace="0"/>
        </w:sectPr>
      </w:pPr>
      <w:bookmarkStart w:id="321" w:name="_Toc175479827"/>
    </w:p>
    <w:bookmarkEnd w:id="321"/>
    <w:p>
      <w:pPr>
        <w:spacing w:line="360" w:lineRule="auto"/>
        <w:outlineLvl w:val="0"/>
        <w:rPr>
          <w:b/>
          <w:sz w:val="28"/>
          <w:szCs w:val="28"/>
        </w:rPr>
      </w:pPr>
      <w:bookmarkStart w:id="322" w:name="_Toc276372250"/>
      <w:bookmarkStart w:id="323" w:name="_Toc175479831"/>
      <w:bookmarkStart w:id="324" w:name="_Toc189814171"/>
      <w:bookmarkStart w:id="325" w:name="_Toc240769621"/>
      <w:bookmarkStart w:id="326" w:name="_Toc473281529"/>
      <w:r>
        <w:rPr>
          <w:rFonts w:hint="eastAsia"/>
          <w:b/>
          <w:sz w:val="28"/>
          <w:szCs w:val="28"/>
        </w:rPr>
        <w:t>8</w:t>
      </w:r>
      <w:r>
        <w:rPr>
          <w:b/>
          <w:sz w:val="28"/>
          <w:szCs w:val="28"/>
        </w:rPr>
        <w:t xml:space="preserve"> 环境影响预测与评价</w:t>
      </w:r>
      <w:bookmarkEnd w:id="322"/>
    </w:p>
    <w:p>
      <w:pPr>
        <w:spacing w:line="360" w:lineRule="auto"/>
        <w:outlineLvl w:val="1"/>
        <w:rPr>
          <w:b/>
          <w:bCs/>
        </w:rPr>
      </w:pPr>
      <w:bookmarkStart w:id="327" w:name="_Toc175479828"/>
      <w:bookmarkStart w:id="328" w:name="_Toc473281528"/>
      <w:bookmarkStart w:id="329" w:name="_Toc276372251"/>
      <w:bookmarkStart w:id="330" w:name="_Toc189814170"/>
      <w:r>
        <w:rPr>
          <w:rFonts w:hint="eastAsia"/>
          <w:b/>
          <w:bCs/>
        </w:rPr>
        <w:t>8</w:t>
      </w:r>
      <w:r>
        <w:rPr>
          <w:b/>
          <w:bCs/>
        </w:rPr>
        <w:t>.1环境空气影响预测与评价</w:t>
      </w:r>
      <w:bookmarkEnd w:id="327"/>
      <w:bookmarkEnd w:id="328"/>
      <w:bookmarkEnd w:id="329"/>
      <w:bookmarkEnd w:id="330"/>
    </w:p>
    <w:p>
      <w:pPr>
        <w:adjustRightInd w:val="0"/>
        <w:snapToGrid w:val="0"/>
        <w:spacing w:line="360" w:lineRule="auto"/>
      </w:pPr>
      <w:r>
        <w:rPr>
          <w:rFonts w:hint="eastAsia"/>
          <w:b/>
        </w:rPr>
        <w:t>8</w:t>
      </w:r>
      <w:r>
        <w:rPr>
          <w:b/>
        </w:rPr>
        <w:t>.1.1主要污染气象特征</w:t>
      </w:r>
    </w:p>
    <w:p>
      <w:pPr>
        <w:adjustRightInd w:val="0"/>
        <w:snapToGrid w:val="0"/>
        <w:spacing w:line="360" w:lineRule="auto"/>
        <w:ind w:firstLine="420" w:firstLineChars="200"/>
      </w:pPr>
      <w:r>
        <w:t>本次评价</w:t>
      </w:r>
      <w:r>
        <w:rPr>
          <w:rFonts w:hint="eastAsia"/>
        </w:rPr>
        <w:t>常规气象资料</w:t>
      </w:r>
      <w:r>
        <w:t>采用沙坪坝</w:t>
      </w:r>
      <w:r>
        <w:rPr>
          <w:rFonts w:hint="eastAsia"/>
        </w:rPr>
        <w:t>区</w:t>
      </w:r>
      <w:r>
        <w:t>气象站</w:t>
      </w:r>
      <w:r>
        <w:rPr>
          <w:rFonts w:hint="eastAsia"/>
        </w:rPr>
        <w:t>和白市驿站</w:t>
      </w:r>
      <w:r>
        <w:t>近</w:t>
      </w:r>
      <w:r>
        <w:rPr>
          <w:rFonts w:hint="eastAsia"/>
        </w:rPr>
        <w:t>20</w:t>
      </w:r>
      <w:r>
        <w:t>年气候观测资料</w:t>
      </w:r>
      <w:r>
        <w:rPr>
          <w:rFonts w:hint="eastAsia"/>
        </w:rPr>
        <w:t>，预测采用沙坪坝区</w:t>
      </w:r>
      <w:r>
        <w:t>200</w:t>
      </w:r>
      <w:r>
        <w:rPr>
          <w:rFonts w:hint="eastAsia"/>
        </w:rPr>
        <w:t>7</w:t>
      </w:r>
      <w:r>
        <w:t>年</w:t>
      </w:r>
      <w:r>
        <w:rPr>
          <w:rFonts w:hint="eastAsia"/>
        </w:rPr>
        <w:t>全年</w:t>
      </w:r>
      <w:r>
        <w:t>地面气象小时连续观测资料，主要包括风向、风速、气温、云量</w:t>
      </w:r>
      <w:r>
        <w:rPr>
          <w:rFonts w:hint="eastAsia"/>
        </w:rPr>
        <w:t>等</w:t>
      </w:r>
      <w:r>
        <w:t>。</w:t>
      </w:r>
      <w:r>
        <w:rPr>
          <w:rFonts w:hint="eastAsia"/>
        </w:rPr>
        <w:t>白市驿气象站</w:t>
      </w:r>
      <w:r>
        <w:t>距技改项目直线距离约</w:t>
      </w:r>
      <w:r>
        <w:rPr>
          <w:rFonts w:hint="eastAsia"/>
        </w:rPr>
        <w:t>20.56</w:t>
      </w:r>
      <w:r>
        <w:t>km，沙坪坝气象站距技改项目直线距离约</w:t>
      </w:r>
      <w:r>
        <w:rPr>
          <w:rFonts w:hint="eastAsia"/>
        </w:rPr>
        <w:t>19.68</w:t>
      </w:r>
      <w:r>
        <w:t>km，</w:t>
      </w:r>
      <w:r>
        <w:rPr>
          <w:rFonts w:hint="eastAsia"/>
        </w:rPr>
        <w:t>两个</w:t>
      </w:r>
      <w:r>
        <w:t>气象站与技改项目所在地的地理条件基本一致，</w:t>
      </w:r>
      <w:r>
        <w:rPr>
          <w:rFonts w:hint="eastAsia"/>
        </w:rPr>
        <w:t>能满足气象观测资料调查要求。</w:t>
      </w:r>
      <w:r>
        <w:t xml:space="preserve"> </w:t>
      </w:r>
    </w:p>
    <w:p>
      <w:pPr>
        <w:adjustRightInd w:val="0"/>
        <w:snapToGrid w:val="0"/>
        <w:spacing w:line="360" w:lineRule="auto"/>
        <w:ind w:firstLine="420" w:firstLineChars="200"/>
        <w:textAlignment w:val="baseline"/>
      </w:pPr>
      <w:r>
        <w:t>（1）常规气象资料分析</w:t>
      </w:r>
    </w:p>
    <w:p>
      <w:pPr>
        <w:adjustRightInd w:val="0"/>
        <w:snapToGrid w:val="0"/>
        <w:spacing w:line="360" w:lineRule="auto"/>
        <w:ind w:firstLine="420" w:firstLineChars="200"/>
      </w:pPr>
      <w:r>
        <w:rPr>
          <w:rFonts w:hAnsi="宋体"/>
        </w:rPr>
        <w:t>沙坪坝区属于四川盆地亚热带委风湿润气候区的盆地南部长江河谷区，从纬度位置看，是全球的副热带高压带，气候应干热少雨，但由于受东亚季风环境影响显著，因此具有明显的季风气候特点。其气候特征是：气候温和、雨量充沛、冬暖春早、秋短夏长、初夏多雨、盛夏炎热多伏旱、秋多阴雨、雨热同季、无霜期长、湿度大、风速小、云雾多、日照少的气候特点。</w:t>
      </w:r>
    </w:p>
    <w:p>
      <w:pPr>
        <w:adjustRightInd w:val="0"/>
        <w:snapToGrid w:val="0"/>
        <w:spacing w:line="360" w:lineRule="auto"/>
        <w:ind w:firstLine="420" w:firstLineChars="200"/>
        <w:textAlignment w:val="baseline"/>
        <w:rPr>
          <w:rFonts w:hint="eastAsia" w:ascii="宋体" w:hAnsi="宋体"/>
        </w:rPr>
      </w:pPr>
      <w:r>
        <w:rPr>
          <w:rFonts w:hint="eastAsia" w:ascii="宋体" w:hAnsi="宋体"/>
        </w:rPr>
        <w:t>◆气温</w:t>
      </w:r>
    </w:p>
    <w:p>
      <w:pPr>
        <w:adjustRightInd w:val="0"/>
        <w:snapToGrid w:val="0"/>
        <w:spacing w:line="360" w:lineRule="auto"/>
        <w:ind w:firstLine="420" w:firstLineChars="200"/>
        <w:textAlignment w:val="baseline"/>
      </w:pPr>
      <w:r>
        <w:t>沙坪坝区多年月平均温度1月最低，为8.</w:t>
      </w:r>
      <w:r>
        <w:rPr>
          <w:rFonts w:hint="eastAsia"/>
        </w:rPr>
        <w:t>0</w:t>
      </w:r>
      <w:r>
        <w:t>℃，7月份平均温度最高，为28.</w:t>
      </w:r>
      <w:r>
        <w:rPr>
          <w:rFonts w:hint="eastAsia"/>
        </w:rPr>
        <w:t>8</w:t>
      </w:r>
      <w:r>
        <w:t>℃，全年平均温度为18.</w:t>
      </w:r>
      <w:r>
        <w:rPr>
          <w:rFonts w:hint="eastAsia"/>
        </w:rPr>
        <w:t>7</w:t>
      </w:r>
      <w:r>
        <w:t>℃。沙坪坝区年平均温度的月变化情况见表</w:t>
      </w:r>
      <w:r>
        <w:rPr>
          <w:rFonts w:hint="eastAsia"/>
        </w:rPr>
        <w:t>8</w:t>
      </w:r>
      <w:r>
        <w:t>-1和图</w:t>
      </w:r>
      <w:r>
        <w:rPr>
          <w:rFonts w:hint="eastAsia"/>
        </w:rPr>
        <w:t>8</w:t>
      </w:r>
      <w:r>
        <w:t>.1。</w:t>
      </w:r>
    </w:p>
    <w:p>
      <w:pPr>
        <w:adjustRightInd w:val="0"/>
        <w:snapToGrid w:val="0"/>
        <w:spacing w:line="348" w:lineRule="auto"/>
        <w:jc w:val="center"/>
        <w:rPr>
          <w:b/>
        </w:rPr>
      </w:pPr>
      <w:r>
        <w:rPr>
          <w:b/>
        </w:rPr>
        <w:t>表</w:t>
      </w:r>
      <w:r>
        <w:rPr>
          <w:rFonts w:hint="eastAsia"/>
          <w:b/>
        </w:rPr>
        <w:t>8</w:t>
      </w:r>
      <w:r>
        <w:rPr>
          <w:b/>
        </w:rPr>
        <w:t>-1  年平均温度的月变化</w:t>
      </w:r>
    </w:p>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573"/>
        <w:gridCol w:w="658"/>
        <w:gridCol w:w="703"/>
        <w:gridCol w:w="702"/>
        <w:gridCol w:w="702"/>
        <w:gridCol w:w="702"/>
        <w:gridCol w:w="702"/>
        <w:gridCol w:w="702"/>
        <w:gridCol w:w="702"/>
        <w:gridCol w:w="702"/>
        <w:gridCol w:w="702"/>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34" w:type="dxa"/>
            <w:noWrap w:val="0"/>
            <w:vAlign w:val="center"/>
          </w:tcPr>
          <w:p>
            <w:pPr>
              <w:spacing w:line="360" w:lineRule="auto"/>
              <w:jc w:val="center"/>
              <w:rPr>
                <w:sz w:val="21"/>
                <w:szCs w:val="21"/>
              </w:rPr>
            </w:pPr>
            <w:r>
              <w:rPr>
                <w:sz w:val="21"/>
                <w:szCs w:val="21"/>
              </w:rPr>
              <w:t>月份</w:t>
            </w:r>
          </w:p>
        </w:tc>
        <w:tc>
          <w:tcPr>
            <w:tcW w:w="573" w:type="dxa"/>
            <w:noWrap w:val="0"/>
            <w:vAlign w:val="center"/>
          </w:tcPr>
          <w:p>
            <w:pPr>
              <w:spacing w:line="360" w:lineRule="auto"/>
              <w:jc w:val="center"/>
              <w:rPr>
                <w:sz w:val="21"/>
                <w:szCs w:val="21"/>
              </w:rPr>
            </w:pPr>
            <w:r>
              <w:rPr>
                <w:sz w:val="21"/>
                <w:szCs w:val="21"/>
              </w:rPr>
              <w:t>1月</w:t>
            </w:r>
          </w:p>
        </w:tc>
        <w:tc>
          <w:tcPr>
            <w:tcW w:w="658" w:type="dxa"/>
            <w:noWrap w:val="0"/>
            <w:vAlign w:val="center"/>
          </w:tcPr>
          <w:p>
            <w:pPr>
              <w:spacing w:line="360" w:lineRule="auto"/>
              <w:jc w:val="center"/>
              <w:rPr>
                <w:sz w:val="21"/>
                <w:szCs w:val="21"/>
              </w:rPr>
            </w:pPr>
            <w:r>
              <w:rPr>
                <w:sz w:val="21"/>
                <w:szCs w:val="21"/>
              </w:rPr>
              <w:t>2月</w:t>
            </w:r>
          </w:p>
        </w:tc>
        <w:tc>
          <w:tcPr>
            <w:tcW w:w="703" w:type="dxa"/>
            <w:noWrap w:val="0"/>
            <w:vAlign w:val="center"/>
          </w:tcPr>
          <w:p>
            <w:pPr>
              <w:spacing w:line="360" w:lineRule="auto"/>
              <w:jc w:val="center"/>
              <w:rPr>
                <w:sz w:val="21"/>
                <w:szCs w:val="21"/>
              </w:rPr>
            </w:pPr>
            <w:r>
              <w:rPr>
                <w:sz w:val="21"/>
                <w:szCs w:val="21"/>
              </w:rPr>
              <w:t>3月</w:t>
            </w:r>
          </w:p>
        </w:tc>
        <w:tc>
          <w:tcPr>
            <w:tcW w:w="702" w:type="dxa"/>
            <w:noWrap w:val="0"/>
            <w:vAlign w:val="center"/>
          </w:tcPr>
          <w:p>
            <w:pPr>
              <w:spacing w:line="360" w:lineRule="auto"/>
              <w:jc w:val="center"/>
              <w:rPr>
                <w:sz w:val="21"/>
                <w:szCs w:val="21"/>
              </w:rPr>
            </w:pPr>
            <w:r>
              <w:rPr>
                <w:sz w:val="21"/>
                <w:szCs w:val="21"/>
              </w:rPr>
              <w:t>4月</w:t>
            </w:r>
          </w:p>
        </w:tc>
        <w:tc>
          <w:tcPr>
            <w:tcW w:w="702" w:type="dxa"/>
            <w:noWrap w:val="0"/>
            <w:vAlign w:val="center"/>
          </w:tcPr>
          <w:p>
            <w:pPr>
              <w:spacing w:line="360" w:lineRule="auto"/>
              <w:jc w:val="center"/>
              <w:rPr>
                <w:sz w:val="21"/>
                <w:szCs w:val="21"/>
              </w:rPr>
            </w:pPr>
            <w:r>
              <w:rPr>
                <w:sz w:val="21"/>
                <w:szCs w:val="21"/>
              </w:rPr>
              <w:t>5月</w:t>
            </w:r>
          </w:p>
        </w:tc>
        <w:tc>
          <w:tcPr>
            <w:tcW w:w="702" w:type="dxa"/>
            <w:noWrap w:val="0"/>
            <w:vAlign w:val="center"/>
          </w:tcPr>
          <w:p>
            <w:pPr>
              <w:spacing w:line="360" w:lineRule="auto"/>
              <w:jc w:val="center"/>
              <w:rPr>
                <w:sz w:val="21"/>
                <w:szCs w:val="21"/>
              </w:rPr>
            </w:pPr>
            <w:r>
              <w:rPr>
                <w:sz w:val="21"/>
                <w:szCs w:val="21"/>
              </w:rPr>
              <w:t>6月</w:t>
            </w:r>
          </w:p>
        </w:tc>
        <w:tc>
          <w:tcPr>
            <w:tcW w:w="702" w:type="dxa"/>
            <w:noWrap w:val="0"/>
            <w:vAlign w:val="center"/>
          </w:tcPr>
          <w:p>
            <w:pPr>
              <w:spacing w:line="360" w:lineRule="auto"/>
              <w:jc w:val="center"/>
              <w:rPr>
                <w:sz w:val="21"/>
                <w:szCs w:val="21"/>
              </w:rPr>
            </w:pPr>
            <w:r>
              <w:rPr>
                <w:sz w:val="21"/>
                <w:szCs w:val="21"/>
              </w:rPr>
              <w:t>7月</w:t>
            </w:r>
          </w:p>
        </w:tc>
        <w:tc>
          <w:tcPr>
            <w:tcW w:w="702" w:type="dxa"/>
            <w:noWrap w:val="0"/>
            <w:vAlign w:val="center"/>
          </w:tcPr>
          <w:p>
            <w:pPr>
              <w:spacing w:line="360" w:lineRule="auto"/>
              <w:jc w:val="center"/>
              <w:rPr>
                <w:sz w:val="21"/>
                <w:szCs w:val="21"/>
              </w:rPr>
            </w:pPr>
            <w:r>
              <w:rPr>
                <w:sz w:val="21"/>
                <w:szCs w:val="21"/>
              </w:rPr>
              <w:t>8月</w:t>
            </w:r>
          </w:p>
        </w:tc>
        <w:tc>
          <w:tcPr>
            <w:tcW w:w="702" w:type="dxa"/>
            <w:noWrap w:val="0"/>
            <w:vAlign w:val="center"/>
          </w:tcPr>
          <w:p>
            <w:pPr>
              <w:spacing w:line="360" w:lineRule="auto"/>
              <w:jc w:val="center"/>
              <w:rPr>
                <w:sz w:val="21"/>
                <w:szCs w:val="21"/>
              </w:rPr>
            </w:pPr>
            <w:r>
              <w:rPr>
                <w:sz w:val="21"/>
                <w:szCs w:val="21"/>
              </w:rPr>
              <w:t>9月</w:t>
            </w:r>
          </w:p>
        </w:tc>
        <w:tc>
          <w:tcPr>
            <w:tcW w:w="702" w:type="dxa"/>
            <w:noWrap w:val="0"/>
            <w:vAlign w:val="center"/>
          </w:tcPr>
          <w:p>
            <w:pPr>
              <w:spacing w:line="360" w:lineRule="auto"/>
              <w:jc w:val="center"/>
              <w:rPr>
                <w:sz w:val="21"/>
                <w:szCs w:val="21"/>
              </w:rPr>
            </w:pPr>
            <w:r>
              <w:rPr>
                <w:sz w:val="21"/>
                <w:szCs w:val="21"/>
              </w:rPr>
              <w:t>10月</w:t>
            </w:r>
          </w:p>
        </w:tc>
        <w:tc>
          <w:tcPr>
            <w:tcW w:w="702" w:type="dxa"/>
            <w:noWrap w:val="0"/>
            <w:vAlign w:val="center"/>
          </w:tcPr>
          <w:p>
            <w:pPr>
              <w:spacing w:line="360" w:lineRule="auto"/>
              <w:jc w:val="center"/>
              <w:rPr>
                <w:sz w:val="21"/>
                <w:szCs w:val="21"/>
              </w:rPr>
            </w:pPr>
            <w:r>
              <w:rPr>
                <w:sz w:val="21"/>
                <w:szCs w:val="21"/>
              </w:rPr>
              <w:t>11月</w:t>
            </w:r>
          </w:p>
        </w:tc>
        <w:tc>
          <w:tcPr>
            <w:tcW w:w="702" w:type="dxa"/>
            <w:noWrap w:val="0"/>
            <w:vAlign w:val="center"/>
          </w:tcPr>
          <w:p>
            <w:pPr>
              <w:spacing w:line="360" w:lineRule="auto"/>
              <w:jc w:val="center"/>
              <w:rPr>
                <w:sz w:val="21"/>
                <w:szCs w:val="21"/>
              </w:rPr>
            </w:pPr>
            <w:r>
              <w:rPr>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034" w:type="dxa"/>
            <w:noWrap w:val="0"/>
            <w:vAlign w:val="center"/>
          </w:tcPr>
          <w:p>
            <w:pPr>
              <w:spacing w:line="360" w:lineRule="auto"/>
              <w:jc w:val="center"/>
              <w:rPr>
                <w:sz w:val="21"/>
                <w:szCs w:val="21"/>
              </w:rPr>
            </w:pPr>
            <w:r>
              <w:rPr>
                <w:sz w:val="21"/>
                <w:szCs w:val="21"/>
              </w:rPr>
              <w:t>温度（℃）</w:t>
            </w:r>
          </w:p>
        </w:tc>
        <w:tc>
          <w:tcPr>
            <w:tcW w:w="573" w:type="dxa"/>
            <w:noWrap w:val="0"/>
            <w:vAlign w:val="center"/>
          </w:tcPr>
          <w:p>
            <w:pPr>
              <w:spacing w:line="360" w:lineRule="auto"/>
              <w:jc w:val="center"/>
              <w:rPr>
                <w:rFonts w:hint="eastAsia"/>
                <w:sz w:val="21"/>
                <w:szCs w:val="21"/>
              </w:rPr>
            </w:pPr>
            <w:r>
              <w:rPr>
                <w:rFonts w:hint="eastAsia"/>
                <w:sz w:val="21"/>
                <w:szCs w:val="21"/>
              </w:rPr>
              <w:t>8.0</w:t>
            </w:r>
          </w:p>
        </w:tc>
        <w:tc>
          <w:tcPr>
            <w:tcW w:w="658" w:type="dxa"/>
            <w:noWrap w:val="0"/>
            <w:vAlign w:val="center"/>
          </w:tcPr>
          <w:p>
            <w:pPr>
              <w:spacing w:line="360" w:lineRule="auto"/>
              <w:jc w:val="center"/>
              <w:rPr>
                <w:rFonts w:hint="eastAsia"/>
                <w:sz w:val="21"/>
                <w:szCs w:val="21"/>
              </w:rPr>
            </w:pPr>
            <w:r>
              <w:rPr>
                <w:rFonts w:hint="eastAsia"/>
                <w:sz w:val="21"/>
                <w:szCs w:val="21"/>
              </w:rPr>
              <w:t>10.4</w:t>
            </w:r>
          </w:p>
        </w:tc>
        <w:tc>
          <w:tcPr>
            <w:tcW w:w="703" w:type="dxa"/>
            <w:noWrap w:val="0"/>
            <w:vAlign w:val="center"/>
          </w:tcPr>
          <w:p>
            <w:pPr>
              <w:spacing w:line="360" w:lineRule="auto"/>
              <w:jc w:val="center"/>
              <w:rPr>
                <w:rFonts w:hint="eastAsia"/>
                <w:sz w:val="21"/>
                <w:szCs w:val="21"/>
              </w:rPr>
            </w:pPr>
            <w:r>
              <w:rPr>
                <w:rFonts w:hint="eastAsia"/>
                <w:sz w:val="21"/>
                <w:szCs w:val="21"/>
              </w:rPr>
              <w:t>14.5</w:t>
            </w:r>
          </w:p>
        </w:tc>
        <w:tc>
          <w:tcPr>
            <w:tcW w:w="702" w:type="dxa"/>
            <w:noWrap w:val="0"/>
            <w:vAlign w:val="center"/>
          </w:tcPr>
          <w:p>
            <w:pPr>
              <w:spacing w:line="360" w:lineRule="auto"/>
              <w:jc w:val="center"/>
              <w:rPr>
                <w:rFonts w:hint="eastAsia"/>
                <w:sz w:val="21"/>
                <w:szCs w:val="21"/>
              </w:rPr>
            </w:pPr>
            <w:r>
              <w:rPr>
                <w:rFonts w:hint="eastAsia"/>
                <w:sz w:val="21"/>
                <w:szCs w:val="21"/>
              </w:rPr>
              <w:t>19.3</w:t>
            </w:r>
          </w:p>
        </w:tc>
        <w:tc>
          <w:tcPr>
            <w:tcW w:w="702" w:type="dxa"/>
            <w:noWrap w:val="0"/>
            <w:vAlign w:val="center"/>
          </w:tcPr>
          <w:p>
            <w:pPr>
              <w:spacing w:line="360" w:lineRule="auto"/>
              <w:jc w:val="center"/>
              <w:rPr>
                <w:rFonts w:hint="eastAsia"/>
                <w:sz w:val="21"/>
                <w:szCs w:val="21"/>
              </w:rPr>
            </w:pPr>
            <w:r>
              <w:rPr>
                <w:rFonts w:hint="eastAsia"/>
                <w:sz w:val="21"/>
                <w:szCs w:val="21"/>
              </w:rPr>
              <w:t>22.9</w:t>
            </w:r>
          </w:p>
        </w:tc>
        <w:tc>
          <w:tcPr>
            <w:tcW w:w="702" w:type="dxa"/>
            <w:noWrap w:val="0"/>
            <w:vAlign w:val="center"/>
          </w:tcPr>
          <w:p>
            <w:pPr>
              <w:spacing w:line="360" w:lineRule="auto"/>
              <w:jc w:val="center"/>
              <w:rPr>
                <w:rFonts w:hint="eastAsia"/>
                <w:sz w:val="21"/>
                <w:szCs w:val="21"/>
              </w:rPr>
            </w:pPr>
            <w:r>
              <w:rPr>
                <w:rFonts w:hint="eastAsia"/>
                <w:sz w:val="21"/>
                <w:szCs w:val="21"/>
              </w:rPr>
              <w:t>25.0</w:t>
            </w:r>
          </w:p>
        </w:tc>
        <w:tc>
          <w:tcPr>
            <w:tcW w:w="702" w:type="dxa"/>
            <w:noWrap w:val="0"/>
            <w:vAlign w:val="center"/>
          </w:tcPr>
          <w:p>
            <w:pPr>
              <w:spacing w:line="360" w:lineRule="auto"/>
              <w:jc w:val="center"/>
              <w:rPr>
                <w:rFonts w:hint="eastAsia"/>
                <w:sz w:val="21"/>
                <w:szCs w:val="21"/>
              </w:rPr>
            </w:pPr>
            <w:r>
              <w:rPr>
                <w:rFonts w:hint="eastAsia"/>
                <w:sz w:val="21"/>
                <w:szCs w:val="21"/>
              </w:rPr>
              <w:t>28.8</w:t>
            </w:r>
          </w:p>
        </w:tc>
        <w:tc>
          <w:tcPr>
            <w:tcW w:w="702" w:type="dxa"/>
            <w:noWrap w:val="0"/>
            <w:vAlign w:val="center"/>
          </w:tcPr>
          <w:p>
            <w:pPr>
              <w:spacing w:line="360" w:lineRule="auto"/>
              <w:jc w:val="center"/>
              <w:rPr>
                <w:rFonts w:hint="eastAsia"/>
                <w:sz w:val="21"/>
                <w:szCs w:val="21"/>
              </w:rPr>
            </w:pPr>
            <w:r>
              <w:rPr>
                <w:rFonts w:hint="eastAsia"/>
                <w:sz w:val="21"/>
                <w:szCs w:val="21"/>
              </w:rPr>
              <w:t>28.2</w:t>
            </w:r>
          </w:p>
        </w:tc>
        <w:tc>
          <w:tcPr>
            <w:tcW w:w="702" w:type="dxa"/>
            <w:noWrap w:val="0"/>
            <w:vAlign w:val="center"/>
          </w:tcPr>
          <w:p>
            <w:pPr>
              <w:spacing w:line="360" w:lineRule="auto"/>
              <w:jc w:val="center"/>
              <w:rPr>
                <w:rFonts w:hint="eastAsia"/>
                <w:sz w:val="21"/>
                <w:szCs w:val="21"/>
              </w:rPr>
            </w:pPr>
            <w:r>
              <w:rPr>
                <w:rFonts w:hint="eastAsia"/>
                <w:sz w:val="21"/>
                <w:szCs w:val="21"/>
              </w:rPr>
              <w:t>24.7</w:t>
            </w:r>
          </w:p>
        </w:tc>
        <w:tc>
          <w:tcPr>
            <w:tcW w:w="702" w:type="dxa"/>
            <w:noWrap w:val="0"/>
            <w:vAlign w:val="center"/>
          </w:tcPr>
          <w:p>
            <w:pPr>
              <w:spacing w:line="360" w:lineRule="auto"/>
              <w:jc w:val="center"/>
              <w:rPr>
                <w:rFonts w:hint="eastAsia"/>
                <w:sz w:val="21"/>
                <w:szCs w:val="21"/>
              </w:rPr>
            </w:pPr>
            <w:r>
              <w:rPr>
                <w:rFonts w:hint="eastAsia"/>
                <w:sz w:val="21"/>
                <w:szCs w:val="21"/>
              </w:rPr>
              <w:t>19.1</w:t>
            </w:r>
          </w:p>
        </w:tc>
        <w:tc>
          <w:tcPr>
            <w:tcW w:w="702" w:type="dxa"/>
            <w:noWrap w:val="0"/>
            <w:vAlign w:val="center"/>
          </w:tcPr>
          <w:p>
            <w:pPr>
              <w:spacing w:line="360" w:lineRule="auto"/>
              <w:jc w:val="center"/>
              <w:rPr>
                <w:rFonts w:hint="eastAsia"/>
                <w:sz w:val="21"/>
                <w:szCs w:val="21"/>
              </w:rPr>
            </w:pPr>
            <w:r>
              <w:rPr>
                <w:rFonts w:hint="eastAsia"/>
                <w:sz w:val="21"/>
                <w:szCs w:val="21"/>
              </w:rPr>
              <w:t>14.5</w:t>
            </w:r>
          </w:p>
        </w:tc>
        <w:tc>
          <w:tcPr>
            <w:tcW w:w="702" w:type="dxa"/>
            <w:noWrap w:val="0"/>
            <w:vAlign w:val="center"/>
          </w:tcPr>
          <w:p>
            <w:pPr>
              <w:spacing w:line="360" w:lineRule="auto"/>
              <w:jc w:val="center"/>
              <w:rPr>
                <w:rFonts w:hint="eastAsia"/>
                <w:sz w:val="21"/>
                <w:szCs w:val="21"/>
              </w:rPr>
            </w:pPr>
            <w:r>
              <w:rPr>
                <w:rFonts w:hint="eastAsia"/>
                <w:sz w:val="21"/>
                <w:szCs w:val="21"/>
              </w:rPr>
              <w:t>9.4</w:t>
            </w:r>
          </w:p>
        </w:tc>
      </w:tr>
    </w:tbl>
    <w:p>
      <w:pPr>
        <w:spacing w:line="360" w:lineRule="auto"/>
        <w:ind w:firstLine="480"/>
      </w:pPr>
    </w:p>
    <w:p>
      <w:pPr>
        <w:adjustRightInd w:val="0"/>
        <w:snapToGrid w:val="0"/>
        <w:spacing w:line="348" w:lineRule="auto"/>
        <w:ind w:firstLine="420" w:firstLineChars="200"/>
        <w:rPr>
          <w:rFonts w:hint="eastAsia"/>
        </w:rPr>
      </w:pPr>
      <w:r>
        <w:t>◆</w:t>
      </w:r>
      <w:r>
        <w:rPr>
          <w:rFonts w:hint="eastAsia"/>
        </w:rPr>
        <w:t xml:space="preserve"> </w:t>
      </w:r>
      <w:r>
        <w:t>风速</w:t>
      </w:r>
    </w:p>
    <w:p>
      <w:pPr>
        <w:adjustRightInd w:val="0"/>
        <w:snapToGrid w:val="0"/>
        <w:spacing w:line="348" w:lineRule="auto"/>
        <w:ind w:firstLine="420" w:firstLineChars="200"/>
      </w:pPr>
      <w:r>
        <w:t>沙坪坝区年平均风速为</w:t>
      </w:r>
      <w:r>
        <w:rPr>
          <w:rFonts w:hint="eastAsia"/>
        </w:rPr>
        <w:t>1.46</w:t>
      </w:r>
      <w:r>
        <w:t>m/s，年内各月之间平均风速变幅较小，在0.</w:t>
      </w:r>
      <w:r>
        <w:rPr>
          <w:rFonts w:hint="eastAsia"/>
        </w:rPr>
        <w:t>8</w:t>
      </w:r>
      <w:r>
        <w:t>m/s～</w:t>
      </w:r>
      <w:r>
        <w:rPr>
          <w:rFonts w:hint="eastAsia"/>
        </w:rPr>
        <w:t>2</w:t>
      </w:r>
      <w:r>
        <w:t>.1m/s之间，7月风速最大，为</w:t>
      </w:r>
      <w:r>
        <w:rPr>
          <w:rFonts w:hint="eastAsia"/>
        </w:rPr>
        <w:t>1.65</w:t>
      </w:r>
      <w:r>
        <w:t>m/s。沙坪坝区多年平均风速的月变化见表</w:t>
      </w:r>
      <w:r>
        <w:rPr>
          <w:rFonts w:hint="eastAsia"/>
        </w:rPr>
        <w:t>8</w:t>
      </w:r>
      <w:r>
        <w:t>-2和图</w:t>
      </w:r>
      <w:r>
        <w:rPr>
          <w:rFonts w:hint="eastAsia"/>
        </w:rPr>
        <w:t>8</w:t>
      </w:r>
      <w:r>
        <w:t>.2。</w:t>
      </w:r>
    </w:p>
    <w:p>
      <w:pPr>
        <w:adjustRightInd w:val="0"/>
        <w:snapToGrid w:val="0"/>
        <w:spacing w:line="348" w:lineRule="auto"/>
        <w:jc w:val="center"/>
        <w:rPr>
          <w:b/>
        </w:rPr>
      </w:pPr>
      <w:r>
        <w:rPr>
          <w:b/>
        </w:rPr>
        <w:t>表</w:t>
      </w:r>
      <w:r>
        <w:rPr>
          <w:rFonts w:hint="eastAsia"/>
          <w:b/>
        </w:rPr>
        <w:t>8</w:t>
      </w:r>
      <w:r>
        <w:rPr>
          <w:b/>
        </w:rPr>
        <w:t>-2  年平均风速的月变化</w:t>
      </w:r>
    </w:p>
    <w:tbl>
      <w:tblPr>
        <w:tblStyle w:val="21"/>
        <w:tblW w:w="9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654"/>
        <w:gridCol w:w="654"/>
        <w:gridCol w:w="591"/>
        <w:gridCol w:w="720"/>
        <w:gridCol w:w="720"/>
        <w:gridCol w:w="720"/>
        <w:gridCol w:w="720"/>
        <w:gridCol w:w="720"/>
        <w:gridCol w:w="720"/>
        <w:gridCol w:w="72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31" w:type="dxa"/>
            <w:noWrap w:val="0"/>
            <w:vAlign w:val="center"/>
          </w:tcPr>
          <w:p>
            <w:pPr>
              <w:jc w:val="center"/>
              <w:rPr>
                <w:sz w:val="21"/>
                <w:szCs w:val="21"/>
              </w:rPr>
            </w:pPr>
            <w:r>
              <w:rPr>
                <w:sz w:val="21"/>
                <w:szCs w:val="21"/>
              </w:rPr>
              <w:t>月份</w:t>
            </w:r>
          </w:p>
        </w:tc>
        <w:tc>
          <w:tcPr>
            <w:tcW w:w="654" w:type="dxa"/>
            <w:noWrap w:val="0"/>
            <w:vAlign w:val="center"/>
          </w:tcPr>
          <w:p>
            <w:pPr>
              <w:jc w:val="center"/>
              <w:rPr>
                <w:sz w:val="21"/>
                <w:szCs w:val="21"/>
              </w:rPr>
            </w:pPr>
            <w:r>
              <w:rPr>
                <w:sz w:val="21"/>
                <w:szCs w:val="21"/>
              </w:rPr>
              <w:t>1月</w:t>
            </w:r>
          </w:p>
        </w:tc>
        <w:tc>
          <w:tcPr>
            <w:tcW w:w="654" w:type="dxa"/>
            <w:noWrap w:val="0"/>
            <w:vAlign w:val="center"/>
          </w:tcPr>
          <w:p>
            <w:pPr>
              <w:jc w:val="center"/>
              <w:rPr>
                <w:sz w:val="21"/>
                <w:szCs w:val="21"/>
              </w:rPr>
            </w:pPr>
            <w:r>
              <w:rPr>
                <w:sz w:val="21"/>
                <w:szCs w:val="21"/>
              </w:rPr>
              <w:t>2月</w:t>
            </w:r>
          </w:p>
        </w:tc>
        <w:tc>
          <w:tcPr>
            <w:tcW w:w="591" w:type="dxa"/>
            <w:noWrap w:val="0"/>
            <w:vAlign w:val="center"/>
          </w:tcPr>
          <w:p>
            <w:pPr>
              <w:jc w:val="center"/>
              <w:rPr>
                <w:sz w:val="21"/>
                <w:szCs w:val="21"/>
              </w:rPr>
            </w:pPr>
            <w:r>
              <w:rPr>
                <w:sz w:val="21"/>
                <w:szCs w:val="21"/>
              </w:rPr>
              <w:t>3月</w:t>
            </w:r>
          </w:p>
        </w:tc>
        <w:tc>
          <w:tcPr>
            <w:tcW w:w="720" w:type="dxa"/>
            <w:noWrap w:val="0"/>
            <w:vAlign w:val="center"/>
          </w:tcPr>
          <w:p>
            <w:pPr>
              <w:jc w:val="center"/>
              <w:rPr>
                <w:sz w:val="21"/>
                <w:szCs w:val="21"/>
              </w:rPr>
            </w:pPr>
            <w:r>
              <w:rPr>
                <w:sz w:val="21"/>
                <w:szCs w:val="21"/>
              </w:rPr>
              <w:t>4月</w:t>
            </w:r>
          </w:p>
        </w:tc>
        <w:tc>
          <w:tcPr>
            <w:tcW w:w="720" w:type="dxa"/>
            <w:noWrap w:val="0"/>
            <w:vAlign w:val="center"/>
          </w:tcPr>
          <w:p>
            <w:pPr>
              <w:jc w:val="center"/>
              <w:rPr>
                <w:sz w:val="21"/>
                <w:szCs w:val="21"/>
              </w:rPr>
            </w:pPr>
            <w:r>
              <w:rPr>
                <w:sz w:val="21"/>
                <w:szCs w:val="21"/>
              </w:rPr>
              <w:t>5月</w:t>
            </w:r>
          </w:p>
        </w:tc>
        <w:tc>
          <w:tcPr>
            <w:tcW w:w="720" w:type="dxa"/>
            <w:noWrap w:val="0"/>
            <w:vAlign w:val="center"/>
          </w:tcPr>
          <w:p>
            <w:pPr>
              <w:jc w:val="center"/>
              <w:rPr>
                <w:sz w:val="21"/>
                <w:szCs w:val="21"/>
              </w:rPr>
            </w:pPr>
            <w:r>
              <w:rPr>
                <w:sz w:val="21"/>
                <w:szCs w:val="21"/>
              </w:rPr>
              <w:t>6月</w:t>
            </w:r>
          </w:p>
        </w:tc>
        <w:tc>
          <w:tcPr>
            <w:tcW w:w="720" w:type="dxa"/>
            <w:noWrap w:val="0"/>
            <w:vAlign w:val="center"/>
          </w:tcPr>
          <w:p>
            <w:pPr>
              <w:jc w:val="center"/>
              <w:rPr>
                <w:sz w:val="21"/>
                <w:szCs w:val="21"/>
              </w:rPr>
            </w:pPr>
            <w:r>
              <w:rPr>
                <w:sz w:val="21"/>
                <w:szCs w:val="21"/>
              </w:rPr>
              <w:t>7月</w:t>
            </w:r>
          </w:p>
        </w:tc>
        <w:tc>
          <w:tcPr>
            <w:tcW w:w="720" w:type="dxa"/>
            <w:noWrap w:val="0"/>
            <w:vAlign w:val="center"/>
          </w:tcPr>
          <w:p>
            <w:pPr>
              <w:jc w:val="center"/>
              <w:rPr>
                <w:sz w:val="21"/>
                <w:szCs w:val="21"/>
              </w:rPr>
            </w:pPr>
            <w:r>
              <w:rPr>
                <w:sz w:val="21"/>
                <w:szCs w:val="21"/>
              </w:rPr>
              <w:t>8月</w:t>
            </w:r>
          </w:p>
        </w:tc>
        <w:tc>
          <w:tcPr>
            <w:tcW w:w="720" w:type="dxa"/>
            <w:noWrap w:val="0"/>
            <w:vAlign w:val="center"/>
          </w:tcPr>
          <w:p>
            <w:pPr>
              <w:jc w:val="center"/>
              <w:rPr>
                <w:sz w:val="21"/>
                <w:szCs w:val="21"/>
              </w:rPr>
            </w:pPr>
            <w:r>
              <w:rPr>
                <w:sz w:val="21"/>
                <w:szCs w:val="21"/>
              </w:rPr>
              <w:t>9月</w:t>
            </w:r>
          </w:p>
        </w:tc>
        <w:tc>
          <w:tcPr>
            <w:tcW w:w="720" w:type="dxa"/>
            <w:noWrap w:val="0"/>
            <w:vAlign w:val="center"/>
          </w:tcPr>
          <w:p>
            <w:pPr>
              <w:jc w:val="center"/>
              <w:rPr>
                <w:sz w:val="21"/>
                <w:szCs w:val="21"/>
              </w:rPr>
            </w:pPr>
            <w:r>
              <w:rPr>
                <w:sz w:val="21"/>
                <w:szCs w:val="21"/>
              </w:rPr>
              <w:t>10月</w:t>
            </w:r>
          </w:p>
        </w:tc>
        <w:tc>
          <w:tcPr>
            <w:tcW w:w="720" w:type="dxa"/>
            <w:noWrap w:val="0"/>
            <w:vAlign w:val="center"/>
          </w:tcPr>
          <w:p>
            <w:pPr>
              <w:jc w:val="center"/>
              <w:rPr>
                <w:sz w:val="21"/>
                <w:szCs w:val="21"/>
              </w:rPr>
            </w:pPr>
            <w:r>
              <w:rPr>
                <w:sz w:val="21"/>
                <w:szCs w:val="21"/>
              </w:rPr>
              <w:t>11月</w:t>
            </w:r>
          </w:p>
        </w:tc>
        <w:tc>
          <w:tcPr>
            <w:tcW w:w="720" w:type="dxa"/>
            <w:noWrap w:val="0"/>
            <w:vAlign w:val="center"/>
          </w:tcPr>
          <w:p>
            <w:pPr>
              <w:jc w:val="center"/>
              <w:rPr>
                <w:sz w:val="21"/>
                <w:szCs w:val="21"/>
              </w:rPr>
            </w:pPr>
            <w:r>
              <w:rPr>
                <w:sz w:val="21"/>
                <w:szCs w:val="21"/>
              </w:rPr>
              <w:t>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31" w:type="dxa"/>
            <w:noWrap w:val="0"/>
            <w:vAlign w:val="center"/>
          </w:tcPr>
          <w:p>
            <w:pPr>
              <w:jc w:val="center"/>
              <w:rPr>
                <w:sz w:val="21"/>
                <w:szCs w:val="21"/>
              </w:rPr>
            </w:pPr>
            <w:r>
              <w:rPr>
                <w:sz w:val="21"/>
                <w:szCs w:val="21"/>
              </w:rPr>
              <w:t>风速(m/s)</w:t>
            </w:r>
          </w:p>
        </w:tc>
        <w:tc>
          <w:tcPr>
            <w:tcW w:w="654" w:type="dxa"/>
            <w:noWrap w:val="0"/>
            <w:vAlign w:val="center"/>
          </w:tcPr>
          <w:p>
            <w:pPr>
              <w:jc w:val="center"/>
              <w:rPr>
                <w:rFonts w:hint="eastAsia"/>
                <w:sz w:val="21"/>
                <w:szCs w:val="21"/>
              </w:rPr>
            </w:pPr>
            <w:r>
              <w:rPr>
                <w:rFonts w:hint="eastAsia"/>
                <w:sz w:val="21"/>
                <w:szCs w:val="21"/>
              </w:rPr>
              <w:t>1.25</w:t>
            </w:r>
          </w:p>
        </w:tc>
        <w:tc>
          <w:tcPr>
            <w:tcW w:w="654" w:type="dxa"/>
            <w:noWrap w:val="0"/>
            <w:vAlign w:val="center"/>
          </w:tcPr>
          <w:p>
            <w:pPr>
              <w:jc w:val="center"/>
              <w:rPr>
                <w:rFonts w:hint="eastAsia"/>
                <w:sz w:val="21"/>
                <w:szCs w:val="21"/>
              </w:rPr>
            </w:pPr>
            <w:r>
              <w:rPr>
                <w:rFonts w:hint="eastAsia"/>
                <w:sz w:val="21"/>
                <w:szCs w:val="21"/>
              </w:rPr>
              <w:t>1.36</w:t>
            </w:r>
          </w:p>
        </w:tc>
        <w:tc>
          <w:tcPr>
            <w:tcW w:w="591" w:type="dxa"/>
            <w:noWrap w:val="0"/>
            <w:vAlign w:val="center"/>
          </w:tcPr>
          <w:p>
            <w:pPr>
              <w:jc w:val="center"/>
              <w:rPr>
                <w:rFonts w:hint="eastAsia"/>
                <w:sz w:val="21"/>
                <w:szCs w:val="21"/>
              </w:rPr>
            </w:pPr>
            <w:r>
              <w:rPr>
                <w:rFonts w:hint="eastAsia"/>
                <w:sz w:val="21"/>
                <w:szCs w:val="21"/>
              </w:rPr>
              <w:t>1.54</w:t>
            </w:r>
          </w:p>
        </w:tc>
        <w:tc>
          <w:tcPr>
            <w:tcW w:w="720" w:type="dxa"/>
            <w:noWrap w:val="0"/>
            <w:vAlign w:val="center"/>
          </w:tcPr>
          <w:p>
            <w:pPr>
              <w:jc w:val="center"/>
              <w:rPr>
                <w:rFonts w:hint="eastAsia"/>
                <w:sz w:val="21"/>
                <w:szCs w:val="21"/>
              </w:rPr>
            </w:pPr>
            <w:r>
              <w:rPr>
                <w:rFonts w:hint="eastAsia"/>
                <w:sz w:val="21"/>
                <w:szCs w:val="21"/>
              </w:rPr>
              <w:t>1.63</w:t>
            </w:r>
          </w:p>
        </w:tc>
        <w:tc>
          <w:tcPr>
            <w:tcW w:w="720" w:type="dxa"/>
            <w:noWrap w:val="0"/>
            <w:vAlign w:val="center"/>
          </w:tcPr>
          <w:p>
            <w:pPr>
              <w:jc w:val="center"/>
              <w:rPr>
                <w:rFonts w:hint="eastAsia"/>
                <w:sz w:val="21"/>
                <w:szCs w:val="21"/>
              </w:rPr>
            </w:pPr>
            <w:r>
              <w:rPr>
                <w:rFonts w:hint="eastAsia"/>
                <w:sz w:val="21"/>
                <w:szCs w:val="21"/>
              </w:rPr>
              <w:t>1.62</w:t>
            </w:r>
          </w:p>
        </w:tc>
        <w:tc>
          <w:tcPr>
            <w:tcW w:w="720" w:type="dxa"/>
            <w:noWrap w:val="0"/>
            <w:vAlign w:val="center"/>
          </w:tcPr>
          <w:p>
            <w:pPr>
              <w:jc w:val="center"/>
              <w:rPr>
                <w:rFonts w:hint="eastAsia"/>
                <w:sz w:val="21"/>
                <w:szCs w:val="21"/>
              </w:rPr>
            </w:pPr>
            <w:r>
              <w:rPr>
                <w:rFonts w:hint="eastAsia"/>
                <w:sz w:val="21"/>
                <w:szCs w:val="21"/>
              </w:rPr>
              <w:t>1.44</w:t>
            </w:r>
          </w:p>
        </w:tc>
        <w:tc>
          <w:tcPr>
            <w:tcW w:w="720" w:type="dxa"/>
            <w:noWrap w:val="0"/>
            <w:vAlign w:val="center"/>
          </w:tcPr>
          <w:p>
            <w:pPr>
              <w:jc w:val="center"/>
              <w:rPr>
                <w:rFonts w:hint="eastAsia"/>
                <w:sz w:val="21"/>
                <w:szCs w:val="21"/>
              </w:rPr>
            </w:pPr>
            <w:r>
              <w:rPr>
                <w:rFonts w:hint="eastAsia"/>
                <w:sz w:val="21"/>
                <w:szCs w:val="21"/>
              </w:rPr>
              <w:t>1.65</w:t>
            </w:r>
          </w:p>
        </w:tc>
        <w:tc>
          <w:tcPr>
            <w:tcW w:w="720" w:type="dxa"/>
            <w:noWrap w:val="0"/>
            <w:vAlign w:val="center"/>
          </w:tcPr>
          <w:p>
            <w:pPr>
              <w:jc w:val="center"/>
              <w:rPr>
                <w:rFonts w:hint="eastAsia"/>
                <w:sz w:val="21"/>
                <w:szCs w:val="21"/>
              </w:rPr>
            </w:pPr>
            <w:r>
              <w:rPr>
                <w:rFonts w:hint="eastAsia"/>
                <w:sz w:val="21"/>
                <w:szCs w:val="21"/>
              </w:rPr>
              <w:t>1.64</w:t>
            </w:r>
          </w:p>
        </w:tc>
        <w:tc>
          <w:tcPr>
            <w:tcW w:w="720" w:type="dxa"/>
            <w:noWrap w:val="0"/>
            <w:vAlign w:val="center"/>
          </w:tcPr>
          <w:p>
            <w:pPr>
              <w:jc w:val="center"/>
              <w:rPr>
                <w:rFonts w:hint="eastAsia"/>
                <w:sz w:val="21"/>
                <w:szCs w:val="21"/>
              </w:rPr>
            </w:pPr>
            <w:r>
              <w:rPr>
                <w:rFonts w:hint="eastAsia"/>
                <w:sz w:val="21"/>
                <w:szCs w:val="21"/>
              </w:rPr>
              <w:t>1.60</w:t>
            </w:r>
          </w:p>
        </w:tc>
        <w:tc>
          <w:tcPr>
            <w:tcW w:w="720" w:type="dxa"/>
            <w:noWrap w:val="0"/>
            <w:vAlign w:val="center"/>
          </w:tcPr>
          <w:p>
            <w:pPr>
              <w:jc w:val="center"/>
              <w:rPr>
                <w:rFonts w:hint="eastAsia"/>
                <w:sz w:val="21"/>
                <w:szCs w:val="21"/>
              </w:rPr>
            </w:pPr>
            <w:r>
              <w:rPr>
                <w:rFonts w:hint="eastAsia"/>
                <w:sz w:val="21"/>
                <w:szCs w:val="21"/>
              </w:rPr>
              <w:t>1.27</w:t>
            </w:r>
          </w:p>
        </w:tc>
        <w:tc>
          <w:tcPr>
            <w:tcW w:w="720" w:type="dxa"/>
            <w:noWrap w:val="0"/>
            <w:vAlign w:val="center"/>
          </w:tcPr>
          <w:p>
            <w:pPr>
              <w:jc w:val="center"/>
              <w:rPr>
                <w:rFonts w:hint="eastAsia"/>
                <w:sz w:val="21"/>
                <w:szCs w:val="21"/>
              </w:rPr>
            </w:pPr>
            <w:r>
              <w:rPr>
                <w:rFonts w:hint="eastAsia"/>
                <w:sz w:val="21"/>
                <w:szCs w:val="21"/>
              </w:rPr>
              <w:t>1.33</w:t>
            </w:r>
          </w:p>
        </w:tc>
        <w:tc>
          <w:tcPr>
            <w:tcW w:w="720" w:type="dxa"/>
            <w:noWrap w:val="0"/>
            <w:vAlign w:val="center"/>
          </w:tcPr>
          <w:p>
            <w:pPr>
              <w:jc w:val="center"/>
              <w:rPr>
                <w:rFonts w:hint="eastAsia"/>
                <w:sz w:val="21"/>
                <w:szCs w:val="21"/>
              </w:rPr>
            </w:pPr>
            <w:r>
              <w:rPr>
                <w:rFonts w:hint="eastAsia"/>
                <w:sz w:val="21"/>
                <w:szCs w:val="21"/>
              </w:rPr>
              <w:t>1.24</w:t>
            </w:r>
          </w:p>
        </w:tc>
      </w:tr>
    </w:tbl>
    <w:p>
      <w:pPr>
        <w:adjustRightInd w:val="0"/>
        <w:snapToGrid w:val="0"/>
        <w:spacing w:line="348" w:lineRule="auto"/>
        <w:ind w:firstLine="560" w:firstLineChars="200"/>
        <w:rPr>
          <w:sz w:val="28"/>
        </w:rPr>
      </w:pPr>
    </w:p>
    <w:p>
      <w:pPr>
        <w:adjustRightInd w:val="0"/>
        <w:snapToGrid w:val="0"/>
        <w:spacing w:line="348" w:lineRule="auto"/>
        <w:jc w:val="center"/>
      </w:pPr>
      <w:r>
        <mc:AlternateContent>
          <mc:Choice Requires="wpc">
            <w:drawing>
              <wp:inline distT="0" distB="0" distL="114300" distR="114300">
                <wp:extent cx="5711190" cy="2621915"/>
                <wp:effectExtent l="0" t="0" r="22860" b="6985"/>
                <wp:docPr id="148" name="画布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2" name="矩形 72"/>
                        <wps:cNvSpPr/>
                        <wps:spPr>
                          <a:xfrm>
                            <a:off x="35560" y="34925"/>
                            <a:ext cx="5675630" cy="2586990"/>
                          </a:xfrm>
                          <a:prstGeom prst="rect">
                            <a:avLst/>
                          </a:prstGeom>
                          <a:solidFill>
                            <a:srgbClr val="FFFFFF"/>
                          </a:solidFill>
                          <a:ln w="6985" cap="flat" cmpd="sng">
                            <a:solidFill>
                              <a:srgbClr val="000000"/>
                            </a:solidFill>
                            <a:prstDash val="solid"/>
                            <a:miter/>
                            <a:headEnd type="none" w="med" len="med"/>
                            <a:tailEnd type="none" w="med" len="med"/>
                          </a:ln>
                        </wps:spPr>
                        <wps:bodyPr upright="1"/>
                      </wps:wsp>
                      <wps:wsp>
                        <wps:cNvPr id="73" name="矩形 73"/>
                        <wps:cNvSpPr/>
                        <wps:spPr>
                          <a:xfrm>
                            <a:off x="571500" y="198120"/>
                            <a:ext cx="5090160" cy="1965960"/>
                          </a:xfrm>
                          <a:prstGeom prst="rect">
                            <a:avLst/>
                          </a:prstGeom>
                          <a:solidFill>
                            <a:srgbClr val="FFFFFF"/>
                          </a:solidFill>
                          <a:ln>
                            <a:noFill/>
                          </a:ln>
                        </wps:spPr>
                        <wps:bodyPr upright="1"/>
                      </wps:wsp>
                      <wps:wsp>
                        <wps:cNvPr id="74" name="直接连接符 74"/>
                        <wps:cNvCnPr/>
                        <wps:spPr>
                          <a:xfrm>
                            <a:off x="487045" y="183515"/>
                            <a:ext cx="0" cy="1965960"/>
                          </a:xfrm>
                          <a:prstGeom prst="line">
                            <a:avLst/>
                          </a:prstGeom>
                          <a:ln w="0" cap="flat" cmpd="sng">
                            <a:solidFill>
                              <a:srgbClr val="000000"/>
                            </a:solidFill>
                            <a:prstDash val="solid"/>
                            <a:headEnd type="none" w="med" len="med"/>
                            <a:tailEnd type="none" w="med" len="med"/>
                          </a:ln>
                        </wps:spPr>
                        <wps:bodyPr upright="1"/>
                      </wps:wsp>
                      <wps:wsp>
                        <wps:cNvPr id="75" name="直接连接符 75"/>
                        <wps:cNvCnPr/>
                        <wps:spPr>
                          <a:xfrm>
                            <a:off x="487045" y="2149475"/>
                            <a:ext cx="35560" cy="0"/>
                          </a:xfrm>
                          <a:prstGeom prst="line">
                            <a:avLst/>
                          </a:prstGeom>
                          <a:ln w="0" cap="flat" cmpd="sng">
                            <a:solidFill>
                              <a:srgbClr val="000000"/>
                            </a:solidFill>
                            <a:prstDash val="solid"/>
                            <a:headEnd type="none" w="med" len="med"/>
                            <a:tailEnd type="none" w="med" len="med"/>
                          </a:ln>
                        </wps:spPr>
                        <wps:bodyPr upright="1"/>
                      </wps:wsp>
                      <wps:wsp>
                        <wps:cNvPr id="76" name="直接连接符 76"/>
                        <wps:cNvCnPr/>
                        <wps:spPr>
                          <a:xfrm>
                            <a:off x="487045" y="2015490"/>
                            <a:ext cx="35560" cy="0"/>
                          </a:xfrm>
                          <a:prstGeom prst="line">
                            <a:avLst/>
                          </a:prstGeom>
                          <a:ln w="0" cap="flat" cmpd="sng">
                            <a:solidFill>
                              <a:srgbClr val="000000"/>
                            </a:solidFill>
                            <a:prstDash val="solid"/>
                            <a:headEnd type="none" w="med" len="med"/>
                            <a:tailEnd type="none" w="med" len="med"/>
                          </a:ln>
                        </wps:spPr>
                        <wps:bodyPr upright="1"/>
                      </wps:wsp>
                      <wps:wsp>
                        <wps:cNvPr id="77" name="直接连接符 77"/>
                        <wps:cNvCnPr/>
                        <wps:spPr>
                          <a:xfrm>
                            <a:off x="487045" y="1888490"/>
                            <a:ext cx="35560" cy="0"/>
                          </a:xfrm>
                          <a:prstGeom prst="line">
                            <a:avLst/>
                          </a:prstGeom>
                          <a:ln w="0" cap="flat" cmpd="sng">
                            <a:solidFill>
                              <a:srgbClr val="000000"/>
                            </a:solidFill>
                            <a:prstDash val="solid"/>
                            <a:headEnd type="none" w="med" len="med"/>
                            <a:tailEnd type="none" w="med" len="med"/>
                          </a:ln>
                        </wps:spPr>
                        <wps:bodyPr upright="1"/>
                      </wps:wsp>
                      <wps:wsp>
                        <wps:cNvPr id="78" name="直接连接符 78"/>
                        <wps:cNvCnPr/>
                        <wps:spPr>
                          <a:xfrm>
                            <a:off x="487045" y="1755140"/>
                            <a:ext cx="35560" cy="0"/>
                          </a:xfrm>
                          <a:prstGeom prst="line">
                            <a:avLst/>
                          </a:prstGeom>
                          <a:ln w="0" cap="flat" cmpd="sng">
                            <a:solidFill>
                              <a:srgbClr val="000000"/>
                            </a:solidFill>
                            <a:prstDash val="solid"/>
                            <a:headEnd type="none" w="med" len="med"/>
                            <a:tailEnd type="none" w="med" len="med"/>
                          </a:ln>
                        </wps:spPr>
                        <wps:bodyPr upright="1"/>
                      </wps:wsp>
                      <wps:wsp>
                        <wps:cNvPr id="79" name="直接连接符 79"/>
                        <wps:cNvCnPr/>
                        <wps:spPr>
                          <a:xfrm>
                            <a:off x="487045" y="1628140"/>
                            <a:ext cx="35560" cy="0"/>
                          </a:xfrm>
                          <a:prstGeom prst="line">
                            <a:avLst/>
                          </a:prstGeom>
                          <a:ln w="0" cap="flat" cmpd="sng">
                            <a:solidFill>
                              <a:srgbClr val="000000"/>
                            </a:solidFill>
                            <a:prstDash val="solid"/>
                            <a:headEnd type="none" w="med" len="med"/>
                            <a:tailEnd type="none" w="med" len="med"/>
                          </a:ln>
                        </wps:spPr>
                        <wps:bodyPr upright="1"/>
                      </wps:wsp>
                      <wps:wsp>
                        <wps:cNvPr id="80" name="直接连接符 80"/>
                        <wps:cNvCnPr/>
                        <wps:spPr>
                          <a:xfrm>
                            <a:off x="487045" y="1494155"/>
                            <a:ext cx="35560" cy="0"/>
                          </a:xfrm>
                          <a:prstGeom prst="line">
                            <a:avLst/>
                          </a:prstGeom>
                          <a:ln w="0" cap="flat" cmpd="sng">
                            <a:solidFill>
                              <a:srgbClr val="000000"/>
                            </a:solidFill>
                            <a:prstDash val="solid"/>
                            <a:headEnd type="none" w="med" len="med"/>
                            <a:tailEnd type="none" w="med" len="med"/>
                          </a:ln>
                        </wps:spPr>
                        <wps:bodyPr upright="1"/>
                      </wps:wsp>
                      <wps:wsp>
                        <wps:cNvPr id="81" name="直接连接符 81"/>
                        <wps:cNvCnPr/>
                        <wps:spPr>
                          <a:xfrm>
                            <a:off x="487045" y="1360170"/>
                            <a:ext cx="35560" cy="0"/>
                          </a:xfrm>
                          <a:prstGeom prst="line">
                            <a:avLst/>
                          </a:prstGeom>
                          <a:ln w="0" cap="flat" cmpd="sng">
                            <a:solidFill>
                              <a:srgbClr val="000000"/>
                            </a:solidFill>
                            <a:prstDash val="solid"/>
                            <a:headEnd type="none" w="med" len="med"/>
                            <a:tailEnd type="none" w="med" len="med"/>
                          </a:ln>
                        </wps:spPr>
                        <wps:bodyPr upright="1"/>
                      </wps:wsp>
                      <wps:wsp>
                        <wps:cNvPr id="82" name="直接连接符 82"/>
                        <wps:cNvCnPr/>
                        <wps:spPr>
                          <a:xfrm>
                            <a:off x="487045" y="1233170"/>
                            <a:ext cx="35560" cy="0"/>
                          </a:xfrm>
                          <a:prstGeom prst="line">
                            <a:avLst/>
                          </a:prstGeom>
                          <a:ln w="0" cap="flat" cmpd="sng">
                            <a:solidFill>
                              <a:srgbClr val="000000"/>
                            </a:solidFill>
                            <a:prstDash val="solid"/>
                            <a:headEnd type="none" w="med" len="med"/>
                            <a:tailEnd type="none" w="med" len="med"/>
                          </a:ln>
                        </wps:spPr>
                        <wps:bodyPr upright="1"/>
                      </wps:wsp>
                      <wps:wsp>
                        <wps:cNvPr id="83" name="直接连接符 83"/>
                        <wps:cNvCnPr/>
                        <wps:spPr>
                          <a:xfrm>
                            <a:off x="487045" y="1099185"/>
                            <a:ext cx="35560" cy="0"/>
                          </a:xfrm>
                          <a:prstGeom prst="line">
                            <a:avLst/>
                          </a:prstGeom>
                          <a:ln w="0" cap="flat" cmpd="sng">
                            <a:solidFill>
                              <a:srgbClr val="000000"/>
                            </a:solidFill>
                            <a:prstDash val="solid"/>
                            <a:headEnd type="none" w="med" len="med"/>
                            <a:tailEnd type="none" w="med" len="med"/>
                          </a:ln>
                        </wps:spPr>
                        <wps:bodyPr upright="1"/>
                      </wps:wsp>
                      <wps:wsp>
                        <wps:cNvPr id="84" name="直接连接符 84"/>
                        <wps:cNvCnPr/>
                        <wps:spPr>
                          <a:xfrm>
                            <a:off x="487045" y="972820"/>
                            <a:ext cx="35560" cy="0"/>
                          </a:xfrm>
                          <a:prstGeom prst="line">
                            <a:avLst/>
                          </a:prstGeom>
                          <a:ln w="0" cap="flat" cmpd="sng">
                            <a:solidFill>
                              <a:srgbClr val="000000"/>
                            </a:solidFill>
                            <a:prstDash val="solid"/>
                            <a:headEnd type="none" w="med" len="med"/>
                            <a:tailEnd type="none" w="med" len="med"/>
                          </a:ln>
                        </wps:spPr>
                        <wps:bodyPr upright="1"/>
                      </wps:wsp>
                      <wps:wsp>
                        <wps:cNvPr id="85" name="直接连接符 85"/>
                        <wps:cNvCnPr/>
                        <wps:spPr>
                          <a:xfrm>
                            <a:off x="487045" y="838835"/>
                            <a:ext cx="35560" cy="0"/>
                          </a:xfrm>
                          <a:prstGeom prst="line">
                            <a:avLst/>
                          </a:prstGeom>
                          <a:ln w="0" cap="flat" cmpd="sng">
                            <a:solidFill>
                              <a:srgbClr val="000000"/>
                            </a:solidFill>
                            <a:prstDash val="solid"/>
                            <a:headEnd type="none" w="med" len="med"/>
                            <a:tailEnd type="none" w="med" len="med"/>
                          </a:ln>
                        </wps:spPr>
                        <wps:bodyPr upright="1"/>
                      </wps:wsp>
                      <wps:wsp>
                        <wps:cNvPr id="86" name="直接连接符 86"/>
                        <wps:cNvCnPr/>
                        <wps:spPr>
                          <a:xfrm>
                            <a:off x="487045" y="704850"/>
                            <a:ext cx="35560" cy="0"/>
                          </a:xfrm>
                          <a:prstGeom prst="line">
                            <a:avLst/>
                          </a:prstGeom>
                          <a:ln w="0" cap="flat" cmpd="sng">
                            <a:solidFill>
                              <a:srgbClr val="000000"/>
                            </a:solidFill>
                            <a:prstDash val="solid"/>
                            <a:headEnd type="none" w="med" len="med"/>
                            <a:tailEnd type="none" w="med" len="med"/>
                          </a:ln>
                        </wps:spPr>
                        <wps:bodyPr upright="1"/>
                      </wps:wsp>
                      <wps:wsp>
                        <wps:cNvPr id="87" name="直接连接符 87"/>
                        <wps:cNvCnPr/>
                        <wps:spPr>
                          <a:xfrm>
                            <a:off x="487045" y="577850"/>
                            <a:ext cx="35560" cy="0"/>
                          </a:xfrm>
                          <a:prstGeom prst="line">
                            <a:avLst/>
                          </a:prstGeom>
                          <a:ln w="0" cap="flat" cmpd="sng">
                            <a:solidFill>
                              <a:srgbClr val="000000"/>
                            </a:solidFill>
                            <a:prstDash val="solid"/>
                            <a:headEnd type="none" w="med" len="med"/>
                            <a:tailEnd type="none" w="med" len="med"/>
                          </a:ln>
                        </wps:spPr>
                        <wps:bodyPr upright="1"/>
                      </wps:wsp>
                      <wps:wsp>
                        <wps:cNvPr id="88" name="直接连接符 88"/>
                        <wps:cNvCnPr/>
                        <wps:spPr>
                          <a:xfrm>
                            <a:off x="487045" y="443865"/>
                            <a:ext cx="35560" cy="0"/>
                          </a:xfrm>
                          <a:prstGeom prst="line">
                            <a:avLst/>
                          </a:prstGeom>
                          <a:ln w="0" cap="flat" cmpd="sng">
                            <a:solidFill>
                              <a:srgbClr val="000000"/>
                            </a:solidFill>
                            <a:prstDash val="solid"/>
                            <a:headEnd type="none" w="med" len="med"/>
                            <a:tailEnd type="none" w="med" len="med"/>
                          </a:ln>
                        </wps:spPr>
                        <wps:bodyPr upright="1"/>
                      </wps:wsp>
                      <wps:wsp>
                        <wps:cNvPr id="89" name="直接连接符 89"/>
                        <wps:cNvCnPr/>
                        <wps:spPr>
                          <a:xfrm>
                            <a:off x="487045" y="316865"/>
                            <a:ext cx="35560" cy="0"/>
                          </a:xfrm>
                          <a:prstGeom prst="line">
                            <a:avLst/>
                          </a:prstGeom>
                          <a:ln w="0" cap="flat" cmpd="sng">
                            <a:solidFill>
                              <a:srgbClr val="000000"/>
                            </a:solidFill>
                            <a:prstDash val="solid"/>
                            <a:headEnd type="none" w="med" len="med"/>
                            <a:tailEnd type="none" w="med" len="med"/>
                          </a:ln>
                        </wps:spPr>
                        <wps:bodyPr upright="1"/>
                      </wps:wsp>
                      <wps:wsp>
                        <wps:cNvPr id="90" name="直接连接符 90"/>
                        <wps:cNvCnPr/>
                        <wps:spPr>
                          <a:xfrm>
                            <a:off x="487045" y="183515"/>
                            <a:ext cx="35560" cy="0"/>
                          </a:xfrm>
                          <a:prstGeom prst="line">
                            <a:avLst/>
                          </a:prstGeom>
                          <a:ln w="0" cap="flat" cmpd="sng">
                            <a:solidFill>
                              <a:srgbClr val="000000"/>
                            </a:solidFill>
                            <a:prstDash val="solid"/>
                            <a:headEnd type="none" w="med" len="med"/>
                            <a:tailEnd type="none" w="med" len="med"/>
                          </a:ln>
                        </wps:spPr>
                        <wps:bodyPr upright="1"/>
                      </wps:wsp>
                      <wps:wsp>
                        <wps:cNvPr id="91" name="直接连接符 91"/>
                        <wps:cNvCnPr/>
                        <wps:spPr>
                          <a:xfrm>
                            <a:off x="487045" y="2149475"/>
                            <a:ext cx="5090160" cy="0"/>
                          </a:xfrm>
                          <a:prstGeom prst="line">
                            <a:avLst/>
                          </a:prstGeom>
                          <a:ln w="0" cap="flat" cmpd="sng">
                            <a:solidFill>
                              <a:srgbClr val="000000"/>
                            </a:solidFill>
                            <a:prstDash val="solid"/>
                            <a:headEnd type="none" w="med" len="med"/>
                            <a:tailEnd type="none" w="med" len="med"/>
                          </a:ln>
                        </wps:spPr>
                        <wps:bodyPr upright="1"/>
                      </wps:wsp>
                      <wps:wsp>
                        <wps:cNvPr id="92" name="直接连接符 92"/>
                        <wps:cNvCnPr/>
                        <wps:spPr>
                          <a:xfrm flipV="1">
                            <a:off x="487045" y="2114550"/>
                            <a:ext cx="0" cy="34925"/>
                          </a:xfrm>
                          <a:prstGeom prst="line">
                            <a:avLst/>
                          </a:prstGeom>
                          <a:ln w="0" cap="flat" cmpd="sng">
                            <a:solidFill>
                              <a:srgbClr val="000000"/>
                            </a:solidFill>
                            <a:prstDash val="solid"/>
                            <a:headEnd type="none" w="med" len="med"/>
                            <a:tailEnd type="none" w="med" len="med"/>
                          </a:ln>
                        </wps:spPr>
                        <wps:bodyPr upright="1"/>
                      </wps:wsp>
                      <wps:wsp>
                        <wps:cNvPr id="93" name="直接连接符 93"/>
                        <wps:cNvCnPr/>
                        <wps:spPr>
                          <a:xfrm flipV="1">
                            <a:off x="953135" y="2114550"/>
                            <a:ext cx="0" cy="34925"/>
                          </a:xfrm>
                          <a:prstGeom prst="line">
                            <a:avLst/>
                          </a:prstGeom>
                          <a:ln w="0" cap="flat" cmpd="sng">
                            <a:solidFill>
                              <a:srgbClr val="000000"/>
                            </a:solidFill>
                            <a:prstDash val="solid"/>
                            <a:headEnd type="none" w="med" len="med"/>
                            <a:tailEnd type="none" w="med" len="med"/>
                          </a:ln>
                        </wps:spPr>
                        <wps:bodyPr upright="1"/>
                      </wps:wsp>
                      <wps:wsp>
                        <wps:cNvPr id="94" name="直接连接符 94"/>
                        <wps:cNvCnPr/>
                        <wps:spPr>
                          <a:xfrm flipV="1">
                            <a:off x="1412240" y="2114550"/>
                            <a:ext cx="0" cy="34925"/>
                          </a:xfrm>
                          <a:prstGeom prst="line">
                            <a:avLst/>
                          </a:prstGeom>
                          <a:ln w="0" cap="flat" cmpd="sng">
                            <a:solidFill>
                              <a:srgbClr val="000000"/>
                            </a:solidFill>
                            <a:prstDash val="solid"/>
                            <a:headEnd type="none" w="med" len="med"/>
                            <a:tailEnd type="none" w="med" len="med"/>
                          </a:ln>
                        </wps:spPr>
                        <wps:bodyPr upright="1"/>
                      </wps:wsp>
                      <wps:wsp>
                        <wps:cNvPr id="95" name="直接连接符 95"/>
                        <wps:cNvCnPr/>
                        <wps:spPr>
                          <a:xfrm flipV="1">
                            <a:off x="1877695" y="2114550"/>
                            <a:ext cx="0" cy="34925"/>
                          </a:xfrm>
                          <a:prstGeom prst="line">
                            <a:avLst/>
                          </a:prstGeom>
                          <a:ln w="0" cap="flat" cmpd="sng">
                            <a:solidFill>
                              <a:srgbClr val="000000"/>
                            </a:solidFill>
                            <a:prstDash val="solid"/>
                            <a:headEnd type="none" w="med" len="med"/>
                            <a:tailEnd type="none" w="med" len="med"/>
                          </a:ln>
                        </wps:spPr>
                        <wps:bodyPr upright="1"/>
                      </wps:wsp>
                      <wps:wsp>
                        <wps:cNvPr id="96" name="直接连接符 96"/>
                        <wps:cNvCnPr/>
                        <wps:spPr>
                          <a:xfrm flipV="1">
                            <a:off x="2336800" y="2114550"/>
                            <a:ext cx="0" cy="34925"/>
                          </a:xfrm>
                          <a:prstGeom prst="line">
                            <a:avLst/>
                          </a:prstGeom>
                          <a:ln w="0" cap="flat" cmpd="sng">
                            <a:solidFill>
                              <a:srgbClr val="000000"/>
                            </a:solidFill>
                            <a:prstDash val="solid"/>
                            <a:headEnd type="none" w="med" len="med"/>
                            <a:tailEnd type="none" w="med" len="med"/>
                          </a:ln>
                        </wps:spPr>
                        <wps:bodyPr upright="1"/>
                      </wps:wsp>
                      <wps:wsp>
                        <wps:cNvPr id="97" name="直接连接符 97"/>
                        <wps:cNvCnPr/>
                        <wps:spPr>
                          <a:xfrm flipV="1">
                            <a:off x="2802890" y="2114550"/>
                            <a:ext cx="0" cy="34925"/>
                          </a:xfrm>
                          <a:prstGeom prst="line">
                            <a:avLst/>
                          </a:prstGeom>
                          <a:ln w="0" cap="flat" cmpd="sng">
                            <a:solidFill>
                              <a:srgbClr val="000000"/>
                            </a:solidFill>
                            <a:prstDash val="solid"/>
                            <a:headEnd type="none" w="med" len="med"/>
                            <a:tailEnd type="none" w="med" len="med"/>
                          </a:ln>
                        </wps:spPr>
                        <wps:bodyPr upright="1"/>
                      </wps:wsp>
                      <wps:wsp>
                        <wps:cNvPr id="98" name="直接连接符 98"/>
                        <wps:cNvCnPr/>
                        <wps:spPr>
                          <a:xfrm flipV="1">
                            <a:off x="3261360" y="2114550"/>
                            <a:ext cx="0" cy="34925"/>
                          </a:xfrm>
                          <a:prstGeom prst="line">
                            <a:avLst/>
                          </a:prstGeom>
                          <a:ln w="0" cap="flat" cmpd="sng">
                            <a:solidFill>
                              <a:srgbClr val="000000"/>
                            </a:solidFill>
                            <a:prstDash val="solid"/>
                            <a:headEnd type="none" w="med" len="med"/>
                            <a:tailEnd type="none" w="med" len="med"/>
                          </a:ln>
                        </wps:spPr>
                        <wps:bodyPr upright="1"/>
                      </wps:wsp>
                      <wps:wsp>
                        <wps:cNvPr id="99" name="直接连接符 99"/>
                        <wps:cNvCnPr/>
                        <wps:spPr>
                          <a:xfrm flipV="1">
                            <a:off x="3727450" y="2114550"/>
                            <a:ext cx="0" cy="34925"/>
                          </a:xfrm>
                          <a:prstGeom prst="line">
                            <a:avLst/>
                          </a:prstGeom>
                          <a:ln w="0" cap="flat" cmpd="sng">
                            <a:solidFill>
                              <a:srgbClr val="000000"/>
                            </a:solidFill>
                            <a:prstDash val="solid"/>
                            <a:headEnd type="none" w="med" len="med"/>
                            <a:tailEnd type="none" w="med" len="med"/>
                          </a:ln>
                        </wps:spPr>
                        <wps:bodyPr upright="1"/>
                      </wps:wsp>
                      <wps:wsp>
                        <wps:cNvPr id="100" name="直接连接符 100"/>
                        <wps:cNvCnPr/>
                        <wps:spPr>
                          <a:xfrm flipV="1">
                            <a:off x="4186555" y="2114550"/>
                            <a:ext cx="0" cy="34925"/>
                          </a:xfrm>
                          <a:prstGeom prst="line">
                            <a:avLst/>
                          </a:prstGeom>
                          <a:ln w="0" cap="flat" cmpd="sng">
                            <a:solidFill>
                              <a:srgbClr val="000000"/>
                            </a:solidFill>
                            <a:prstDash val="solid"/>
                            <a:headEnd type="none" w="med" len="med"/>
                            <a:tailEnd type="none" w="med" len="med"/>
                          </a:ln>
                        </wps:spPr>
                        <wps:bodyPr upright="1"/>
                      </wps:wsp>
                      <wps:wsp>
                        <wps:cNvPr id="101" name="直接连接符 101"/>
                        <wps:cNvCnPr/>
                        <wps:spPr>
                          <a:xfrm flipV="1">
                            <a:off x="4652645" y="2114550"/>
                            <a:ext cx="0" cy="34925"/>
                          </a:xfrm>
                          <a:prstGeom prst="line">
                            <a:avLst/>
                          </a:prstGeom>
                          <a:ln w="0" cap="flat" cmpd="sng">
                            <a:solidFill>
                              <a:srgbClr val="000000"/>
                            </a:solidFill>
                            <a:prstDash val="solid"/>
                            <a:headEnd type="none" w="med" len="med"/>
                            <a:tailEnd type="none" w="med" len="med"/>
                          </a:ln>
                        </wps:spPr>
                        <wps:bodyPr upright="1"/>
                      </wps:wsp>
                      <wps:wsp>
                        <wps:cNvPr id="102" name="直接连接符 102"/>
                        <wps:cNvCnPr/>
                        <wps:spPr>
                          <a:xfrm flipV="1">
                            <a:off x="5111115" y="2114550"/>
                            <a:ext cx="0" cy="34925"/>
                          </a:xfrm>
                          <a:prstGeom prst="line">
                            <a:avLst/>
                          </a:prstGeom>
                          <a:ln w="0" cap="flat" cmpd="sng">
                            <a:solidFill>
                              <a:srgbClr val="000000"/>
                            </a:solidFill>
                            <a:prstDash val="solid"/>
                            <a:headEnd type="none" w="med" len="med"/>
                            <a:tailEnd type="none" w="med" len="med"/>
                          </a:ln>
                        </wps:spPr>
                        <wps:bodyPr upright="1"/>
                      </wps:wsp>
                      <wps:wsp>
                        <wps:cNvPr id="103" name="直接连接符 103"/>
                        <wps:cNvCnPr/>
                        <wps:spPr>
                          <a:xfrm flipV="1">
                            <a:off x="5577205" y="2114550"/>
                            <a:ext cx="0" cy="34925"/>
                          </a:xfrm>
                          <a:prstGeom prst="line">
                            <a:avLst/>
                          </a:prstGeom>
                          <a:ln w="0" cap="flat" cmpd="sng">
                            <a:solidFill>
                              <a:srgbClr val="000000"/>
                            </a:solidFill>
                            <a:prstDash val="solid"/>
                            <a:headEnd type="none" w="med" len="med"/>
                            <a:tailEnd type="none" w="med" len="med"/>
                          </a:ln>
                        </wps:spPr>
                        <wps:bodyPr upright="1"/>
                      </wps:wsp>
                      <wps:wsp>
                        <wps:cNvPr id="104" name="任意多边形 104"/>
                        <wps:cNvSpPr/>
                        <wps:spPr>
                          <a:xfrm>
                            <a:off x="487045" y="260985"/>
                            <a:ext cx="5090160" cy="1367155"/>
                          </a:xfrm>
                          <a:custGeom>
                            <a:avLst/>
                            <a:gdLst/>
                            <a:ahLst/>
                            <a:cxnLst/>
                            <a:pathLst>
                              <a:path w="721" h="194">
                                <a:moveTo>
                                  <a:pt x="0" y="194"/>
                                </a:moveTo>
                                <a:lnTo>
                                  <a:pt x="66" y="171"/>
                                </a:lnTo>
                                <a:lnTo>
                                  <a:pt x="131" y="133"/>
                                </a:lnTo>
                                <a:lnTo>
                                  <a:pt x="197" y="89"/>
                                </a:lnTo>
                                <a:lnTo>
                                  <a:pt x="262" y="55"/>
                                </a:lnTo>
                                <a:lnTo>
                                  <a:pt x="328" y="35"/>
                                </a:lnTo>
                                <a:lnTo>
                                  <a:pt x="393" y="0"/>
                                </a:lnTo>
                                <a:lnTo>
                                  <a:pt x="459" y="6"/>
                                </a:lnTo>
                                <a:lnTo>
                                  <a:pt x="524" y="38"/>
                                </a:lnTo>
                                <a:lnTo>
                                  <a:pt x="590" y="90"/>
                                </a:lnTo>
                                <a:lnTo>
                                  <a:pt x="655" y="133"/>
                                </a:lnTo>
                                <a:lnTo>
                                  <a:pt x="721" y="181"/>
                                </a:lnTo>
                              </a:path>
                            </a:pathLst>
                          </a:custGeom>
                          <a:noFill/>
                          <a:ln w="0" cap="flat" cmpd="sng">
                            <a:solidFill>
                              <a:srgbClr val="000080"/>
                            </a:solidFill>
                            <a:prstDash val="solid"/>
                            <a:headEnd type="none" w="med" len="med"/>
                            <a:tailEnd type="none" w="med" len="med"/>
                          </a:ln>
                        </wps:spPr>
                        <wps:bodyPr upright="1"/>
                      </wps:wsp>
                      <wps:wsp>
                        <wps:cNvPr id="105" name="任意多边形 105"/>
                        <wps:cNvSpPr/>
                        <wps:spPr>
                          <a:xfrm>
                            <a:off x="473075" y="1614170"/>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6" name="任意多边形 106"/>
                        <wps:cNvSpPr/>
                        <wps:spPr>
                          <a:xfrm>
                            <a:off x="939165" y="1451610"/>
                            <a:ext cx="27940" cy="28575"/>
                          </a:xfrm>
                          <a:custGeom>
                            <a:avLst/>
                            <a:gdLst/>
                            <a:ahLst/>
                            <a:cxnLst/>
                            <a:pathLst>
                              <a:path w="44" h="45">
                                <a:moveTo>
                                  <a:pt x="22" y="0"/>
                                </a:moveTo>
                                <a:lnTo>
                                  <a:pt x="44" y="23"/>
                                </a:lnTo>
                                <a:lnTo>
                                  <a:pt x="22" y="45"/>
                                </a:lnTo>
                                <a:lnTo>
                                  <a:pt x="0" y="23"/>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7" name="任意多边形 107"/>
                        <wps:cNvSpPr/>
                        <wps:spPr>
                          <a:xfrm>
                            <a:off x="1397635" y="1184275"/>
                            <a:ext cx="28575" cy="27940"/>
                          </a:xfrm>
                          <a:custGeom>
                            <a:avLst/>
                            <a:gdLst/>
                            <a:ahLst/>
                            <a:cxnLst/>
                            <a:pathLst>
                              <a:path w="45" h="44">
                                <a:moveTo>
                                  <a:pt x="23" y="0"/>
                                </a:moveTo>
                                <a:lnTo>
                                  <a:pt x="45" y="22"/>
                                </a:lnTo>
                                <a:lnTo>
                                  <a:pt x="23" y="44"/>
                                </a:lnTo>
                                <a:lnTo>
                                  <a:pt x="0" y="22"/>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8" name="任意多边形 108"/>
                        <wps:cNvSpPr/>
                        <wps:spPr>
                          <a:xfrm>
                            <a:off x="1863725" y="873760"/>
                            <a:ext cx="28575" cy="28575"/>
                          </a:xfrm>
                          <a:custGeom>
                            <a:avLst/>
                            <a:gdLst/>
                            <a:ahLst/>
                            <a:cxnLst/>
                            <a:pathLst>
                              <a:path w="45" h="45">
                                <a:moveTo>
                                  <a:pt x="22" y="0"/>
                                </a:moveTo>
                                <a:lnTo>
                                  <a:pt x="45"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09" name="任意多边形 109"/>
                        <wps:cNvSpPr/>
                        <wps:spPr>
                          <a:xfrm>
                            <a:off x="2322830" y="63436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0" name="任意多边形 110"/>
                        <wps:cNvSpPr/>
                        <wps:spPr>
                          <a:xfrm>
                            <a:off x="2788285" y="493395"/>
                            <a:ext cx="28575" cy="27940"/>
                          </a:xfrm>
                          <a:custGeom>
                            <a:avLst/>
                            <a:gdLst/>
                            <a:ahLst/>
                            <a:cxnLst/>
                            <a:pathLst>
                              <a:path w="45" h="44">
                                <a:moveTo>
                                  <a:pt x="23" y="0"/>
                                </a:moveTo>
                                <a:lnTo>
                                  <a:pt x="45" y="22"/>
                                </a:lnTo>
                                <a:lnTo>
                                  <a:pt x="23" y="44"/>
                                </a:lnTo>
                                <a:lnTo>
                                  <a:pt x="0" y="22"/>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1" name="任意多边形 111"/>
                        <wps:cNvSpPr/>
                        <wps:spPr>
                          <a:xfrm>
                            <a:off x="3247390" y="246380"/>
                            <a:ext cx="28575" cy="28575"/>
                          </a:xfrm>
                          <a:custGeom>
                            <a:avLst/>
                            <a:gdLst/>
                            <a:ahLst/>
                            <a:cxnLst/>
                            <a:pathLst>
                              <a:path w="45" h="45">
                                <a:moveTo>
                                  <a:pt x="22" y="0"/>
                                </a:moveTo>
                                <a:lnTo>
                                  <a:pt x="45" y="23"/>
                                </a:lnTo>
                                <a:lnTo>
                                  <a:pt x="22" y="45"/>
                                </a:lnTo>
                                <a:lnTo>
                                  <a:pt x="0" y="23"/>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2" name="任意多边形 112"/>
                        <wps:cNvSpPr/>
                        <wps:spPr>
                          <a:xfrm>
                            <a:off x="3713480" y="28892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3" name="任意多边形 113"/>
                        <wps:cNvSpPr/>
                        <wps:spPr>
                          <a:xfrm>
                            <a:off x="4172585" y="514350"/>
                            <a:ext cx="27940" cy="28575"/>
                          </a:xfrm>
                          <a:custGeom>
                            <a:avLst/>
                            <a:gdLst/>
                            <a:ahLst/>
                            <a:cxnLst/>
                            <a:pathLst>
                              <a:path w="44" h="45">
                                <a:moveTo>
                                  <a:pt x="22" y="0"/>
                                </a:moveTo>
                                <a:lnTo>
                                  <a:pt x="44"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4" name="任意多边形 114"/>
                        <wps:cNvSpPr/>
                        <wps:spPr>
                          <a:xfrm>
                            <a:off x="4638040" y="880745"/>
                            <a:ext cx="28575" cy="28575"/>
                          </a:xfrm>
                          <a:custGeom>
                            <a:avLst/>
                            <a:gdLst/>
                            <a:ahLst/>
                            <a:cxnLst/>
                            <a:pathLst>
                              <a:path w="45" h="45">
                                <a:moveTo>
                                  <a:pt x="23" y="0"/>
                                </a:moveTo>
                                <a:lnTo>
                                  <a:pt x="45" y="23"/>
                                </a:lnTo>
                                <a:lnTo>
                                  <a:pt x="23" y="45"/>
                                </a:lnTo>
                                <a:lnTo>
                                  <a:pt x="0" y="23"/>
                                </a:lnTo>
                                <a:lnTo>
                                  <a:pt x="2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5" name="任意多边形 115"/>
                        <wps:cNvSpPr/>
                        <wps:spPr>
                          <a:xfrm>
                            <a:off x="5097145" y="1184275"/>
                            <a:ext cx="27940" cy="27940"/>
                          </a:xfrm>
                          <a:custGeom>
                            <a:avLst/>
                            <a:gdLst/>
                            <a:ahLst/>
                            <a:cxnLst/>
                            <a:pathLst>
                              <a:path w="44" h="44">
                                <a:moveTo>
                                  <a:pt x="22" y="0"/>
                                </a:moveTo>
                                <a:lnTo>
                                  <a:pt x="44" y="22"/>
                                </a:lnTo>
                                <a:lnTo>
                                  <a:pt x="22" y="44"/>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6" name="任意多边形 116"/>
                        <wps:cNvSpPr/>
                        <wps:spPr>
                          <a:xfrm>
                            <a:off x="5563235" y="1522095"/>
                            <a:ext cx="27940" cy="28575"/>
                          </a:xfrm>
                          <a:custGeom>
                            <a:avLst/>
                            <a:gdLst/>
                            <a:ahLst/>
                            <a:cxnLst/>
                            <a:pathLst>
                              <a:path w="44" h="45">
                                <a:moveTo>
                                  <a:pt x="22" y="0"/>
                                </a:moveTo>
                                <a:lnTo>
                                  <a:pt x="44" y="22"/>
                                </a:lnTo>
                                <a:lnTo>
                                  <a:pt x="22" y="45"/>
                                </a:lnTo>
                                <a:lnTo>
                                  <a:pt x="0" y="22"/>
                                </a:lnTo>
                                <a:lnTo>
                                  <a:pt x="22"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117" name="矩形 117"/>
                        <wps:cNvSpPr/>
                        <wps:spPr>
                          <a:xfrm>
                            <a:off x="346075" y="2099945"/>
                            <a:ext cx="57785" cy="147955"/>
                          </a:xfrm>
                          <a:prstGeom prst="rect">
                            <a:avLst/>
                          </a:prstGeom>
                          <a:noFill/>
                          <a:ln>
                            <a:noFill/>
                          </a:ln>
                        </wps:spPr>
                        <wps:txbx>
                          <w:txbxContent>
                            <w:p>
                              <w:r>
                                <w:rPr>
                                  <w:rFonts w:ascii="宋体" w:cs="宋体"/>
                                  <w:color w:val="000000"/>
                                  <w:sz w:val="18"/>
                                  <w:szCs w:val="18"/>
                                </w:rPr>
                                <w:t>0</w:t>
                              </w:r>
                            </w:p>
                          </w:txbxContent>
                        </wps:txbx>
                        <wps:bodyPr wrap="none" lIns="0" tIns="0" rIns="0" bIns="0" upright="1">
                          <a:spAutoFit/>
                        </wps:bodyPr>
                      </wps:wsp>
                      <wps:wsp>
                        <wps:cNvPr id="118" name="矩形 118"/>
                        <wps:cNvSpPr/>
                        <wps:spPr>
                          <a:xfrm>
                            <a:off x="346075" y="1966595"/>
                            <a:ext cx="57785" cy="147955"/>
                          </a:xfrm>
                          <a:prstGeom prst="rect">
                            <a:avLst/>
                          </a:prstGeom>
                          <a:noFill/>
                          <a:ln>
                            <a:noFill/>
                          </a:ln>
                        </wps:spPr>
                        <wps:txbx>
                          <w:txbxContent>
                            <w:p>
                              <w:r>
                                <w:rPr>
                                  <w:rFonts w:ascii="宋体" w:cs="宋体"/>
                                  <w:color w:val="000000"/>
                                  <w:sz w:val="18"/>
                                  <w:szCs w:val="18"/>
                                </w:rPr>
                                <w:t>2</w:t>
                              </w:r>
                            </w:p>
                          </w:txbxContent>
                        </wps:txbx>
                        <wps:bodyPr wrap="none" lIns="0" tIns="0" rIns="0" bIns="0" upright="1">
                          <a:spAutoFit/>
                        </wps:bodyPr>
                      </wps:wsp>
                      <wps:wsp>
                        <wps:cNvPr id="119" name="矩形 119"/>
                        <wps:cNvSpPr/>
                        <wps:spPr>
                          <a:xfrm>
                            <a:off x="346075" y="1839595"/>
                            <a:ext cx="57785" cy="147955"/>
                          </a:xfrm>
                          <a:prstGeom prst="rect">
                            <a:avLst/>
                          </a:prstGeom>
                          <a:noFill/>
                          <a:ln>
                            <a:noFill/>
                          </a:ln>
                        </wps:spPr>
                        <wps:txbx>
                          <w:txbxContent>
                            <w:p>
                              <w:r>
                                <w:rPr>
                                  <w:rFonts w:ascii="宋体" w:cs="宋体"/>
                                  <w:color w:val="000000"/>
                                  <w:sz w:val="18"/>
                                  <w:szCs w:val="18"/>
                                </w:rPr>
                                <w:t>4</w:t>
                              </w:r>
                            </w:p>
                          </w:txbxContent>
                        </wps:txbx>
                        <wps:bodyPr wrap="none" lIns="0" tIns="0" rIns="0" bIns="0" upright="1">
                          <a:spAutoFit/>
                        </wps:bodyPr>
                      </wps:wsp>
                      <wps:wsp>
                        <wps:cNvPr id="120" name="矩形 120"/>
                        <wps:cNvSpPr/>
                        <wps:spPr>
                          <a:xfrm>
                            <a:off x="346075" y="1705610"/>
                            <a:ext cx="57785" cy="147955"/>
                          </a:xfrm>
                          <a:prstGeom prst="rect">
                            <a:avLst/>
                          </a:prstGeom>
                          <a:noFill/>
                          <a:ln>
                            <a:noFill/>
                          </a:ln>
                        </wps:spPr>
                        <wps:txbx>
                          <w:txbxContent>
                            <w:p>
                              <w:r>
                                <w:rPr>
                                  <w:rFonts w:ascii="宋体" w:cs="宋体"/>
                                  <w:color w:val="000000"/>
                                  <w:sz w:val="18"/>
                                  <w:szCs w:val="18"/>
                                </w:rPr>
                                <w:t>6</w:t>
                              </w:r>
                            </w:p>
                          </w:txbxContent>
                        </wps:txbx>
                        <wps:bodyPr wrap="none" lIns="0" tIns="0" rIns="0" bIns="0" upright="1">
                          <a:spAutoFit/>
                        </wps:bodyPr>
                      </wps:wsp>
                      <wps:wsp>
                        <wps:cNvPr id="121" name="矩形 121"/>
                        <wps:cNvSpPr/>
                        <wps:spPr>
                          <a:xfrm>
                            <a:off x="346075" y="1578610"/>
                            <a:ext cx="57785" cy="147955"/>
                          </a:xfrm>
                          <a:prstGeom prst="rect">
                            <a:avLst/>
                          </a:prstGeom>
                          <a:noFill/>
                          <a:ln>
                            <a:noFill/>
                          </a:ln>
                        </wps:spPr>
                        <wps:txbx>
                          <w:txbxContent>
                            <w:p>
                              <w:r>
                                <w:rPr>
                                  <w:rFonts w:ascii="宋体" w:cs="宋体"/>
                                  <w:color w:val="000000"/>
                                  <w:sz w:val="18"/>
                                  <w:szCs w:val="18"/>
                                </w:rPr>
                                <w:t>8</w:t>
                              </w:r>
                            </w:p>
                          </w:txbxContent>
                        </wps:txbx>
                        <wps:bodyPr wrap="none" lIns="0" tIns="0" rIns="0" bIns="0" upright="1">
                          <a:spAutoFit/>
                        </wps:bodyPr>
                      </wps:wsp>
                      <wps:wsp>
                        <wps:cNvPr id="122" name="矩形 122"/>
                        <wps:cNvSpPr/>
                        <wps:spPr>
                          <a:xfrm>
                            <a:off x="289560" y="1444625"/>
                            <a:ext cx="114935" cy="147955"/>
                          </a:xfrm>
                          <a:prstGeom prst="rect">
                            <a:avLst/>
                          </a:prstGeom>
                          <a:noFill/>
                          <a:ln>
                            <a:noFill/>
                          </a:ln>
                        </wps:spPr>
                        <wps:txbx>
                          <w:txbxContent>
                            <w:p>
                              <w:r>
                                <w:rPr>
                                  <w:rFonts w:ascii="宋体" w:cs="宋体"/>
                                  <w:color w:val="000000"/>
                                  <w:sz w:val="18"/>
                                  <w:szCs w:val="18"/>
                                </w:rPr>
                                <w:t>10</w:t>
                              </w:r>
                            </w:p>
                          </w:txbxContent>
                        </wps:txbx>
                        <wps:bodyPr wrap="none" lIns="0" tIns="0" rIns="0" bIns="0" upright="1">
                          <a:spAutoFit/>
                        </wps:bodyPr>
                      </wps:wsp>
                      <wps:wsp>
                        <wps:cNvPr id="123" name="矩形 123"/>
                        <wps:cNvSpPr/>
                        <wps:spPr>
                          <a:xfrm>
                            <a:off x="289560" y="1310640"/>
                            <a:ext cx="114935" cy="147955"/>
                          </a:xfrm>
                          <a:prstGeom prst="rect">
                            <a:avLst/>
                          </a:prstGeom>
                          <a:noFill/>
                          <a:ln>
                            <a:noFill/>
                          </a:ln>
                        </wps:spPr>
                        <wps:txbx>
                          <w:txbxContent>
                            <w:p>
                              <w:r>
                                <w:rPr>
                                  <w:rFonts w:ascii="宋体" w:cs="宋体"/>
                                  <w:color w:val="000000"/>
                                  <w:sz w:val="18"/>
                                  <w:szCs w:val="18"/>
                                </w:rPr>
                                <w:t>12</w:t>
                              </w:r>
                            </w:p>
                          </w:txbxContent>
                        </wps:txbx>
                        <wps:bodyPr wrap="none" lIns="0" tIns="0" rIns="0" bIns="0" upright="1">
                          <a:spAutoFit/>
                        </wps:bodyPr>
                      </wps:wsp>
                      <wps:wsp>
                        <wps:cNvPr id="124" name="矩形 124"/>
                        <wps:cNvSpPr/>
                        <wps:spPr>
                          <a:xfrm>
                            <a:off x="289560" y="1184275"/>
                            <a:ext cx="114935" cy="147955"/>
                          </a:xfrm>
                          <a:prstGeom prst="rect">
                            <a:avLst/>
                          </a:prstGeom>
                          <a:noFill/>
                          <a:ln>
                            <a:noFill/>
                          </a:ln>
                        </wps:spPr>
                        <wps:txbx>
                          <w:txbxContent>
                            <w:p>
                              <w:r>
                                <w:rPr>
                                  <w:rFonts w:ascii="宋体" w:cs="宋体"/>
                                  <w:color w:val="000000"/>
                                  <w:sz w:val="18"/>
                                  <w:szCs w:val="18"/>
                                </w:rPr>
                                <w:t>14</w:t>
                              </w:r>
                            </w:p>
                          </w:txbxContent>
                        </wps:txbx>
                        <wps:bodyPr wrap="none" lIns="0" tIns="0" rIns="0" bIns="0" upright="1">
                          <a:spAutoFit/>
                        </wps:bodyPr>
                      </wps:wsp>
                      <wps:wsp>
                        <wps:cNvPr id="125" name="矩形 125"/>
                        <wps:cNvSpPr/>
                        <wps:spPr>
                          <a:xfrm>
                            <a:off x="289560" y="1050290"/>
                            <a:ext cx="114935" cy="147955"/>
                          </a:xfrm>
                          <a:prstGeom prst="rect">
                            <a:avLst/>
                          </a:prstGeom>
                          <a:noFill/>
                          <a:ln>
                            <a:noFill/>
                          </a:ln>
                        </wps:spPr>
                        <wps:txbx>
                          <w:txbxContent>
                            <w:p>
                              <w:r>
                                <w:rPr>
                                  <w:rFonts w:ascii="宋体" w:cs="宋体"/>
                                  <w:color w:val="000000"/>
                                  <w:sz w:val="18"/>
                                  <w:szCs w:val="18"/>
                                </w:rPr>
                                <w:t>16</w:t>
                              </w:r>
                            </w:p>
                          </w:txbxContent>
                        </wps:txbx>
                        <wps:bodyPr wrap="none" lIns="0" tIns="0" rIns="0" bIns="0" upright="1">
                          <a:spAutoFit/>
                        </wps:bodyPr>
                      </wps:wsp>
                      <wps:wsp>
                        <wps:cNvPr id="126" name="矩形 126"/>
                        <wps:cNvSpPr/>
                        <wps:spPr>
                          <a:xfrm>
                            <a:off x="289560" y="923290"/>
                            <a:ext cx="114935" cy="147955"/>
                          </a:xfrm>
                          <a:prstGeom prst="rect">
                            <a:avLst/>
                          </a:prstGeom>
                          <a:noFill/>
                          <a:ln>
                            <a:noFill/>
                          </a:ln>
                        </wps:spPr>
                        <wps:txbx>
                          <w:txbxContent>
                            <w:p>
                              <w:r>
                                <w:rPr>
                                  <w:rFonts w:ascii="宋体" w:cs="宋体"/>
                                  <w:color w:val="000000"/>
                                  <w:sz w:val="18"/>
                                  <w:szCs w:val="18"/>
                                </w:rPr>
                                <w:t>18</w:t>
                              </w:r>
                            </w:p>
                          </w:txbxContent>
                        </wps:txbx>
                        <wps:bodyPr wrap="none" lIns="0" tIns="0" rIns="0" bIns="0" upright="1">
                          <a:spAutoFit/>
                        </wps:bodyPr>
                      </wps:wsp>
                      <wps:wsp>
                        <wps:cNvPr id="127" name="矩形 127"/>
                        <wps:cNvSpPr/>
                        <wps:spPr>
                          <a:xfrm>
                            <a:off x="289560" y="789305"/>
                            <a:ext cx="114935" cy="147955"/>
                          </a:xfrm>
                          <a:prstGeom prst="rect">
                            <a:avLst/>
                          </a:prstGeom>
                          <a:noFill/>
                          <a:ln>
                            <a:noFill/>
                          </a:ln>
                        </wps:spPr>
                        <wps:txbx>
                          <w:txbxContent>
                            <w:p>
                              <w:r>
                                <w:rPr>
                                  <w:rFonts w:ascii="宋体" w:cs="宋体"/>
                                  <w:color w:val="000000"/>
                                  <w:sz w:val="18"/>
                                  <w:szCs w:val="18"/>
                                </w:rPr>
                                <w:t>20</w:t>
                              </w:r>
                            </w:p>
                          </w:txbxContent>
                        </wps:txbx>
                        <wps:bodyPr wrap="none" lIns="0" tIns="0" rIns="0" bIns="0" upright="1">
                          <a:spAutoFit/>
                        </wps:bodyPr>
                      </wps:wsp>
                      <wps:wsp>
                        <wps:cNvPr id="128" name="矩形 128"/>
                        <wps:cNvSpPr/>
                        <wps:spPr>
                          <a:xfrm>
                            <a:off x="289560" y="655320"/>
                            <a:ext cx="114935" cy="147955"/>
                          </a:xfrm>
                          <a:prstGeom prst="rect">
                            <a:avLst/>
                          </a:prstGeom>
                          <a:noFill/>
                          <a:ln>
                            <a:noFill/>
                          </a:ln>
                        </wps:spPr>
                        <wps:txbx>
                          <w:txbxContent>
                            <w:p>
                              <w:r>
                                <w:rPr>
                                  <w:rFonts w:ascii="宋体" w:cs="宋体"/>
                                  <w:color w:val="000000"/>
                                  <w:sz w:val="18"/>
                                  <w:szCs w:val="18"/>
                                </w:rPr>
                                <w:t>22</w:t>
                              </w:r>
                            </w:p>
                          </w:txbxContent>
                        </wps:txbx>
                        <wps:bodyPr wrap="none" lIns="0" tIns="0" rIns="0" bIns="0" upright="1">
                          <a:spAutoFit/>
                        </wps:bodyPr>
                      </wps:wsp>
                      <wps:wsp>
                        <wps:cNvPr id="129" name="矩形 129"/>
                        <wps:cNvSpPr/>
                        <wps:spPr>
                          <a:xfrm>
                            <a:off x="289560" y="528320"/>
                            <a:ext cx="114935" cy="147955"/>
                          </a:xfrm>
                          <a:prstGeom prst="rect">
                            <a:avLst/>
                          </a:prstGeom>
                          <a:noFill/>
                          <a:ln>
                            <a:noFill/>
                          </a:ln>
                        </wps:spPr>
                        <wps:txbx>
                          <w:txbxContent>
                            <w:p>
                              <w:r>
                                <w:rPr>
                                  <w:rFonts w:ascii="宋体" w:cs="宋体"/>
                                  <w:color w:val="000000"/>
                                  <w:sz w:val="18"/>
                                  <w:szCs w:val="18"/>
                                </w:rPr>
                                <w:t>24</w:t>
                              </w:r>
                            </w:p>
                          </w:txbxContent>
                        </wps:txbx>
                        <wps:bodyPr wrap="none" lIns="0" tIns="0" rIns="0" bIns="0" upright="1">
                          <a:spAutoFit/>
                        </wps:bodyPr>
                      </wps:wsp>
                      <wps:wsp>
                        <wps:cNvPr id="130" name="矩形 130"/>
                        <wps:cNvSpPr/>
                        <wps:spPr>
                          <a:xfrm>
                            <a:off x="289560" y="394970"/>
                            <a:ext cx="114935" cy="147955"/>
                          </a:xfrm>
                          <a:prstGeom prst="rect">
                            <a:avLst/>
                          </a:prstGeom>
                          <a:noFill/>
                          <a:ln>
                            <a:noFill/>
                          </a:ln>
                        </wps:spPr>
                        <wps:txbx>
                          <w:txbxContent>
                            <w:p>
                              <w:r>
                                <w:rPr>
                                  <w:rFonts w:ascii="宋体" w:cs="宋体"/>
                                  <w:color w:val="000000"/>
                                  <w:sz w:val="18"/>
                                  <w:szCs w:val="18"/>
                                </w:rPr>
                                <w:t>26</w:t>
                              </w:r>
                            </w:p>
                          </w:txbxContent>
                        </wps:txbx>
                        <wps:bodyPr wrap="none" lIns="0" tIns="0" rIns="0" bIns="0" upright="1">
                          <a:spAutoFit/>
                        </wps:bodyPr>
                      </wps:wsp>
                      <wps:wsp>
                        <wps:cNvPr id="131" name="矩形 131"/>
                        <wps:cNvSpPr/>
                        <wps:spPr>
                          <a:xfrm>
                            <a:off x="289560" y="267970"/>
                            <a:ext cx="114935" cy="147955"/>
                          </a:xfrm>
                          <a:prstGeom prst="rect">
                            <a:avLst/>
                          </a:prstGeom>
                          <a:noFill/>
                          <a:ln>
                            <a:noFill/>
                          </a:ln>
                        </wps:spPr>
                        <wps:txbx>
                          <w:txbxContent>
                            <w:p>
                              <w:r>
                                <w:rPr>
                                  <w:rFonts w:ascii="宋体" w:cs="宋体"/>
                                  <w:color w:val="000000"/>
                                  <w:sz w:val="18"/>
                                  <w:szCs w:val="18"/>
                                </w:rPr>
                                <w:t>28</w:t>
                              </w:r>
                            </w:p>
                          </w:txbxContent>
                        </wps:txbx>
                        <wps:bodyPr wrap="none" lIns="0" tIns="0" rIns="0" bIns="0" upright="1">
                          <a:spAutoFit/>
                        </wps:bodyPr>
                      </wps:wsp>
                      <wps:wsp>
                        <wps:cNvPr id="132" name="矩形 132"/>
                        <wps:cNvSpPr/>
                        <wps:spPr>
                          <a:xfrm>
                            <a:off x="289560" y="133985"/>
                            <a:ext cx="114935" cy="147955"/>
                          </a:xfrm>
                          <a:prstGeom prst="rect">
                            <a:avLst/>
                          </a:prstGeom>
                          <a:noFill/>
                          <a:ln>
                            <a:noFill/>
                          </a:ln>
                        </wps:spPr>
                        <wps:txbx>
                          <w:txbxContent>
                            <w:p>
                              <w:r>
                                <w:rPr>
                                  <w:rFonts w:ascii="宋体" w:cs="宋体"/>
                                  <w:color w:val="000000"/>
                                  <w:sz w:val="18"/>
                                  <w:szCs w:val="18"/>
                                </w:rPr>
                                <w:t>30</w:t>
                              </w:r>
                            </w:p>
                          </w:txbxContent>
                        </wps:txbx>
                        <wps:bodyPr wrap="none" lIns="0" tIns="0" rIns="0" bIns="0" upright="1">
                          <a:spAutoFit/>
                        </wps:bodyPr>
                      </wps:wsp>
                      <wps:wsp>
                        <wps:cNvPr id="133" name="矩形 133"/>
                        <wps:cNvSpPr/>
                        <wps:spPr>
                          <a:xfrm>
                            <a:off x="459105" y="2247900"/>
                            <a:ext cx="57785" cy="147955"/>
                          </a:xfrm>
                          <a:prstGeom prst="rect">
                            <a:avLst/>
                          </a:prstGeom>
                          <a:noFill/>
                          <a:ln>
                            <a:noFill/>
                          </a:ln>
                        </wps:spPr>
                        <wps:txbx>
                          <w:txbxContent>
                            <w:p>
                              <w:r>
                                <w:rPr>
                                  <w:rFonts w:ascii="宋体" w:cs="宋体"/>
                                  <w:color w:val="000000"/>
                                  <w:sz w:val="18"/>
                                  <w:szCs w:val="18"/>
                                </w:rPr>
                                <w:t>1</w:t>
                              </w:r>
                            </w:p>
                          </w:txbxContent>
                        </wps:txbx>
                        <wps:bodyPr wrap="none" lIns="0" tIns="0" rIns="0" bIns="0" upright="1">
                          <a:spAutoFit/>
                        </wps:bodyPr>
                      </wps:wsp>
                      <wps:wsp>
                        <wps:cNvPr id="134" name="矩形 134"/>
                        <wps:cNvSpPr/>
                        <wps:spPr>
                          <a:xfrm>
                            <a:off x="924560" y="2247900"/>
                            <a:ext cx="57785" cy="147955"/>
                          </a:xfrm>
                          <a:prstGeom prst="rect">
                            <a:avLst/>
                          </a:prstGeom>
                          <a:noFill/>
                          <a:ln>
                            <a:noFill/>
                          </a:ln>
                        </wps:spPr>
                        <wps:txbx>
                          <w:txbxContent>
                            <w:p>
                              <w:r>
                                <w:rPr>
                                  <w:rFonts w:ascii="宋体" w:cs="宋体"/>
                                  <w:color w:val="000000"/>
                                  <w:sz w:val="18"/>
                                  <w:szCs w:val="18"/>
                                </w:rPr>
                                <w:t>2</w:t>
                              </w:r>
                            </w:p>
                          </w:txbxContent>
                        </wps:txbx>
                        <wps:bodyPr wrap="none" lIns="0" tIns="0" rIns="0" bIns="0" upright="1">
                          <a:spAutoFit/>
                        </wps:bodyPr>
                      </wps:wsp>
                      <wps:wsp>
                        <wps:cNvPr id="135" name="矩形 135"/>
                        <wps:cNvSpPr/>
                        <wps:spPr>
                          <a:xfrm>
                            <a:off x="1383665" y="2247900"/>
                            <a:ext cx="57785" cy="147955"/>
                          </a:xfrm>
                          <a:prstGeom prst="rect">
                            <a:avLst/>
                          </a:prstGeom>
                          <a:noFill/>
                          <a:ln>
                            <a:noFill/>
                          </a:ln>
                        </wps:spPr>
                        <wps:txbx>
                          <w:txbxContent>
                            <w:p>
                              <w:r>
                                <w:rPr>
                                  <w:rFonts w:ascii="宋体" w:cs="宋体"/>
                                  <w:color w:val="000000"/>
                                  <w:sz w:val="18"/>
                                  <w:szCs w:val="18"/>
                                </w:rPr>
                                <w:t>3</w:t>
                              </w:r>
                            </w:p>
                          </w:txbxContent>
                        </wps:txbx>
                        <wps:bodyPr wrap="none" lIns="0" tIns="0" rIns="0" bIns="0" upright="1">
                          <a:spAutoFit/>
                        </wps:bodyPr>
                      </wps:wsp>
                      <wps:wsp>
                        <wps:cNvPr id="136" name="矩形 136"/>
                        <wps:cNvSpPr/>
                        <wps:spPr>
                          <a:xfrm>
                            <a:off x="1849755" y="2247900"/>
                            <a:ext cx="57785" cy="147955"/>
                          </a:xfrm>
                          <a:prstGeom prst="rect">
                            <a:avLst/>
                          </a:prstGeom>
                          <a:noFill/>
                          <a:ln>
                            <a:noFill/>
                          </a:ln>
                        </wps:spPr>
                        <wps:txbx>
                          <w:txbxContent>
                            <w:p>
                              <w:r>
                                <w:rPr>
                                  <w:rFonts w:ascii="宋体" w:cs="宋体"/>
                                  <w:color w:val="000000"/>
                                  <w:sz w:val="18"/>
                                  <w:szCs w:val="18"/>
                                </w:rPr>
                                <w:t>4</w:t>
                              </w:r>
                            </w:p>
                          </w:txbxContent>
                        </wps:txbx>
                        <wps:bodyPr wrap="none" lIns="0" tIns="0" rIns="0" bIns="0" upright="1">
                          <a:spAutoFit/>
                        </wps:bodyPr>
                      </wps:wsp>
                      <wps:wsp>
                        <wps:cNvPr id="137" name="矩形 137"/>
                        <wps:cNvSpPr/>
                        <wps:spPr>
                          <a:xfrm>
                            <a:off x="2308225" y="2247900"/>
                            <a:ext cx="57785" cy="147955"/>
                          </a:xfrm>
                          <a:prstGeom prst="rect">
                            <a:avLst/>
                          </a:prstGeom>
                          <a:noFill/>
                          <a:ln>
                            <a:noFill/>
                          </a:ln>
                        </wps:spPr>
                        <wps:txbx>
                          <w:txbxContent>
                            <w:p>
                              <w:r>
                                <w:rPr>
                                  <w:rFonts w:ascii="宋体" w:cs="宋体"/>
                                  <w:color w:val="000000"/>
                                  <w:sz w:val="18"/>
                                  <w:szCs w:val="18"/>
                                </w:rPr>
                                <w:t>5</w:t>
                              </w:r>
                            </w:p>
                          </w:txbxContent>
                        </wps:txbx>
                        <wps:bodyPr wrap="none" lIns="0" tIns="0" rIns="0" bIns="0" upright="1">
                          <a:spAutoFit/>
                        </wps:bodyPr>
                      </wps:wsp>
                      <wps:wsp>
                        <wps:cNvPr id="138" name="矩形 138"/>
                        <wps:cNvSpPr/>
                        <wps:spPr>
                          <a:xfrm>
                            <a:off x="2774315" y="2247900"/>
                            <a:ext cx="57785" cy="147955"/>
                          </a:xfrm>
                          <a:prstGeom prst="rect">
                            <a:avLst/>
                          </a:prstGeom>
                          <a:noFill/>
                          <a:ln>
                            <a:noFill/>
                          </a:ln>
                        </wps:spPr>
                        <wps:txbx>
                          <w:txbxContent>
                            <w:p>
                              <w:r>
                                <w:rPr>
                                  <w:rFonts w:ascii="宋体" w:cs="宋体"/>
                                  <w:color w:val="000000"/>
                                  <w:sz w:val="18"/>
                                  <w:szCs w:val="18"/>
                                </w:rPr>
                                <w:t>6</w:t>
                              </w:r>
                            </w:p>
                          </w:txbxContent>
                        </wps:txbx>
                        <wps:bodyPr wrap="none" lIns="0" tIns="0" rIns="0" bIns="0" upright="1">
                          <a:spAutoFit/>
                        </wps:bodyPr>
                      </wps:wsp>
                      <wps:wsp>
                        <wps:cNvPr id="139" name="矩形 139"/>
                        <wps:cNvSpPr/>
                        <wps:spPr>
                          <a:xfrm>
                            <a:off x="3233420" y="2247900"/>
                            <a:ext cx="57785" cy="147955"/>
                          </a:xfrm>
                          <a:prstGeom prst="rect">
                            <a:avLst/>
                          </a:prstGeom>
                          <a:noFill/>
                          <a:ln>
                            <a:noFill/>
                          </a:ln>
                        </wps:spPr>
                        <wps:txbx>
                          <w:txbxContent>
                            <w:p>
                              <w:r>
                                <w:rPr>
                                  <w:rFonts w:ascii="宋体" w:cs="宋体"/>
                                  <w:color w:val="000000"/>
                                  <w:sz w:val="18"/>
                                  <w:szCs w:val="18"/>
                                </w:rPr>
                                <w:t>7</w:t>
                              </w:r>
                            </w:p>
                          </w:txbxContent>
                        </wps:txbx>
                        <wps:bodyPr wrap="none" lIns="0" tIns="0" rIns="0" bIns="0" upright="1">
                          <a:spAutoFit/>
                        </wps:bodyPr>
                      </wps:wsp>
                      <wps:wsp>
                        <wps:cNvPr id="140" name="矩形 140"/>
                        <wps:cNvSpPr/>
                        <wps:spPr>
                          <a:xfrm>
                            <a:off x="3699510" y="2247900"/>
                            <a:ext cx="57785" cy="147955"/>
                          </a:xfrm>
                          <a:prstGeom prst="rect">
                            <a:avLst/>
                          </a:prstGeom>
                          <a:noFill/>
                          <a:ln>
                            <a:noFill/>
                          </a:ln>
                        </wps:spPr>
                        <wps:txbx>
                          <w:txbxContent>
                            <w:p>
                              <w:r>
                                <w:rPr>
                                  <w:rFonts w:ascii="宋体" w:cs="宋体"/>
                                  <w:color w:val="000000"/>
                                  <w:sz w:val="18"/>
                                  <w:szCs w:val="18"/>
                                </w:rPr>
                                <w:t>8</w:t>
                              </w:r>
                            </w:p>
                          </w:txbxContent>
                        </wps:txbx>
                        <wps:bodyPr wrap="none" lIns="0" tIns="0" rIns="0" bIns="0" upright="1">
                          <a:spAutoFit/>
                        </wps:bodyPr>
                      </wps:wsp>
                      <wps:wsp>
                        <wps:cNvPr id="141" name="矩形 141"/>
                        <wps:cNvSpPr/>
                        <wps:spPr>
                          <a:xfrm>
                            <a:off x="4157980" y="2247900"/>
                            <a:ext cx="57785" cy="147955"/>
                          </a:xfrm>
                          <a:prstGeom prst="rect">
                            <a:avLst/>
                          </a:prstGeom>
                          <a:noFill/>
                          <a:ln>
                            <a:noFill/>
                          </a:ln>
                        </wps:spPr>
                        <wps:txbx>
                          <w:txbxContent>
                            <w:p>
                              <w:r>
                                <w:rPr>
                                  <w:rFonts w:ascii="宋体" w:cs="宋体"/>
                                  <w:color w:val="000000"/>
                                  <w:sz w:val="18"/>
                                  <w:szCs w:val="18"/>
                                </w:rPr>
                                <w:t>9</w:t>
                              </w:r>
                            </w:p>
                          </w:txbxContent>
                        </wps:txbx>
                        <wps:bodyPr wrap="none" lIns="0" tIns="0" rIns="0" bIns="0" upright="1">
                          <a:spAutoFit/>
                        </wps:bodyPr>
                      </wps:wsp>
                      <wps:wsp>
                        <wps:cNvPr id="142" name="矩形 142"/>
                        <wps:cNvSpPr/>
                        <wps:spPr>
                          <a:xfrm>
                            <a:off x="4596130" y="2247900"/>
                            <a:ext cx="114935" cy="147955"/>
                          </a:xfrm>
                          <a:prstGeom prst="rect">
                            <a:avLst/>
                          </a:prstGeom>
                          <a:noFill/>
                          <a:ln>
                            <a:noFill/>
                          </a:ln>
                        </wps:spPr>
                        <wps:txbx>
                          <w:txbxContent>
                            <w:p>
                              <w:r>
                                <w:rPr>
                                  <w:rFonts w:ascii="宋体" w:cs="宋体"/>
                                  <w:color w:val="000000"/>
                                  <w:sz w:val="18"/>
                                  <w:szCs w:val="18"/>
                                </w:rPr>
                                <w:t>10</w:t>
                              </w:r>
                            </w:p>
                          </w:txbxContent>
                        </wps:txbx>
                        <wps:bodyPr wrap="none" lIns="0" tIns="0" rIns="0" bIns="0" upright="1">
                          <a:spAutoFit/>
                        </wps:bodyPr>
                      </wps:wsp>
                      <wps:wsp>
                        <wps:cNvPr id="143" name="矩形 143"/>
                        <wps:cNvSpPr/>
                        <wps:spPr>
                          <a:xfrm>
                            <a:off x="5054600" y="2247900"/>
                            <a:ext cx="114935" cy="147955"/>
                          </a:xfrm>
                          <a:prstGeom prst="rect">
                            <a:avLst/>
                          </a:prstGeom>
                          <a:noFill/>
                          <a:ln>
                            <a:noFill/>
                          </a:ln>
                        </wps:spPr>
                        <wps:txbx>
                          <w:txbxContent>
                            <w:p>
                              <w:r>
                                <w:rPr>
                                  <w:rFonts w:ascii="宋体" w:cs="宋体"/>
                                  <w:color w:val="000000"/>
                                  <w:sz w:val="18"/>
                                  <w:szCs w:val="18"/>
                                </w:rPr>
                                <w:t>11</w:t>
                              </w:r>
                            </w:p>
                          </w:txbxContent>
                        </wps:txbx>
                        <wps:bodyPr wrap="none" lIns="0" tIns="0" rIns="0" bIns="0" upright="1">
                          <a:spAutoFit/>
                        </wps:bodyPr>
                      </wps:wsp>
                      <wps:wsp>
                        <wps:cNvPr id="144" name="矩形 144"/>
                        <wps:cNvSpPr/>
                        <wps:spPr>
                          <a:xfrm>
                            <a:off x="5520690" y="2247900"/>
                            <a:ext cx="114935" cy="147955"/>
                          </a:xfrm>
                          <a:prstGeom prst="rect">
                            <a:avLst/>
                          </a:prstGeom>
                          <a:noFill/>
                          <a:ln>
                            <a:noFill/>
                          </a:ln>
                        </wps:spPr>
                        <wps:txbx>
                          <w:txbxContent>
                            <w:p>
                              <w:r>
                                <w:rPr>
                                  <w:rFonts w:ascii="宋体" w:cs="宋体"/>
                                  <w:color w:val="000000"/>
                                  <w:sz w:val="18"/>
                                  <w:szCs w:val="18"/>
                                </w:rPr>
                                <w:t>12</w:t>
                              </w:r>
                            </w:p>
                          </w:txbxContent>
                        </wps:txbx>
                        <wps:bodyPr wrap="none" lIns="0" tIns="0" rIns="0" bIns="0" upright="1">
                          <a:spAutoFit/>
                        </wps:bodyPr>
                      </wps:wsp>
                      <wps:wsp>
                        <wps:cNvPr id="145" name="矩形 145"/>
                        <wps:cNvSpPr/>
                        <wps:spPr>
                          <a:xfrm>
                            <a:off x="2915920" y="2410460"/>
                            <a:ext cx="229235" cy="147955"/>
                          </a:xfrm>
                          <a:prstGeom prst="rect">
                            <a:avLst/>
                          </a:prstGeom>
                          <a:noFill/>
                          <a:ln>
                            <a:noFill/>
                          </a:ln>
                        </wps:spPr>
                        <wps:txbx>
                          <w:txbxContent>
                            <w:p>
                              <w:r>
                                <w:rPr>
                                  <w:rFonts w:hint="eastAsia" w:ascii="宋体" w:cs="宋体"/>
                                  <w:color w:val="000000"/>
                                  <w:sz w:val="18"/>
                                  <w:szCs w:val="18"/>
                                </w:rPr>
                                <w:t>月份</w:t>
                              </w:r>
                            </w:p>
                          </w:txbxContent>
                        </wps:txbx>
                        <wps:bodyPr wrap="none" lIns="0" tIns="0" rIns="0" bIns="0" upright="1">
                          <a:spAutoFit/>
                        </wps:bodyPr>
                      </wps:wsp>
                      <wps:wsp>
                        <wps:cNvPr id="146" name="矩形 146"/>
                        <wps:cNvSpPr/>
                        <wps:spPr>
                          <a:xfrm rot="16200000">
                            <a:off x="40640" y="1146810"/>
                            <a:ext cx="343535" cy="229235"/>
                          </a:xfrm>
                          <a:prstGeom prst="rect">
                            <a:avLst/>
                          </a:prstGeom>
                          <a:noFill/>
                          <a:ln>
                            <a:noFill/>
                          </a:ln>
                        </wps:spPr>
                        <wps:txbx>
                          <w:txbxContent>
                            <w:p>
                              <w:r>
                                <w:rPr>
                                  <w:rFonts w:hint="eastAsia" w:ascii="宋体" w:cs="宋体"/>
                                  <w:color w:val="000000"/>
                                  <w:sz w:val="18"/>
                                  <w:szCs w:val="18"/>
                                </w:rPr>
                                <w:t>温度℃</w:t>
                              </w:r>
                            </w:p>
                          </w:txbxContent>
                        </wps:txbx>
                        <wps:bodyPr vert="eaVert" wrap="none" lIns="0" tIns="0" rIns="0" bIns="0" upright="1"/>
                      </wps:wsp>
                      <wps:wsp>
                        <wps:cNvPr id="147" name="矩形 147"/>
                        <wps:cNvSpPr/>
                        <wps:spPr>
                          <a:xfrm>
                            <a:off x="35560" y="34925"/>
                            <a:ext cx="5675630" cy="2586990"/>
                          </a:xfrm>
                          <a:prstGeom prst="rect">
                            <a:avLst/>
                          </a:prstGeom>
                          <a:noFill/>
                          <a:ln w="6985" cap="flat" cmpd="sng">
                            <a:solidFill>
                              <a:srgbClr val="000000"/>
                            </a:solidFill>
                            <a:prstDash val="solid"/>
                            <a:miter/>
                            <a:headEnd type="none" w="med" len="med"/>
                            <a:tailEnd type="none" w="med" len="med"/>
                          </a:ln>
                        </wps:spPr>
                        <wps:bodyPr upright="1"/>
                      </wps:wsp>
                    </wpc:wpc>
                  </a:graphicData>
                </a:graphic>
              </wp:inline>
            </w:drawing>
          </mc:Choice>
          <mc:Fallback>
            <w:pict>
              <v:group id="_x0000_s1026" o:spid="_x0000_s1026" o:spt="203" style="height:206.45pt;width:449.7pt;" coordsize="5711190,2621915" editas="canvas"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">
                <o:lock v:ext="edit" aspectratio="f"/>
                <v:shape id="_x0000_s1026" o:spid="_x0000_s1026" style="position:absolute;left:0;top:0;height:2621915;width:5711190;" fillcolor="#FFFFFF" filled="t" stroked="f" coordsize="21600,21600"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">
                  <v:fill on="t" focussize="0,0"/>
                  <v:stroke on="f"/>
                  <v:imagedata o:title=""/>
                  <o:lock v:ext="edit" aspectratio="t"/>
                </v:shape>
                <v:rect id="_x0000_s1026" o:spid="_x0000_s1026" o:spt="1" style="position:absolute;left:35560;top:34925;height:2586990;width:5675630;" fillcolor="#FFFFFF" filled="t" stroked="t" coordsize="21600,21600" o:gfxdata="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bblHnWAAAABQEAAA8AAAAAAAAAAQAgAAAAIgAAAGRycy9kb3ducmV2LnhtbFBLAQIUABQAAAAI&#10;AIdO4kAsga0q7wEAANsDAAAOAAAAAAAAAAEAIAAAACUBAABkcnMvZTJvRG9jLnhtbFBLBQYAAAAA&#10;BgAGAFkBAACGBQAAAAA=&#10;">
                  <v:fill on="t" focussize="0,0"/>
                  <v:stroke weight="0.55pt" color="#000000" joinstyle="miter"/>
                  <v:imagedata o:title=""/>
                  <o:lock v:ext="edit" aspectratio="f"/>
                </v:rect>
                <v:rect id="_x0000_s1026" o:spid="_x0000_s1026" o:spt="1" style="position:absolute;left:571500;top:198120;height:1965960;width:5090160;" fillcolor="#FFFFFF" filled="t" stroked="f" coordsize="21600,21600" o:gfxdata="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Du69X91QAAAAUBAAAPAAAAAAAAAAEA&#10;IAAAACIAAABkcnMvZG93bnJldi54bWxQSwECFAAUAAAACACHTuJAB/PBcqABAAAeAwAADgAAAAAA&#10;AAABACAAAAAkAQAAZHJzL2Uyb0RvYy54bWxQSwUGAAAAAAYABgBZAQAANgUAAAAA&#10;">
                  <v:fill on="t" focussize="0,0"/>
                  <v:stroke on="f"/>
                  <v:imagedata o:title=""/>
                  <o:lock v:ext="edit" aspectratio="f"/>
                </v:rect>
                <v:line id="_x0000_s1026" o:spid="_x0000_s1026" o:spt="20" style="position:absolute;left:487045;top:183515;height:1965960;width: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wdKUPOUB&#10;AACf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214947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BqmjquUB&#10;AACe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201549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A1Kyv1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88849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7fPY/eUB&#10;AACe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175514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33nYN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62814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wevA1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49415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uMW/S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36017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N+A/s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23317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UNatr5AEA&#10;AJ4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109918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otYlNUAAAAF&#10;AQAADwAAAAAAAAABACAAAAAiAAAAZHJzL2Rvd25yZXYueG1sUEsBAhQAFAAAAAgAh07iQHwXbK3m&#10;AQAAngMAAA4AAAAAAAAAAQAgAAAAJAEAAGRycy9lMm9Eb2MueG1sUEsFBgAAAAAGAAYAWQEAAHwF&#10;AAAAAA==&#10;">
                  <v:fill on="f" focussize="0,0"/>
                  <v:stroke weight="0pt" color="#000000" joinstyle="round"/>
                  <v:imagedata o:title=""/>
                  <o:lock v:ext="edit" aspectratio="f"/>
                </v:line>
                <v:line id="_x0000_s1026" o:spid="_x0000_s1026" o:spt="20" style="position:absolute;left:487045;top:97282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8t/zzOUB&#10;AACd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83883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DVSVVq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70485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i1iU1QAAAAUBAAAP&#10;AAAAAAAAAAEAIAAAACIAAABkcnMvZG93bnJldi54bWxQSwECFAAUAAAACACHTuJA569uMuIBAACd&#10;AwAADgAAAAAAAAABACAAAAAkAQAAZHJzL2Uyb0RvYy54bWxQSwUGAAAAAAYABgBZAQAAeAUAAAAA&#10;">
                  <v:fill on="f" focussize="0,0"/>
                  <v:stroke weight="0pt" color="#000000" joinstyle="round"/>
                  <v:imagedata o:title=""/>
                  <o:lock v:ext="edit" aspectratio="f"/>
                </v:line>
                <v:line id="_x0000_s1026" o:spid="_x0000_s1026" o:spt="20" style="position:absolute;left:487045;top:577850;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AeAwcW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44386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CwS/Dk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31686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i1iU1QAAAAUB&#10;AAAPAAAAAAAAAAEAIAAAACIAAABkcnMvZG93bnJldi54bWxQSwECFAAUAAAACACHTuJAXYfCXuUB&#10;AACdAwAADgAAAAAAAAABACAAAAAkAQAAZHJzL2Uyb0RvYy54bWxQSwUGAAAAAAYABgBZAQAAewUA&#10;AAAA&#10;">
                  <v:fill on="f" focussize="0,0"/>
                  <v:stroke weight="0pt" color="#000000" joinstyle="round"/>
                  <v:imagedata o:title=""/>
                  <o:lock v:ext="edit" aspectratio="f"/>
                </v:line>
                <v:line id="_x0000_s1026" o:spid="_x0000_s1026" o:spt="20" style="position:absolute;left:487045;top:183515;height:0;width:355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LWJTVAAAABQEA&#10;AA8AAAAAAAAAAQAgAAAAIgAAAGRycy9kb3ducmV2LnhtbFBLAQIUABQAAAAIAIdO4kBkYG8K5AEA&#10;AJ0DAAAOAAAAAAAAAAEAIAAAACQBAABkcnMvZTJvRG9jLnhtbFBLBQYAAAAABgAGAFkBAAB6BQAA&#10;AAA=&#10;">
                  <v:fill on="f" focussize="0,0"/>
                  <v:stroke weight="0pt" color="#000000" joinstyle="round"/>
                  <v:imagedata o:title=""/>
                  <o:lock v:ext="edit" aspectratio="f"/>
                </v:line>
                <v:line id="_x0000_s1026" o:spid="_x0000_s1026" o:spt="20" style="position:absolute;left:487045;top:2149475;height:0;width:5090160;" filled="f" stroked="t" coordsize="21600,21600" o:gfxdata="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qLWJTVAAAA&#10;BQEAAA8AAAAAAAAAAQAgAAAAIgAAAGRycy9kb3ducmV2LnhtbFBLAQIUABQAAAAIAIdO4kDmiLc+&#10;5wEAAKADAAAOAAAAAAAAAAEAIAAAACQBAABkcnMvZTJvRG9jLnhtbFBLBQYAAAAABgAGAFkBAAB9&#10;BQAAAAA=&#10;">
                  <v:fill on="f" focussize="0,0"/>
                  <v:stroke weight="0pt" color="#000000" joinstyle="round"/>
                  <v:imagedata o:title=""/>
                  <o:lock v:ext="edit" aspectratio="f"/>
                </v:line>
                <v:line id="_x0000_s1026" o:spid="_x0000_s1026" o:spt="20" style="position:absolute;left:48704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NBslFukBAACoAwAADgAAAAAAAAABACAAAAAmAQAAZHJzL2Uyb0RvYy54bWxQSwUGAAAAAAYABgBZ&#10;AQAAgQUAAAAA&#10;">
                  <v:fill on="f" focussize="0,0"/>
                  <v:stroke weight="0pt" color="#000000" joinstyle="round"/>
                  <v:imagedata o:title=""/>
                  <o:lock v:ext="edit" aspectratio="f"/>
                </v:line>
                <v:line id="_x0000_s1026" o:spid="_x0000_s1026" o:spt="20" style="position:absolute;left:95313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A0&#10;ZgZR6AEAAKgDAAAOAAAAAAAAAAEAIAAAACYBAABkcnMvZTJvRG9jLnhtbFBLBQYAAAAABgAGAFkB&#10;AACABQAAAAA=&#10;">
                  <v:fill on="f" focussize="0,0"/>
                  <v:stroke weight="0pt" color="#000000" joinstyle="round"/>
                  <v:imagedata o:title=""/>
                  <o:lock v:ext="edit" aspectratio="f"/>
                </v:line>
                <v:line id="_x0000_s1026" o:spid="_x0000_s1026" o:spt="20" style="position:absolute;left:141224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Cz&#10;BwfE6AEAAKkDAAAOAAAAAAAAAAEAIAAAACYBAABkcnMvZTJvRG9jLnhtbFBLBQYAAAAABgAGAFkB&#10;AACABQAAAAA=&#10;">
                  <v:fill on="f" focussize="0,0"/>
                  <v:stroke weight="0pt" color="#000000" joinstyle="round"/>
                  <v:imagedata o:title=""/>
                  <o:lock v:ext="edit" aspectratio="f"/>
                </v:line>
                <v:line id="_x0000_s1026" o:spid="_x0000_s1026" o:spt="20" style="position:absolute;left:187769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Fiou1wAAAAUBAAAPAAAAAAAAAAEAIAAAACIAAABkcnMvZG93bnJldi54bWxQSwECFAAUAAAACACH&#10;TuJA21t9HOwBAACpAwAADgAAAAAAAAABACAAAAAmAQAAZHJzL2Uyb0RvYy54bWxQSwUGAAAAAAYA&#10;BgBZAQAAhAUAAAAA&#10;">
                  <v:fill on="f" focussize="0,0"/>
                  <v:stroke weight="0pt" color="#000000" joinstyle="round"/>
                  <v:imagedata o:title=""/>
                  <o:lock v:ext="edit" aspectratio="f"/>
                </v:line>
                <v:line id="_x0000_s1026" o:spid="_x0000_s1026" o:spt="20" style="position:absolute;left:233680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WKeomekBAACpAwAADgAAAAAAAAABACAAAAAmAQAAZHJzL2Uyb0RvYy54bWxQSwUGAAAAAAYABgBZ&#10;AQAAgQUAAAAA&#10;">
                  <v:fill on="f" focussize="0,0"/>
                  <v:stroke weight="0pt" color="#000000" joinstyle="round"/>
                  <v:imagedata o:title=""/>
                  <o:lock v:ext="edit" aspectratio="f"/>
                </v:line>
                <v:line id="_x0000_s1026" o:spid="_x0000_s1026" o:spt="20" style="position:absolute;left:280289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YWKi7X&#10;AAAABQEAAA8AAAAAAAAAAQAgAAAAIgAAAGRycy9kb3ducmV2LnhtbFBLAQIUABQAAAAIAIdO4kA0&#10;VHRC6AEAAKkDAAAOAAAAAAAAAAEAIAAAACYBAABkcnMvZTJvRG9jLnhtbFBLBQYAAAAABgAGAFkB&#10;AACABQAAAAA=&#10;">
                  <v:fill on="f" focussize="0,0"/>
                  <v:stroke weight="0pt" color="#000000" joinstyle="round"/>
                  <v:imagedata o:title=""/>
                  <o:lock v:ext="edit" aspectratio="f"/>
                </v:line>
                <v:line id="_x0000_s1026" o:spid="_x0000_s1026" o:spt="20" style="position:absolute;left:326136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HFCki+kBAACpAwAADgAAAAAAAAABACAAAAAmAQAAZHJzL2Uyb0RvYy54bWxQSwUGAAAAAAYABgBZ&#10;AQAAgQUAAAAA&#10;">
                  <v:fill on="f" focussize="0,0"/>
                  <v:stroke weight="0pt" color="#000000" joinstyle="round"/>
                  <v:imagedata o:title=""/>
                  <o:lock v:ext="edit" aspectratio="f"/>
                </v:line>
                <v:line id="_x0000_s1026" o:spid="_x0000_s1026" o:spt="20" style="position:absolute;left:3727450;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5i83qekBAACpAwAADgAAAAAAAAABACAAAAAmAQAAZHJzL2Uyb0RvYy54bWxQSwUGAAAAAAYABgBZ&#10;AQAAgQUAAAAA&#10;">
                  <v:fill on="f" focussize="0,0"/>
                  <v:stroke weight="0pt" color="#000000" joinstyle="round"/>
                  <v:imagedata o:title=""/>
                  <o:lock v:ext="edit" aspectratio="f"/>
                </v:line>
                <v:line id="_x0000_s1026" o:spid="_x0000_s1026" o:spt="20" style="position:absolute;left:418655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ddQQgukBAACrAwAADgAAAAAAAAABACAAAAAmAQAAZHJzL2Uyb0RvYy54bWxQSwUGAAAAAAYABgBZ&#10;AQAAgQUAAAAA&#10;">
                  <v:fill on="f" focussize="0,0"/>
                  <v:stroke weight="0pt" color="#000000" joinstyle="round"/>
                  <v:imagedata o:title=""/>
                  <o:lock v:ext="edit" aspectratio="f"/>
                </v:line>
                <v:line id="_x0000_s1026" o:spid="_x0000_s1026" o:spt="20" style="position:absolute;left:465264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Fiou&#10;1wAAAAUBAAAPAAAAAAAAAAEAIAAAACIAAABkcnMvZG93bnJldi54bWxQSwECFAAUAAAACACHTuJA&#10;3prltOkBAACrAwAADgAAAAAAAAABACAAAAAmAQAAZHJzL2Uyb0RvYy54bWxQSwUGAAAAAAYABgBZ&#10;AQAAgQUAAAAA&#10;">
                  <v:fill on="f" focussize="0,0"/>
                  <v:stroke weight="0pt" color="#000000" joinstyle="round"/>
                  <v:imagedata o:title=""/>
                  <o:lock v:ext="edit" aspectratio="f"/>
                </v:line>
                <v:line id="_x0000_s1026" o:spid="_x0000_s1026" o:spt="20" style="position:absolute;left:511111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hYqLtcA&#10;AAAFAQAADwAAAAAAAAABACAAAAAiAAAAZHJzL2Rvd25yZXYueG1sUEsBAhQAFAAAAAgAh07iQIsM&#10;RH/nAQAAqwMAAA4AAAAAAAAAAQAgAAAAJgEAAGRycy9lMm9Eb2MueG1sUEsFBgAAAAAGAAYAWQEA&#10;AH8FAAAAAA==&#10;">
                  <v:fill on="f" focussize="0,0"/>
                  <v:stroke weight="0pt" color="#000000" joinstyle="round"/>
                  <v:imagedata o:title=""/>
                  <o:lock v:ext="edit" aspectratio="f"/>
                </v:line>
                <v:line id="_x0000_s1026" o:spid="_x0000_s1026" o:spt="20" style="position:absolute;left:5577205;top:2114550;flip:y;height:34925;width:0;" filled="f" stroked="t" coordsize="21600,21600" o:gfxdata="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YW&#10;Ki7XAAAABQEAAA8AAAAAAAAAAQAgAAAAIgAAAGRycy9kb3ducmV2LnhtbFBLAQIUABQAAAAIAIdO&#10;4kC7wpy36wEAAKsDAAAOAAAAAAAAAAEAIAAAACYBAABkcnMvZTJvRG9jLnhtbFBLBQYAAAAABgAG&#10;AFkBAACDBQAAAAA=&#10;">
                  <v:fill on="f" focussize="0,0"/>
                  <v:stroke weight="0pt" color="#000000" joinstyle="round"/>
                  <v:imagedata o:title=""/>
                  <o:lock v:ext="edit" aspectratio="f"/>
                </v:line>
                <v:shape id="_x0000_s1026" o:spid="_x0000_s1026" o:spt="100" style="position:absolute;left:487045;top:260985;height:1367155;width:5090160;" filled="f" stroked="t" coordsize="721,194" o:gfxdata="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EKP3fY&#10;AAAABQEAAA8AAAAAAAAAAQAgAAAAIgAAAGRycy9kb3ducmV2LnhtbFBLAQIUABQAAAAIAIdO4kBp&#10;9WaIkgIAANUFAAAOAAAAAAAAAAEAIAAAACcBAABkcnMvZTJvRG9jLnhtbFBLBQYAAAAABgAGAFkB&#10;AAArBgAAAAA=&#10;" path="m0,194l66,171,131,133,197,89,262,55,328,35,393,0,459,6,524,38,590,90,655,133,721,181e">
                  <v:fill on="f" focussize="0,0"/>
                  <v:stroke weight="0pt" color="#000080" joinstyle="round"/>
                  <v:imagedata o:title=""/>
                  <o:lock v:ext="edit" aspectratio="f"/>
                </v:shape>
                <v:shape id="_x0000_s1026" o:spid="_x0000_s1026" o:spt="100" style="position:absolute;left:473075;top:1614170;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pWEcNUAAAAFAQAADwAAAAAAAAABACAAAAAiAAAAZHJzL2Rv&#10;d25yZXYueG1sUEsBAhQAFAAAAAgAh07iQOasapc9AgAA7QQAAA4AAAAAAAAAAQAgAAAAJAEAAGRy&#10;cy9lMm9Eb2MueG1sUEsFBgAAAAAGAAYAWQEAANMFAAAAAA==&#10;" path="m22,0l44,22,22,44,0,22,22,0xe">
                  <v:fill on="t" focussize="0,0"/>
                  <v:stroke weight="0.55pt" color="#000080" joinstyle="round"/>
                  <v:imagedata o:title=""/>
                  <o:lock v:ext="edit" aspectratio="f"/>
                </v:shape>
                <v:shape id="_x0000_s1026" o:spid="_x0000_s1026" o:spt="100" style="position:absolute;left:939165;top:1451610;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CkyS9gAAAAFAQAADwAAAAAAAAABACAA&#10;AAAiAAAAZHJzL2Rvd25yZXYueG1sUEsBAhQAFAAAAAgAh07iQOhUTs1GAgAA7QQAAA4AAAAAAAAA&#10;AQAgAAAAJwEAAGRycy9lMm9Eb2MueG1sUEsFBgAAAAAGAAYAWQEAAN8FAAAAAA==&#10;" path="m22,0l44,23,22,45,0,23,22,0xe">
                  <v:fill on="t" focussize="0,0"/>
                  <v:stroke weight="0.55pt" color="#000080" joinstyle="round"/>
                  <v:imagedata o:title=""/>
                  <o:lock v:ext="edit" aspectratio="f"/>
                </v:shape>
                <v:shape id="_x0000_s1026" o:spid="_x0000_s1026" o:spt="100" style="position:absolute;left:1397635;top:1184275;height:27940;width:28575;" fillcolor="#000080" filled="t" stroked="t" coordsize="45,44" o:gfxdata="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YBbN9UAAAAFAQAADwAAAAAAAAABACAAAAAiAAAAZHJz&#10;L2Rvd25yZXYueG1sUEsBAhQAFAAAAAgAh07iQPwUJ+tAAgAA7gQAAA4AAAAAAAAAAQAgAAAAJAEA&#10;AGRycy9lMm9Eb2MueG1sUEsFBgAAAAAGAAYAWQEAANYFAAAAAA==&#10;" path="m23,0l45,22,23,44,0,22,23,0xe">
                  <v:fill on="t" focussize="0,0"/>
                  <v:stroke weight="0.55pt" color="#000080" joinstyle="round"/>
                  <v:imagedata o:title=""/>
                  <o:lock v:ext="edit" aspectratio="f"/>
                </v:shape>
                <v:shape id="_x0000_s1026" o:spid="_x0000_s1026" o:spt="100" style="position:absolute;left:1863725;top:873760;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l1AeHWAAAABQEAAA8AAAAAAAAAAQAgAAAAIgAAAGRycy9k&#10;b3ducmV2LnhtbFBLAQIUABQAAAAIAIdO4kBfEcpAPQIAAO0EAAAOAAAAAAAAAAEAIAAAACUBAABk&#10;cnMvZTJvRG9jLnhtbFBLBQYAAAAABgAGAFkBAADUBQAAAAA=&#10;" path="m22,0l45,22,22,45,0,22,22,0xe">
                  <v:fill on="t" focussize="0,0"/>
                  <v:stroke weight="0.55pt" color="#000080" joinstyle="round"/>
                  <v:imagedata o:title=""/>
                  <o:lock v:ext="edit" aspectratio="f"/>
                </v:shape>
                <v:shape id="_x0000_s1026" o:spid="_x0000_s1026" o:spt="100" style="position:absolute;left:2322830;top:63436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GlYRw1QAAAAUBAAAPAAAAAAAAAAEAIAAAACIAAABkcnMv&#10;ZG93bnJldi54bWxQSwECFAAUAAAACACHTuJA8WbMhT8CAADtBAAADgAAAAAAAAABACAAAAAkAQAA&#10;ZHJzL2Uyb0RvYy54bWxQSwUGAAAAAAYABgBZAQAA1QUAAAAA&#10;" path="m22,0l44,22,22,44,0,22,22,0xe">
                  <v:fill on="t" focussize="0,0"/>
                  <v:stroke weight="0.55pt" color="#000080" joinstyle="round"/>
                  <v:imagedata o:title=""/>
                  <o:lock v:ext="edit" aspectratio="f"/>
                </v:shape>
                <v:shape id="_x0000_s1026" o:spid="_x0000_s1026" o:spt="100" style="position:absolute;left:2788285;top:493395;height:27940;width:28575;" fillcolor="#000080" filled="t" stroked="t" coordsize="45,44" o:gfxdata="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gFs31QAAAAUBAAAPAAAAAAAAAAEAIAAAACIAAABkcnMv&#10;ZG93bnJldi54bWxQSwECFAAUAAAACACHTuJAMnOPuD8CAADtBAAADgAAAAAAAAABACAAAAAkAQAA&#10;ZHJzL2Uyb0RvYy54bWxQSwUGAAAAAAYABgBZAQAA1QUAAAAA&#10;" path="m23,0l45,22,23,44,0,22,23,0xe">
                  <v:fill on="t" focussize="0,0"/>
                  <v:stroke weight="0.55pt" color="#000080" joinstyle="round"/>
                  <v:imagedata o:title=""/>
                  <o:lock v:ext="edit" aspectratio="f"/>
                </v:shape>
                <v:shape id="_x0000_s1026" o:spid="_x0000_s1026" o:spt="100" style="position:absolute;left:3247390;top:246380;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l1AeHWAAAABQEAAA8AAAAAAAAAAQAgAAAAIgAAAGRy&#10;cy9kb3ducmV2LnhtbFBLAQIUABQAAAAIAIdO4kBb/6sXQAIAAO0EAAAOAAAAAAAAAAEAIAAAACUB&#10;AABkcnMvZTJvRG9jLnhtbFBLBQYAAAAABgAGAFkBAADXBQAAAAA=&#10;" path="m22,0l45,23,22,45,0,23,22,0xe">
                  <v:fill on="t" focussize="0,0"/>
                  <v:stroke weight="0.55pt" color="#000080" joinstyle="round"/>
                  <v:imagedata o:title=""/>
                  <o:lock v:ext="edit" aspectratio="f"/>
                </v:shape>
                <v:shape id="_x0000_s1026" o:spid="_x0000_s1026" o:spt="100" style="position:absolute;left:3713480;top:28892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pWEcNUAAAAFAQAADwAAAAAAAAABACAAAAAi&#10;AAAAZHJzL2Rvd25yZXYueG1sUEsBAhQAFAAAAAgAh07iQCnJYldGAgAA7QQAAA4AAAAAAAAAAQAg&#10;AAAAJAEAAGRycy9lMm9Eb2MueG1sUEsFBgAAAAAGAAYAWQEAANwFAAAAAA==&#10;" path="m22,0l44,22,22,44,0,22,22,0xe">
                  <v:fill on="t" focussize="0,0"/>
                  <v:stroke weight="0.55pt" color="#000080" joinstyle="round"/>
                  <v:imagedata o:title=""/>
                  <o:lock v:ext="edit" aspectratio="f"/>
                </v:shape>
                <v:shape id="_x0000_s1026" o:spid="_x0000_s1026" o:spt="100" style="position:absolute;left:4172585;top:514350;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CkyS9gAAAAFAQAADwAAAAAAAAABACAA&#10;AAAiAAAAZHJzL2Rvd25yZXYueG1sUEsBAhQAFAAAAAgAh07iQLE0DVdGAgAA7QQAAA4AAAAAAAAA&#10;AQAgAAAAJwEAAGRycy9lMm9Eb2MueG1sUEsFBgAAAAAGAAYAWQEAAN8FAAAAAA==&#10;" path="m22,0l44,22,22,45,0,22,22,0xe">
                  <v:fill on="t" focussize="0,0"/>
                  <v:stroke weight="0.55pt" color="#000080" joinstyle="round"/>
                  <v:imagedata o:title=""/>
                  <o:lock v:ext="edit" aspectratio="f"/>
                </v:shape>
                <v:shape id="_x0000_s1026" o:spid="_x0000_s1026" o:spt="100" style="position:absolute;left:4638040;top:880745;height:28575;width:28575;" fillcolor="#000080" filled="t" stroked="t" coordsize="45,45" o:gfxdata="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XUB4dYAAAAFAQAADwAAAAAAAAABACAAAAAiAAAAZHJz&#10;L2Rvd25yZXYueG1sUEsBAhQAFAAAAAgAh07iQO3Mi1k/AgAA7QQAAA4AAAAAAAAAAQAgAAAAJQEA&#10;AGRycy9lMm9Eb2MueG1sUEsFBgAAAAAGAAYAWQEAANYFAAAAAA==&#10;" path="m23,0l45,23,23,45,0,23,23,0xe">
                  <v:fill on="t" focussize="0,0"/>
                  <v:stroke weight="0.55pt" color="#000080" joinstyle="round"/>
                  <v:imagedata o:title=""/>
                  <o:lock v:ext="edit" aspectratio="f"/>
                </v:shape>
                <v:shape id="_x0000_s1026" o:spid="_x0000_s1026" o:spt="100" style="position:absolute;left:5097145;top:1184275;height:27940;width:27940;" fillcolor="#000080" filled="t" stroked="t" coordsize="44,44" o:gfxdata="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pWEcNUAAAAFAQAADwAAAAAAAAABACAAAAAiAAAAZHJz&#10;L2Rvd25yZXYueG1sUEsBAhQAFAAAAAgAh07iQLMSgfxAAgAA7gQAAA4AAAAAAAAAAQAgAAAAJAEA&#10;AGRycy9lMm9Eb2MueG1sUEsFBgAAAAAGAAYAWQEAANYFAAAAAA==&#10;" path="m22,0l44,22,22,44,0,22,22,0xe">
                  <v:fill on="t" focussize="0,0"/>
                  <v:stroke weight="0.55pt" color="#000080" joinstyle="round"/>
                  <v:imagedata o:title=""/>
                  <o:lock v:ext="edit" aspectratio="f"/>
                </v:shape>
                <v:shape id="_x0000_s1026" o:spid="_x0000_s1026" o:spt="100" style="position:absolute;left:5563235;top:1522095;height:28575;width:27940;" fillcolor="#000080" filled="t" stroked="t" coordsize="44,45" o:gfxdata="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gpMkvYAAAABQEAAA8AAAAAAAAAAQAgAAAA&#10;IgAAAGRycy9kb3ducmV2LnhtbFBLAQIUABQAAAAIAIdO4kB4pYzoRAIAAO4EAAAOAAAAAAAAAAEA&#10;IAAAACcBAABkcnMvZTJvRG9jLnhtbFBLBQYAAAAABgAGAFkBAADdBQAAAAA=&#10;" path="m22,0l44,22,22,45,0,22,22,0xe">
                  <v:fill on="t" focussize="0,0"/>
                  <v:stroke weight="0.55pt" color="#000080" joinstyle="round"/>
                  <v:imagedata o:title=""/>
                  <o:lock v:ext="edit" aspectratio="f"/>
                </v:shape>
                <v:rect id="_x0000_s1026" o:spid="_x0000_s1026" o:spt="1" style="position:absolute;left:346075;top:209994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M4bhtr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0</w:t>
                        </w:r>
                      </w:p>
                    </w:txbxContent>
                  </v:textbox>
                </v:rect>
                <v:rect id="_x0000_s1026" o:spid="_x0000_s1026" o:spt="1" style="position:absolute;left:346075;top:196659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C2GKN0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w:t>
                        </w:r>
                      </w:p>
                    </w:txbxContent>
                  </v:textbox>
                </v:rect>
                <v:rect id="_x0000_s1026" o:spid="_x0000_s1026" o:spt="1" style="position:absolute;left:346075;top:1839595;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CRZVB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4</w:t>
                        </w:r>
                      </w:p>
                    </w:txbxContent>
                  </v:textbox>
                </v:rect>
                <v:rect id="_x0000_s1026" o:spid="_x0000_s1026" o:spt="1" style="position:absolute;left:346075;top:170561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wXYg&#10;1AAAAAUBAAAPAAAAAAAAAAEAIAAAACIAAABkcnMvZG93bnJldi54bWxQSwECFAAUAAAACACHTuJA&#10;rzGjk7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8"/>
                            <w:szCs w:val="18"/>
                          </w:rPr>
                          <w:t>6</w:t>
                        </w:r>
                      </w:p>
                    </w:txbxContent>
                  </v:textbox>
                </v:rect>
                <v:rect id="_x0000_s1026" o:spid="_x0000_s1026" o:spt="1" style="position:absolute;left:346075;top:157861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CdhLGK0AQAASg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8</w:t>
                        </w:r>
                      </w:p>
                    </w:txbxContent>
                  </v:textbox>
                </v:rect>
                <v:rect id="_x0000_s1026" o:spid="_x0000_s1026" o:spt="1" style="position:absolute;left:289560;top:144462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Iupyr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10</w:t>
                        </w:r>
                      </w:p>
                    </w:txbxContent>
                  </v:textbox>
                </v:rect>
                <v:rect id="_x0000_s1026" o:spid="_x0000_s1026" o:spt="1" style="position:absolute;left:289560;top:131064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8dyKj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12</w:t>
                        </w:r>
                      </w:p>
                    </w:txbxContent>
                  </v:textbox>
                </v:rect>
                <v:rect id="_x0000_s1026" o:spid="_x0000_s1026" o:spt="1" style="position:absolute;left:289560;top:118427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Hr30P7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14</w:t>
                        </w:r>
                      </w:p>
                    </w:txbxContent>
                  </v:textbox>
                </v:rect>
                <v:rect id="_x0000_s1026" o:spid="_x0000_s1026" o:spt="1" style="position:absolute;left:289560;top:105029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Cnd080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16</w:t>
                        </w:r>
                      </w:p>
                    </w:txbxContent>
                  </v:textbox>
                </v:rect>
                <v:rect id="_x0000_s1026" o:spid="_x0000_s1026" o:spt="1" style="position:absolute;left:289560;top:92329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ydFjpr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18</w:t>
                        </w:r>
                      </w:p>
                    </w:txbxContent>
                  </v:textbox>
                </v:rect>
                <v:rect id="_x0000_s1026" o:spid="_x0000_s1026" o:spt="1" style="position:absolute;left:289560;top:78930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O2yBW+3AQAASg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20</w:t>
                        </w:r>
                      </w:p>
                    </w:txbxContent>
                  </v:textbox>
                </v:rect>
                <v:rect id="_x0000_s1026" o:spid="_x0000_s1026" o:spt="1" style="position:absolute;left:289560;top:65532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lUJ7QL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22</w:t>
                        </w:r>
                      </w:p>
                    </w:txbxContent>
                  </v:textbox>
                </v:rect>
                <v:rect id="_x0000_s1026" o:spid="_x0000_s1026" o:spt="1" style="position:absolute;left:289560;top:52832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xX4x+b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24</w:t>
                        </w:r>
                      </w:p>
                    </w:txbxContent>
                  </v:textbox>
                </v:rect>
                <v:rect id="_x0000_s1026" o:spid="_x0000_s1026" o:spt="1" style="position:absolute;left:289560;top:39497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5ZlAx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26</w:t>
                        </w:r>
                      </w:p>
                    </w:txbxContent>
                  </v:textbox>
                </v:rect>
                <v:rect id="_x0000_s1026" o:spid="_x0000_s1026" o:spt="1" style="position:absolute;left:289560;top:26797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yX1lm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28</w:t>
                        </w:r>
                      </w:p>
                    </w:txbxContent>
                  </v:textbox>
                </v:rect>
                <v:rect id="_x0000_s1026" o:spid="_x0000_s1026" o:spt="1" style="position:absolute;left:289560;top:133985;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npZk1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30</w:t>
                        </w:r>
                      </w:p>
                    </w:txbxContent>
                  </v:textbox>
                </v:rect>
                <v:rect id="_x0000_s1026" o:spid="_x0000_s1026" o:spt="1" style="position:absolute;left:45910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FgpiP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1</w:t>
                        </w:r>
                      </w:p>
                    </w:txbxContent>
                  </v:textbox>
                </v:rect>
                <v:rect id="_x0000_s1026" o:spid="_x0000_s1026" o:spt="1" style="position:absolute;left:92456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AnAliI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2</w:t>
                        </w:r>
                      </w:p>
                    </w:txbxContent>
                  </v:textbox>
                </v:rect>
                <v:rect id="_x0000_s1026" o:spid="_x0000_s1026" o:spt="1" style="position:absolute;left:138366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wXYg&#10;1AAAAAUBAAAPAAAAAAAAAAEAIAAAACIAAABkcnMvZG93bnJldi54bWxQSwECFAAUAAAACACHTuJA&#10;Ajiu2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8"/>
                            <w:szCs w:val="18"/>
                          </w:rPr>
                          <w:t>3</w:t>
                        </w:r>
                      </w:p>
                    </w:txbxContent>
                  </v:textbox>
                </v:rect>
                <v:rect id="_x0000_s1026" o:spid="_x0000_s1026" o:spt="1" style="position:absolute;left:184975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ZsAYT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4</w:t>
                        </w:r>
                      </w:p>
                    </w:txbxContent>
                  </v:textbox>
                </v:rect>
                <v:rect id="_x0000_s1026" o:spid="_x0000_s1026" o:spt="1" style="position:absolute;left:230822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GYOADy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5</w:t>
                        </w:r>
                      </w:p>
                    </w:txbxContent>
                  </v:textbox>
                </v:rect>
                <v:rect id="_x0000_s1026" o:spid="_x0000_s1026" o:spt="1" style="position:absolute;left:2774315;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MF2&#10;INQAAAAFAQAADwAAAAAAAAABACAAAAAiAAAAZHJzL2Rvd25yZXYueG1sUEsBAhQAFAAAAAgAh07i&#10;QB7jYDq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8"/>
                            <w:szCs w:val="18"/>
                          </w:rPr>
                          <w:t>6</w:t>
                        </w:r>
                      </w:p>
                    </w:txbxContent>
                  </v:textbox>
                </v:rect>
                <v:rect id="_x0000_s1026" o:spid="_x0000_s1026" o:spt="1" style="position:absolute;left:323342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SX73u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7</w:t>
                        </w:r>
                      </w:p>
                    </w:txbxContent>
                  </v:textbox>
                </v:rect>
                <v:rect id="_x0000_s1026" o:spid="_x0000_s1026" o:spt="1" style="position:absolute;left:369951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Eiv3v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8</w:t>
                        </w:r>
                      </w:p>
                    </w:txbxContent>
                  </v:textbox>
                </v:rect>
                <v:rect id="_x0000_s1026" o:spid="_x0000_s1026" o:spt="1" style="position:absolute;left:4157980;top:2247900;height:147955;width:5778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DLHRg6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8"/>
                            <w:szCs w:val="18"/>
                          </w:rPr>
                          <w:t>9</w:t>
                        </w:r>
                      </w:p>
                    </w:txbxContent>
                  </v:textbox>
                </v:rect>
                <v:rect id="_x0000_s1026" o:spid="_x0000_s1026" o:spt="1" style="position:absolute;left:459613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B7uhc63AQAATA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10</w:t>
                        </w:r>
                      </w:p>
                    </w:txbxContent>
                  </v:textbox>
                </v:rect>
                <v:rect id="_x0000_s1026" o:spid="_x0000_s1026" o:spt="1" style="position:absolute;left:505460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wXYg1AAAAAUBAAAPAAAAAAAAAAEAIAAAACIAAABkcnMvZG93bnJldi54bWxQSwECFAAUAAAACACH&#10;TuJALBqe9bYBAABM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8"/>
                            <w:szCs w:val="18"/>
                          </w:rPr>
                          <w:t>11</w:t>
                        </w:r>
                      </w:p>
                    </w:txbxContent>
                  </v:textbox>
                </v:rect>
                <v:rect id="_x0000_s1026" o:spid="_x0000_s1026" o:spt="1" style="position:absolute;left:5520690;top:2247900;height:147955;width:1149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MF2INQAAAAFAQAADwAAAAAAAAABACAAAAAiAAAAZHJzL2Rvd25yZXYueG1sUEsBAhQAFAAAAAgA&#10;h07iQHITf4G3AQAATA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8"/>
                            <w:szCs w:val="18"/>
                          </w:rPr>
                          <w:t>12</w:t>
                        </w:r>
                      </w:p>
                    </w:txbxContent>
                  </v:textbox>
                </v:rect>
                <v:rect id="_x0000_s1026" o:spid="_x0000_s1026" o:spt="1" style="position:absolute;left:2915920;top:2410460;height:147955;width:229235;mso-wrap-style:none;" filled="f" stroked="f" coordsize="21600,21600" o:gfxdata="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B&#10;diDUAAAABQEAAA8AAAAAAAAAAQAgAAAAIgAAAGRycy9kb3ducmV2LnhtbFBLAQIUABQAAAAIAIdO&#10;4kBWrs7jtQEAAEwDAAAOAAAAAAAAAAEAIAAAACMBAABkcnMvZTJvRG9jLnhtbFBLBQYAAAAABgAG&#10;AFkBAABKBQAAAAA=&#10;">
                  <v:fill on="f" focussize="0,0"/>
                  <v:stroke on="f"/>
                  <v:imagedata o:title=""/>
                  <o:lock v:ext="edit" aspectratio="f"/>
                  <v:textbox inset="0mm,0mm,0mm,0mm" style="mso-fit-shape-to-text:t;">
                    <w:txbxContent>
                      <w:p>
                        <w:r>
                          <w:rPr>
                            <w:rFonts w:hint="eastAsia" w:ascii="宋体" w:cs="宋体"/>
                            <w:color w:val="000000"/>
                            <w:sz w:val="18"/>
                            <w:szCs w:val="18"/>
                          </w:rPr>
                          <w:t>月份</w:t>
                        </w:r>
                      </w:p>
                    </w:txbxContent>
                  </v:textbox>
                </v:rect>
                <v:rect id="_x0000_s1026" o:spid="_x0000_s1026" o:spt="1" style="position:absolute;left:40640;top:1146810;height:229235;width:343535;mso-wrap-style:none;rotation:-5898240f;" filled="f" stroked="f" coordsize="21600,21600" o:gfxdata="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NmXstYAAAAFAQAADwAAAAAAAAABACAAAAAiAAAAZHJzL2Rvd25yZXYueG1sUEsBAhQA&#10;FAAAAAgAh07iQNn8sxu7AQAATQMAAA4AAAAAAAAAAQAgAAAAJQEAAGRycy9lMm9Eb2MueG1sUEsF&#10;BgAAAAAGAAYAWQEAAFIFAAAAAA==&#10;">
                  <v:fill on="f" focussize="0,0"/>
                  <v:stroke on="f"/>
                  <v:imagedata o:title=""/>
                  <o:lock v:ext="edit" aspectratio="f"/>
                  <v:textbox inset="0mm,0mm,0mm,0mm" style="layout-flow:vertical-ideographic;">
                    <w:txbxContent>
                      <w:p>
                        <w:r>
                          <w:rPr>
                            <w:rFonts w:hint="eastAsia" w:ascii="宋体" w:cs="宋体"/>
                            <w:color w:val="000000"/>
                            <w:sz w:val="18"/>
                            <w:szCs w:val="18"/>
                          </w:rPr>
                          <w:t>温度℃</w:t>
                        </w:r>
                      </w:p>
                    </w:txbxContent>
                  </v:textbox>
                </v:rect>
                <v:rect id="_x0000_s1026" o:spid="_x0000_s1026" o:spt="1" style="position:absolute;left:35560;top:34925;height:2586990;width:5675630;" filled="f" stroked="t" coordsize="21600,21600" o:gfxdata="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ldPX&#10;1gAAAAUBAAAPAAAAAAAAAAEAIAAAACIAAABkcnMvZG93bnJldi54bWxQSwECFAAUAAAACACHTuJA&#10;+5onD+oBAAC0AwAADgAAAAAAAAABACAAAAAlAQAAZHJzL2Uyb0RvYy54bWxQSwUGAAAAAAYABgBZ&#10;AQAAgQUAAAAA&#10;">
                  <v:fill on="f" focussize="0,0"/>
                  <v:stroke weight="0.55pt" color="#000000" joinstyle="miter"/>
                  <v:imagedata o:title=""/>
                  <o:lock v:ext="edit" aspectratio="f"/>
                </v:rect>
                <w10:wrap type="none"/>
                <w10:anchorlock/>
              </v:group>
            </w:pict>
          </mc:Fallback>
        </mc:AlternateContent>
      </w:r>
    </w:p>
    <w:p>
      <w:pPr>
        <w:adjustRightInd w:val="0"/>
        <w:snapToGrid w:val="0"/>
        <w:spacing w:line="348" w:lineRule="auto"/>
        <w:jc w:val="center"/>
        <w:rPr>
          <w:b/>
        </w:rPr>
      </w:pPr>
      <w:r>
        <w:rPr>
          <w:b/>
        </w:rPr>
        <w:t>图</w:t>
      </w:r>
      <w:r>
        <w:rPr>
          <w:rFonts w:hint="eastAsia"/>
          <w:b/>
        </w:rPr>
        <w:t>8</w:t>
      </w:r>
      <w:r>
        <w:rPr>
          <w:b/>
        </w:rPr>
        <w:t>.1  年平均温度的月变化</w:t>
      </w:r>
    </w:p>
    <w:p>
      <w:pPr>
        <w:adjustRightInd w:val="0"/>
        <w:snapToGrid w:val="0"/>
        <w:spacing w:line="348" w:lineRule="auto"/>
        <w:ind w:firstLine="560" w:firstLineChars="200"/>
        <w:rPr>
          <w:sz w:val="28"/>
        </w:rPr>
      </w:pPr>
    </w:p>
    <w:p>
      <w:pPr>
        <w:adjustRightInd w:val="0"/>
        <w:snapToGrid w:val="0"/>
        <w:spacing w:line="348" w:lineRule="auto"/>
        <w:ind w:firstLine="420" w:firstLineChars="200"/>
      </w:pPr>
      <w:r>
        <mc:AlternateContent>
          <mc:Choice Requires="wps">
            <w:drawing>
              <wp:anchor distT="0" distB="0" distL="114300" distR="114300" simplePos="0" relativeHeight="251875328" behindDoc="0" locked="0" layoutInCell="1" allowOverlap="1">
                <wp:simplePos x="0" y="0"/>
                <wp:positionH relativeFrom="column">
                  <wp:posOffset>76200</wp:posOffset>
                </wp:positionH>
                <wp:positionV relativeFrom="paragraph">
                  <wp:posOffset>0</wp:posOffset>
                </wp:positionV>
                <wp:extent cx="5675630" cy="2439670"/>
                <wp:effectExtent l="5080" t="4445" r="15240" b="13335"/>
                <wp:wrapNone/>
                <wp:docPr id="375" name="矩形 375"/>
                <wp:cNvGraphicFramePr/>
                <a:graphic xmlns:a="http://schemas.openxmlformats.org/drawingml/2006/main">
                  <a:graphicData uri="http://schemas.microsoft.com/office/word/2010/wordprocessingShape">
                    <wps:wsp>
                      <wps:cNvSpPr/>
                      <wps:spPr>
                        <a:xfrm>
                          <a:off x="0" y="0"/>
                          <a:ext cx="5675630" cy="2439670"/>
                        </a:xfrm>
                        <a:prstGeom prst="rect">
                          <a:avLst/>
                        </a:prstGeom>
                        <a:noFill/>
                        <a:ln w="698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6pt;margin-top:0pt;height:192.1pt;width:446.9pt;z-index:251875328;mso-width-relative:page;mso-height-relative:page;" filled="f" stroked="t" coordsize="21600,21600" o:gfxdata="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yi44tcAAAAHAQAA&#10;DwAAAAAAAAABACAAAAAiAAAAZHJzL2Rvd25yZXYueG1sUEsBAhQAFAAAAAgAh07iQPX1QCrhAQAA&#10;rAMAAA4AAAAAAAAAAQAgAAAAJgEAAGRycy9lMm9Eb2MueG1sUEsFBgAAAAAGAAYAWQEAAHkFAAAA&#10;AA==&#10;">
                <v:fill on="f" focussize="0,0"/>
                <v:stroke weight="0.55pt" color="#000000" joinstyle="miter"/>
                <v:imagedata o:title=""/>
                <o:lock v:ext="edit" aspectratio="f"/>
              </v:rect>
            </w:pict>
          </mc:Fallback>
        </mc:AlternateContent>
      </w:r>
      <w:r>
        <mc:AlternateContent>
          <mc:Choice Requires="wpc">
            <w:drawing>
              <wp:inline distT="0" distB="0" distL="114300" distR="114300">
                <wp:extent cx="5753735" cy="2510155"/>
                <wp:effectExtent l="0" t="0" r="18415" b="4445"/>
                <wp:docPr id="237" name="画布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64" name="矩形 164"/>
                        <wps:cNvSpPr/>
                        <wps:spPr>
                          <a:xfrm>
                            <a:off x="114300" y="198120"/>
                            <a:ext cx="5040630" cy="1833245"/>
                          </a:xfrm>
                          <a:prstGeom prst="rect">
                            <a:avLst/>
                          </a:prstGeom>
                          <a:solidFill>
                            <a:srgbClr val="FFFFFF"/>
                          </a:solidFill>
                          <a:ln>
                            <a:noFill/>
                          </a:ln>
                        </wps:spPr>
                        <wps:bodyPr upright="1"/>
                      </wps:wsp>
                      <wps:wsp>
                        <wps:cNvPr id="165" name="矩形 165"/>
                        <wps:cNvSpPr/>
                        <wps:spPr>
                          <a:xfrm>
                            <a:off x="536575" y="183515"/>
                            <a:ext cx="5040630" cy="1833245"/>
                          </a:xfrm>
                          <a:prstGeom prst="rect">
                            <a:avLst/>
                          </a:prstGeom>
                          <a:noFill/>
                          <a:ln w="6985" cap="flat" cmpd="sng">
                            <a:solidFill>
                              <a:srgbClr val="FFFFFF"/>
                            </a:solidFill>
                            <a:prstDash val="solid"/>
                            <a:miter/>
                            <a:headEnd type="none" w="med" len="med"/>
                            <a:tailEnd type="none" w="med" len="med"/>
                          </a:ln>
                        </wps:spPr>
                        <wps:bodyPr upright="1"/>
                      </wps:wsp>
                      <wps:wsp>
                        <wps:cNvPr id="166" name="直接连接符 166"/>
                        <wps:cNvCnPr/>
                        <wps:spPr>
                          <a:xfrm>
                            <a:off x="536575" y="183515"/>
                            <a:ext cx="0" cy="1833245"/>
                          </a:xfrm>
                          <a:prstGeom prst="line">
                            <a:avLst/>
                          </a:prstGeom>
                          <a:ln w="0" cap="flat" cmpd="sng">
                            <a:solidFill>
                              <a:srgbClr val="000000"/>
                            </a:solidFill>
                            <a:prstDash val="solid"/>
                            <a:headEnd type="none" w="med" len="med"/>
                            <a:tailEnd type="none" w="med" len="med"/>
                          </a:ln>
                        </wps:spPr>
                        <wps:bodyPr upright="1"/>
                      </wps:wsp>
                      <wps:wsp>
                        <wps:cNvPr id="167" name="直接连接符 167"/>
                        <wps:cNvCnPr/>
                        <wps:spPr>
                          <a:xfrm>
                            <a:off x="536575" y="2016760"/>
                            <a:ext cx="35560" cy="0"/>
                          </a:xfrm>
                          <a:prstGeom prst="line">
                            <a:avLst/>
                          </a:prstGeom>
                          <a:ln w="0" cap="flat" cmpd="sng">
                            <a:solidFill>
                              <a:srgbClr val="000000"/>
                            </a:solidFill>
                            <a:prstDash val="solid"/>
                            <a:headEnd type="none" w="med" len="med"/>
                            <a:tailEnd type="none" w="med" len="med"/>
                          </a:ln>
                        </wps:spPr>
                        <wps:bodyPr upright="1"/>
                      </wps:wsp>
                      <wps:wsp>
                        <wps:cNvPr id="168" name="直接连接符 168"/>
                        <wps:cNvCnPr/>
                        <wps:spPr>
                          <a:xfrm>
                            <a:off x="536575" y="1812290"/>
                            <a:ext cx="35560" cy="0"/>
                          </a:xfrm>
                          <a:prstGeom prst="line">
                            <a:avLst/>
                          </a:prstGeom>
                          <a:ln w="0" cap="flat" cmpd="sng">
                            <a:solidFill>
                              <a:srgbClr val="000000"/>
                            </a:solidFill>
                            <a:prstDash val="solid"/>
                            <a:headEnd type="none" w="med" len="med"/>
                            <a:tailEnd type="none" w="med" len="med"/>
                          </a:ln>
                        </wps:spPr>
                        <wps:bodyPr upright="1"/>
                      </wps:wsp>
                      <wps:wsp>
                        <wps:cNvPr id="169" name="直接连接符 169"/>
                        <wps:cNvCnPr/>
                        <wps:spPr>
                          <a:xfrm>
                            <a:off x="536575" y="1607820"/>
                            <a:ext cx="35560" cy="0"/>
                          </a:xfrm>
                          <a:prstGeom prst="line">
                            <a:avLst/>
                          </a:prstGeom>
                          <a:ln w="0" cap="flat" cmpd="sng">
                            <a:solidFill>
                              <a:srgbClr val="000000"/>
                            </a:solidFill>
                            <a:prstDash val="solid"/>
                            <a:headEnd type="none" w="med" len="med"/>
                            <a:tailEnd type="none" w="med" len="med"/>
                          </a:ln>
                        </wps:spPr>
                        <wps:bodyPr upright="1"/>
                      </wps:wsp>
                      <wps:wsp>
                        <wps:cNvPr id="170" name="直接连接符 170"/>
                        <wps:cNvCnPr/>
                        <wps:spPr>
                          <a:xfrm>
                            <a:off x="536575" y="1403350"/>
                            <a:ext cx="35560" cy="0"/>
                          </a:xfrm>
                          <a:prstGeom prst="line">
                            <a:avLst/>
                          </a:prstGeom>
                          <a:ln w="0" cap="flat" cmpd="sng">
                            <a:solidFill>
                              <a:srgbClr val="000000"/>
                            </a:solidFill>
                            <a:prstDash val="solid"/>
                            <a:headEnd type="none" w="med" len="med"/>
                            <a:tailEnd type="none" w="med" len="med"/>
                          </a:ln>
                        </wps:spPr>
                        <wps:bodyPr upright="1"/>
                      </wps:wsp>
                      <wps:wsp>
                        <wps:cNvPr id="171" name="直接连接符 171"/>
                        <wps:cNvCnPr/>
                        <wps:spPr>
                          <a:xfrm>
                            <a:off x="536575" y="1198880"/>
                            <a:ext cx="35560" cy="0"/>
                          </a:xfrm>
                          <a:prstGeom prst="line">
                            <a:avLst/>
                          </a:prstGeom>
                          <a:ln w="0" cap="flat" cmpd="sng">
                            <a:solidFill>
                              <a:srgbClr val="000000"/>
                            </a:solidFill>
                            <a:prstDash val="solid"/>
                            <a:headEnd type="none" w="med" len="med"/>
                            <a:tailEnd type="none" w="med" len="med"/>
                          </a:ln>
                        </wps:spPr>
                        <wps:bodyPr upright="1"/>
                      </wps:wsp>
                      <wps:wsp>
                        <wps:cNvPr id="172" name="直接连接符 172"/>
                        <wps:cNvCnPr/>
                        <wps:spPr>
                          <a:xfrm>
                            <a:off x="536575" y="1001395"/>
                            <a:ext cx="35560" cy="0"/>
                          </a:xfrm>
                          <a:prstGeom prst="line">
                            <a:avLst/>
                          </a:prstGeom>
                          <a:ln w="0" cap="flat" cmpd="sng">
                            <a:solidFill>
                              <a:srgbClr val="000000"/>
                            </a:solidFill>
                            <a:prstDash val="solid"/>
                            <a:headEnd type="none" w="med" len="med"/>
                            <a:tailEnd type="none" w="med" len="med"/>
                          </a:ln>
                        </wps:spPr>
                        <wps:bodyPr upright="1"/>
                      </wps:wsp>
                      <wps:wsp>
                        <wps:cNvPr id="173" name="直接连接符 173"/>
                        <wps:cNvCnPr/>
                        <wps:spPr>
                          <a:xfrm>
                            <a:off x="536575" y="796925"/>
                            <a:ext cx="35560" cy="0"/>
                          </a:xfrm>
                          <a:prstGeom prst="line">
                            <a:avLst/>
                          </a:prstGeom>
                          <a:ln w="0" cap="flat" cmpd="sng">
                            <a:solidFill>
                              <a:srgbClr val="000000"/>
                            </a:solidFill>
                            <a:prstDash val="solid"/>
                            <a:headEnd type="none" w="med" len="med"/>
                            <a:tailEnd type="none" w="med" len="med"/>
                          </a:ln>
                        </wps:spPr>
                        <wps:bodyPr upright="1"/>
                      </wps:wsp>
                      <wps:wsp>
                        <wps:cNvPr id="174" name="直接连接符 174"/>
                        <wps:cNvCnPr/>
                        <wps:spPr>
                          <a:xfrm>
                            <a:off x="536575" y="592455"/>
                            <a:ext cx="35560" cy="0"/>
                          </a:xfrm>
                          <a:prstGeom prst="line">
                            <a:avLst/>
                          </a:prstGeom>
                          <a:ln w="0" cap="flat" cmpd="sng">
                            <a:solidFill>
                              <a:srgbClr val="000000"/>
                            </a:solidFill>
                            <a:prstDash val="solid"/>
                            <a:headEnd type="none" w="med" len="med"/>
                            <a:tailEnd type="none" w="med" len="med"/>
                          </a:ln>
                        </wps:spPr>
                        <wps:bodyPr upright="1"/>
                      </wps:wsp>
                      <wps:wsp>
                        <wps:cNvPr id="175" name="直接连接符 175"/>
                        <wps:cNvCnPr/>
                        <wps:spPr>
                          <a:xfrm>
                            <a:off x="536575" y="387985"/>
                            <a:ext cx="35560" cy="0"/>
                          </a:xfrm>
                          <a:prstGeom prst="line">
                            <a:avLst/>
                          </a:prstGeom>
                          <a:ln w="0" cap="flat" cmpd="sng">
                            <a:solidFill>
                              <a:srgbClr val="000000"/>
                            </a:solidFill>
                            <a:prstDash val="solid"/>
                            <a:headEnd type="none" w="med" len="med"/>
                            <a:tailEnd type="none" w="med" len="med"/>
                          </a:ln>
                        </wps:spPr>
                        <wps:bodyPr upright="1"/>
                      </wps:wsp>
                      <wps:wsp>
                        <wps:cNvPr id="176" name="直接连接符 176"/>
                        <wps:cNvCnPr/>
                        <wps:spPr>
                          <a:xfrm>
                            <a:off x="536575" y="183515"/>
                            <a:ext cx="35560" cy="0"/>
                          </a:xfrm>
                          <a:prstGeom prst="line">
                            <a:avLst/>
                          </a:prstGeom>
                          <a:ln w="0" cap="flat" cmpd="sng">
                            <a:solidFill>
                              <a:srgbClr val="000000"/>
                            </a:solidFill>
                            <a:prstDash val="solid"/>
                            <a:headEnd type="none" w="med" len="med"/>
                            <a:tailEnd type="none" w="med" len="med"/>
                          </a:ln>
                        </wps:spPr>
                        <wps:bodyPr upright="1"/>
                      </wps:wsp>
                      <wps:wsp>
                        <wps:cNvPr id="177" name="直接连接符 177"/>
                        <wps:cNvCnPr/>
                        <wps:spPr>
                          <a:xfrm>
                            <a:off x="536575" y="2016760"/>
                            <a:ext cx="5040630" cy="0"/>
                          </a:xfrm>
                          <a:prstGeom prst="line">
                            <a:avLst/>
                          </a:prstGeom>
                          <a:ln w="0" cap="flat" cmpd="sng">
                            <a:solidFill>
                              <a:srgbClr val="000000"/>
                            </a:solidFill>
                            <a:prstDash val="solid"/>
                            <a:headEnd type="none" w="med" len="med"/>
                            <a:tailEnd type="none" w="med" len="med"/>
                          </a:ln>
                        </wps:spPr>
                        <wps:bodyPr upright="1"/>
                      </wps:wsp>
                      <wps:wsp>
                        <wps:cNvPr id="178" name="直接连接符 178"/>
                        <wps:cNvCnPr/>
                        <wps:spPr>
                          <a:xfrm flipV="1">
                            <a:off x="536575" y="1981200"/>
                            <a:ext cx="0" cy="35560"/>
                          </a:xfrm>
                          <a:prstGeom prst="line">
                            <a:avLst/>
                          </a:prstGeom>
                          <a:ln w="0" cap="flat" cmpd="sng">
                            <a:solidFill>
                              <a:srgbClr val="000000"/>
                            </a:solidFill>
                            <a:prstDash val="solid"/>
                            <a:headEnd type="none" w="med" len="med"/>
                            <a:tailEnd type="none" w="med" len="med"/>
                          </a:ln>
                        </wps:spPr>
                        <wps:bodyPr upright="1"/>
                      </wps:wsp>
                      <wps:wsp>
                        <wps:cNvPr id="179" name="直接连接符 179"/>
                        <wps:cNvCnPr/>
                        <wps:spPr>
                          <a:xfrm flipV="1">
                            <a:off x="995680" y="1981200"/>
                            <a:ext cx="0" cy="35560"/>
                          </a:xfrm>
                          <a:prstGeom prst="line">
                            <a:avLst/>
                          </a:prstGeom>
                          <a:ln w="0" cap="flat" cmpd="sng">
                            <a:solidFill>
                              <a:srgbClr val="000000"/>
                            </a:solidFill>
                            <a:prstDash val="solid"/>
                            <a:headEnd type="none" w="med" len="med"/>
                            <a:tailEnd type="none" w="med" len="med"/>
                          </a:ln>
                        </wps:spPr>
                        <wps:bodyPr upright="1"/>
                      </wps:wsp>
                      <wps:wsp>
                        <wps:cNvPr id="180" name="直接连接符 180"/>
                        <wps:cNvCnPr/>
                        <wps:spPr>
                          <a:xfrm flipV="1">
                            <a:off x="1454150" y="1981200"/>
                            <a:ext cx="0" cy="35560"/>
                          </a:xfrm>
                          <a:prstGeom prst="line">
                            <a:avLst/>
                          </a:prstGeom>
                          <a:ln w="0" cap="flat" cmpd="sng">
                            <a:solidFill>
                              <a:srgbClr val="000000"/>
                            </a:solidFill>
                            <a:prstDash val="solid"/>
                            <a:headEnd type="none" w="med" len="med"/>
                            <a:tailEnd type="none" w="med" len="med"/>
                          </a:ln>
                        </wps:spPr>
                        <wps:bodyPr upright="1"/>
                      </wps:wsp>
                      <wps:wsp>
                        <wps:cNvPr id="181" name="直接连接符 181"/>
                        <wps:cNvCnPr/>
                        <wps:spPr>
                          <a:xfrm flipV="1">
                            <a:off x="1913255" y="1981200"/>
                            <a:ext cx="0" cy="35560"/>
                          </a:xfrm>
                          <a:prstGeom prst="line">
                            <a:avLst/>
                          </a:prstGeom>
                          <a:ln w="0" cap="flat" cmpd="sng">
                            <a:solidFill>
                              <a:srgbClr val="000000"/>
                            </a:solidFill>
                            <a:prstDash val="solid"/>
                            <a:headEnd type="none" w="med" len="med"/>
                            <a:tailEnd type="none" w="med" len="med"/>
                          </a:ln>
                        </wps:spPr>
                        <wps:bodyPr upright="1"/>
                      </wps:wsp>
                      <wps:wsp>
                        <wps:cNvPr id="182" name="直接连接符 182"/>
                        <wps:cNvCnPr/>
                        <wps:spPr>
                          <a:xfrm flipV="1">
                            <a:off x="2372360" y="1981200"/>
                            <a:ext cx="0" cy="35560"/>
                          </a:xfrm>
                          <a:prstGeom prst="line">
                            <a:avLst/>
                          </a:prstGeom>
                          <a:ln w="0" cap="flat" cmpd="sng">
                            <a:solidFill>
                              <a:srgbClr val="000000"/>
                            </a:solidFill>
                            <a:prstDash val="solid"/>
                            <a:headEnd type="none" w="med" len="med"/>
                            <a:tailEnd type="none" w="med" len="med"/>
                          </a:ln>
                        </wps:spPr>
                        <wps:bodyPr upright="1"/>
                      </wps:wsp>
                      <wps:wsp>
                        <wps:cNvPr id="183" name="直接连接符 183"/>
                        <wps:cNvCnPr/>
                        <wps:spPr>
                          <a:xfrm flipV="1">
                            <a:off x="2830830" y="1981200"/>
                            <a:ext cx="0" cy="35560"/>
                          </a:xfrm>
                          <a:prstGeom prst="line">
                            <a:avLst/>
                          </a:prstGeom>
                          <a:ln w="0" cap="flat" cmpd="sng">
                            <a:solidFill>
                              <a:srgbClr val="000000"/>
                            </a:solidFill>
                            <a:prstDash val="solid"/>
                            <a:headEnd type="none" w="med" len="med"/>
                            <a:tailEnd type="none" w="med" len="med"/>
                          </a:ln>
                        </wps:spPr>
                        <wps:bodyPr upright="1"/>
                      </wps:wsp>
                      <wps:wsp>
                        <wps:cNvPr id="184" name="直接连接符 184"/>
                        <wps:cNvCnPr/>
                        <wps:spPr>
                          <a:xfrm flipV="1">
                            <a:off x="3282950" y="1981200"/>
                            <a:ext cx="0" cy="35560"/>
                          </a:xfrm>
                          <a:prstGeom prst="line">
                            <a:avLst/>
                          </a:prstGeom>
                          <a:ln w="0" cap="flat" cmpd="sng">
                            <a:solidFill>
                              <a:srgbClr val="000000"/>
                            </a:solidFill>
                            <a:prstDash val="solid"/>
                            <a:headEnd type="none" w="med" len="med"/>
                            <a:tailEnd type="none" w="med" len="med"/>
                          </a:ln>
                        </wps:spPr>
                        <wps:bodyPr upright="1"/>
                      </wps:wsp>
                      <wps:wsp>
                        <wps:cNvPr id="185" name="直接连接符 185"/>
                        <wps:cNvCnPr/>
                        <wps:spPr>
                          <a:xfrm flipV="1">
                            <a:off x="3741420" y="1981200"/>
                            <a:ext cx="0" cy="35560"/>
                          </a:xfrm>
                          <a:prstGeom prst="line">
                            <a:avLst/>
                          </a:prstGeom>
                          <a:ln w="0" cap="flat" cmpd="sng">
                            <a:solidFill>
                              <a:srgbClr val="000000"/>
                            </a:solidFill>
                            <a:prstDash val="solid"/>
                            <a:headEnd type="none" w="med" len="med"/>
                            <a:tailEnd type="none" w="med" len="med"/>
                          </a:ln>
                        </wps:spPr>
                        <wps:bodyPr upright="1"/>
                      </wps:wsp>
                      <wps:wsp>
                        <wps:cNvPr id="186" name="直接连接符 186"/>
                        <wps:cNvCnPr/>
                        <wps:spPr>
                          <a:xfrm flipV="1">
                            <a:off x="4200525" y="1981200"/>
                            <a:ext cx="0" cy="35560"/>
                          </a:xfrm>
                          <a:prstGeom prst="line">
                            <a:avLst/>
                          </a:prstGeom>
                          <a:ln w="0" cap="flat" cmpd="sng">
                            <a:solidFill>
                              <a:srgbClr val="000000"/>
                            </a:solidFill>
                            <a:prstDash val="solid"/>
                            <a:headEnd type="none" w="med" len="med"/>
                            <a:tailEnd type="none" w="med" len="med"/>
                          </a:ln>
                        </wps:spPr>
                        <wps:bodyPr upright="1"/>
                      </wps:wsp>
                      <wps:wsp>
                        <wps:cNvPr id="187" name="直接连接符 187"/>
                        <wps:cNvCnPr/>
                        <wps:spPr>
                          <a:xfrm flipV="1">
                            <a:off x="4659630" y="1981200"/>
                            <a:ext cx="0" cy="35560"/>
                          </a:xfrm>
                          <a:prstGeom prst="line">
                            <a:avLst/>
                          </a:prstGeom>
                          <a:ln w="0" cap="flat" cmpd="sng">
                            <a:solidFill>
                              <a:srgbClr val="000000"/>
                            </a:solidFill>
                            <a:prstDash val="solid"/>
                            <a:headEnd type="none" w="med" len="med"/>
                            <a:tailEnd type="none" w="med" len="med"/>
                          </a:ln>
                        </wps:spPr>
                        <wps:bodyPr upright="1"/>
                      </wps:wsp>
                      <wps:wsp>
                        <wps:cNvPr id="188" name="直接连接符 188"/>
                        <wps:cNvCnPr/>
                        <wps:spPr>
                          <a:xfrm flipV="1">
                            <a:off x="5118100" y="1981200"/>
                            <a:ext cx="0" cy="35560"/>
                          </a:xfrm>
                          <a:prstGeom prst="line">
                            <a:avLst/>
                          </a:prstGeom>
                          <a:ln w="0" cap="flat" cmpd="sng">
                            <a:solidFill>
                              <a:srgbClr val="000000"/>
                            </a:solidFill>
                            <a:prstDash val="solid"/>
                            <a:headEnd type="none" w="med" len="med"/>
                            <a:tailEnd type="none" w="med" len="med"/>
                          </a:ln>
                        </wps:spPr>
                        <wps:bodyPr upright="1"/>
                      </wps:wsp>
                      <wps:wsp>
                        <wps:cNvPr id="189" name="直接连接符 189"/>
                        <wps:cNvCnPr/>
                        <wps:spPr>
                          <a:xfrm flipV="1">
                            <a:off x="5577205" y="1981200"/>
                            <a:ext cx="0" cy="35560"/>
                          </a:xfrm>
                          <a:prstGeom prst="line">
                            <a:avLst/>
                          </a:prstGeom>
                          <a:ln w="0" cap="flat" cmpd="sng">
                            <a:solidFill>
                              <a:srgbClr val="000000"/>
                            </a:solidFill>
                            <a:prstDash val="solid"/>
                            <a:headEnd type="none" w="med" len="med"/>
                            <a:tailEnd type="none" w="med" len="med"/>
                          </a:ln>
                        </wps:spPr>
                        <wps:bodyPr upright="1"/>
                      </wps:wsp>
                      <wps:wsp>
                        <wps:cNvPr id="190" name="任意多边形 190"/>
                        <wps:cNvSpPr/>
                        <wps:spPr>
                          <a:xfrm>
                            <a:off x="536575" y="874395"/>
                            <a:ext cx="459105" cy="225425"/>
                          </a:xfrm>
                          <a:custGeom>
                            <a:avLst/>
                            <a:gdLst/>
                            <a:ahLst/>
                            <a:cxnLst/>
                            <a:pathLst>
                              <a:path w="723" h="355">
                                <a:moveTo>
                                  <a:pt x="0" y="355"/>
                                </a:moveTo>
                                <a:lnTo>
                                  <a:pt x="178" y="266"/>
                                </a:lnTo>
                                <a:lnTo>
                                  <a:pt x="356" y="189"/>
                                </a:lnTo>
                                <a:lnTo>
                                  <a:pt x="545" y="100"/>
                                </a:lnTo>
                                <a:lnTo>
                                  <a:pt x="723" y="0"/>
                                </a:lnTo>
                              </a:path>
                            </a:pathLst>
                          </a:custGeom>
                          <a:noFill/>
                          <a:ln w="6985" cap="flat" cmpd="sng">
                            <a:solidFill>
                              <a:srgbClr val="000080"/>
                            </a:solidFill>
                            <a:prstDash val="solid"/>
                            <a:headEnd type="none" w="med" len="med"/>
                            <a:tailEnd type="none" w="med" len="med"/>
                          </a:ln>
                        </wps:spPr>
                        <wps:bodyPr upright="1"/>
                      </wps:wsp>
                      <wps:wsp>
                        <wps:cNvPr id="191" name="任意多边形 191"/>
                        <wps:cNvSpPr/>
                        <wps:spPr>
                          <a:xfrm>
                            <a:off x="995680" y="508000"/>
                            <a:ext cx="458470" cy="366395"/>
                          </a:xfrm>
                          <a:custGeom>
                            <a:avLst/>
                            <a:gdLst/>
                            <a:ahLst/>
                            <a:cxnLst/>
                            <a:pathLst>
                              <a:path w="722" h="577">
                                <a:moveTo>
                                  <a:pt x="0" y="577"/>
                                </a:moveTo>
                                <a:lnTo>
                                  <a:pt x="89" y="510"/>
                                </a:lnTo>
                                <a:lnTo>
                                  <a:pt x="177" y="444"/>
                                </a:lnTo>
                                <a:lnTo>
                                  <a:pt x="355" y="288"/>
                                </a:lnTo>
                                <a:lnTo>
                                  <a:pt x="544" y="133"/>
                                </a:lnTo>
                                <a:lnTo>
                                  <a:pt x="633" y="55"/>
                                </a:lnTo>
                                <a:lnTo>
                                  <a:pt x="722" y="0"/>
                                </a:lnTo>
                              </a:path>
                            </a:pathLst>
                          </a:custGeom>
                          <a:noFill/>
                          <a:ln w="6985" cap="flat" cmpd="sng">
                            <a:solidFill>
                              <a:srgbClr val="000080"/>
                            </a:solidFill>
                            <a:prstDash val="solid"/>
                            <a:headEnd type="none" w="med" len="med"/>
                            <a:tailEnd type="none" w="med" len="med"/>
                          </a:ln>
                        </wps:spPr>
                        <wps:bodyPr upright="1"/>
                      </wps:wsp>
                      <wps:wsp>
                        <wps:cNvPr id="192" name="任意多边形 192"/>
                        <wps:cNvSpPr/>
                        <wps:spPr>
                          <a:xfrm>
                            <a:off x="1454150" y="324485"/>
                            <a:ext cx="459105" cy="183515"/>
                          </a:xfrm>
                          <a:custGeom>
                            <a:avLst/>
                            <a:gdLst/>
                            <a:ahLst/>
                            <a:cxnLst/>
                            <a:pathLst>
                              <a:path w="723" h="289">
                                <a:moveTo>
                                  <a:pt x="0" y="289"/>
                                </a:moveTo>
                                <a:lnTo>
                                  <a:pt x="178" y="189"/>
                                </a:lnTo>
                                <a:lnTo>
                                  <a:pt x="356" y="111"/>
                                </a:lnTo>
                                <a:lnTo>
                                  <a:pt x="545" y="44"/>
                                </a:lnTo>
                                <a:lnTo>
                                  <a:pt x="723" y="0"/>
                                </a:lnTo>
                              </a:path>
                            </a:pathLst>
                          </a:custGeom>
                          <a:noFill/>
                          <a:ln w="6985" cap="flat" cmpd="sng">
                            <a:solidFill>
                              <a:srgbClr val="000080"/>
                            </a:solidFill>
                            <a:prstDash val="solid"/>
                            <a:headEnd type="none" w="med" len="med"/>
                            <a:tailEnd type="none" w="med" len="med"/>
                          </a:ln>
                        </wps:spPr>
                        <wps:bodyPr upright="1"/>
                      </wps:wsp>
                      <wps:wsp>
                        <wps:cNvPr id="193" name="任意多边形 193"/>
                        <wps:cNvSpPr/>
                        <wps:spPr>
                          <a:xfrm>
                            <a:off x="1913255" y="302895"/>
                            <a:ext cx="459105" cy="42545"/>
                          </a:xfrm>
                          <a:custGeom>
                            <a:avLst/>
                            <a:gdLst/>
                            <a:ahLst/>
                            <a:cxnLst/>
                            <a:pathLst>
                              <a:path w="723" h="67">
                                <a:moveTo>
                                  <a:pt x="0" y="34"/>
                                </a:moveTo>
                                <a:lnTo>
                                  <a:pt x="178" y="12"/>
                                </a:lnTo>
                                <a:lnTo>
                                  <a:pt x="356" y="0"/>
                                </a:lnTo>
                                <a:lnTo>
                                  <a:pt x="456" y="0"/>
                                </a:lnTo>
                                <a:lnTo>
                                  <a:pt x="545" y="12"/>
                                </a:lnTo>
                                <a:lnTo>
                                  <a:pt x="634" y="34"/>
                                </a:lnTo>
                                <a:lnTo>
                                  <a:pt x="723" y="67"/>
                                </a:lnTo>
                              </a:path>
                            </a:pathLst>
                          </a:custGeom>
                          <a:noFill/>
                          <a:ln w="6985" cap="flat" cmpd="sng">
                            <a:solidFill>
                              <a:srgbClr val="000080"/>
                            </a:solidFill>
                            <a:prstDash val="solid"/>
                            <a:headEnd type="none" w="med" len="med"/>
                            <a:tailEnd type="none" w="med" len="med"/>
                          </a:ln>
                        </wps:spPr>
                        <wps:bodyPr upright="1"/>
                      </wps:wsp>
                      <wps:wsp>
                        <wps:cNvPr id="194" name="任意多边形 194"/>
                        <wps:cNvSpPr/>
                        <wps:spPr>
                          <a:xfrm>
                            <a:off x="2372360" y="345440"/>
                            <a:ext cx="458470" cy="367030"/>
                          </a:xfrm>
                          <a:custGeom>
                            <a:avLst/>
                            <a:gdLst/>
                            <a:ahLst/>
                            <a:cxnLst/>
                            <a:pathLst>
                              <a:path w="722" h="578">
                                <a:moveTo>
                                  <a:pt x="0" y="0"/>
                                </a:moveTo>
                                <a:lnTo>
                                  <a:pt x="44" y="22"/>
                                </a:lnTo>
                                <a:lnTo>
                                  <a:pt x="88" y="56"/>
                                </a:lnTo>
                                <a:lnTo>
                                  <a:pt x="177" y="133"/>
                                </a:lnTo>
                                <a:lnTo>
                                  <a:pt x="266" y="233"/>
                                </a:lnTo>
                                <a:lnTo>
                                  <a:pt x="366" y="333"/>
                                </a:lnTo>
                                <a:lnTo>
                                  <a:pt x="455" y="433"/>
                                </a:lnTo>
                                <a:lnTo>
                                  <a:pt x="544" y="511"/>
                                </a:lnTo>
                                <a:lnTo>
                                  <a:pt x="589" y="544"/>
                                </a:lnTo>
                                <a:lnTo>
                                  <a:pt x="633" y="566"/>
                                </a:lnTo>
                                <a:lnTo>
                                  <a:pt x="678" y="578"/>
                                </a:lnTo>
                                <a:lnTo>
                                  <a:pt x="722" y="578"/>
                                </a:lnTo>
                              </a:path>
                            </a:pathLst>
                          </a:custGeom>
                          <a:noFill/>
                          <a:ln w="6985" cap="flat" cmpd="sng">
                            <a:solidFill>
                              <a:srgbClr val="000080"/>
                            </a:solidFill>
                            <a:prstDash val="solid"/>
                            <a:headEnd type="none" w="med" len="med"/>
                            <a:tailEnd type="none" w="med" len="med"/>
                          </a:ln>
                        </wps:spPr>
                        <wps:bodyPr upright="1"/>
                      </wps:wsp>
                      <wps:wsp>
                        <wps:cNvPr id="195" name="任意多边形 195"/>
                        <wps:cNvSpPr/>
                        <wps:spPr>
                          <a:xfrm>
                            <a:off x="2830830" y="281940"/>
                            <a:ext cx="452120" cy="430530"/>
                          </a:xfrm>
                          <a:custGeom>
                            <a:avLst/>
                            <a:gdLst/>
                            <a:ahLst/>
                            <a:cxnLst/>
                            <a:pathLst>
                              <a:path w="712" h="678">
                                <a:moveTo>
                                  <a:pt x="0" y="678"/>
                                </a:moveTo>
                                <a:lnTo>
                                  <a:pt x="45" y="666"/>
                                </a:lnTo>
                                <a:lnTo>
                                  <a:pt x="89" y="644"/>
                                </a:lnTo>
                                <a:lnTo>
                                  <a:pt x="134" y="622"/>
                                </a:lnTo>
                                <a:lnTo>
                                  <a:pt x="178" y="578"/>
                                </a:lnTo>
                                <a:lnTo>
                                  <a:pt x="267" y="489"/>
                                </a:lnTo>
                                <a:lnTo>
                                  <a:pt x="356" y="378"/>
                                </a:lnTo>
                                <a:lnTo>
                                  <a:pt x="445" y="256"/>
                                </a:lnTo>
                                <a:lnTo>
                                  <a:pt x="534" y="145"/>
                                </a:lnTo>
                                <a:lnTo>
                                  <a:pt x="623" y="56"/>
                                </a:lnTo>
                                <a:lnTo>
                                  <a:pt x="667" y="22"/>
                                </a:lnTo>
                                <a:lnTo>
                                  <a:pt x="712" y="0"/>
                                </a:lnTo>
                              </a:path>
                            </a:pathLst>
                          </a:custGeom>
                          <a:noFill/>
                          <a:ln w="6985" cap="flat" cmpd="sng">
                            <a:solidFill>
                              <a:srgbClr val="000080"/>
                            </a:solidFill>
                            <a:prstDash val="solid"/>
                            <a:headEnd type="none" w="med" len="med"/>
                            <a:tailEnd type="none" w="med" len="med"/>
                          </a:ln>
                        </wps:spPr>
                        <wps:bodyPr upright="1"/>
                      </wps:wsp>
                      <wps:wsp>
                        <wps:cNvPr id="196" name="任意多边形 196"/>
                        <wps:cNvSpPr/>
                        <wps:spPr>
                          <a:xfrm>
                            <a:off x="3282950" y="254000"/>
                            <a:ext cx="458470" cy="48895"/>
                          </a:xfrm>
                          <a:custGeom>
                            <a:avLst/>
                            <a:gdLst/>
                            <a:ahLst/>
                            <a:cxnLst/>
                            <a:pathLst>
                              <a:path w="722" h="77">
                                <a:moveTo>
                                  <a:pt x="0" y="44"/>
                                </a:moveTo>
                                <a:lnTo>
                                  <a:pt x="89" y="11"/>
                                </a:lnTo>
                                <a:lnTo>
                                  <a:pt x="178" y="0"/>
                                </a:lnTo>
                                <a:lnTo>
                                  <a:pt x="267" y="0"/>
                                </a:lnTo>
                                <a:lnTo>
                                  <a:pt x="355" y="11"/>
                                </a:lnTo>
                                <a:lnTo>
                                  <a:pt x="544" y="44"/>
                                </a:lnTo>
                                <a:lnTo>
                                  <a:pt x="722" y="77"/>
                                </a:lnTo>
                              </a:path>
                            </a:pathLst>
                          </a:custGeom>
                          <a:noFill/>
                          <a:ln w="6985" cap="flat" cmpd="sng">
                            <a:solidFill>
                              <a:srgbClr val="000080"/>
                            </a:solidFill>
                            <a:prstDash val="solid"/>
                            <a:headEnd type="none" w="med" len="med"/>
                            <a:tailEnd type="none" w="med" len="med"/>
                          </a:ln>
                        </wps:spPr>
                        <wps:bodyPr upright="1"/>
                      </wps:wsp>
                      <wps:wsp>
                        <wps:cNvPr id="197" name="任意多边形 197"/>
                        <wps:cNvSpPr/>
                        <wps:spPr>
                          <a:xfrm>
                            <a:off x="3741420" y="302895"/>
                            <a:ext cx="459105" cy="85090"/>
                          </a:xfrm>
                          <a:custGeom>
                            <a:avLst/>
                            <a:gdLst/>
                            <a:ahLst/>
                            <a:cxnLst/>
                            <a:pathLst>
                              <a:path w="723" h="134">
                                <a:moveTo>
                                  <a:pt x="0" y="0"/>
                                </a:moveTo>
                                <a:lnTo>
                                  <a:pt x="89" y="12"/>
                                </a:lnTo>
                                <a:lnTo>
                                  <a:pt x="178" y="0"/>
                                </a:lnTo>
                                <a:lnTo>
                                  <a:pt x="356" y="0"/>
                                </a:lnTo>
                                <a:lnTo>
                                  <a:pt x="456" y="12"/>
                                </a:lnTo>
                                <a:lnTo>
                                  <a:pt x="545" y="34"/>
                                </a:lnTo>
                                <a:lnTo>
                                  <a:pt x="634" y="67"/>
                                </a:lnTo>
                                <a:lnTo>
                                  <a:pt x="723" y="134"/>
                                </a:lnTo>
                              </a:path>
                            </a:pathLst>
                          </a:custGeom>
                          <a:noFill/>
                          <a:ln w="6985" cap="flat" cmpd="sng">
                            <a:solidFill>
                              <a:srgbClr val="000080"/>
                            </a:solidFill>
                            <a:prstDash val="solid"/>
                            <a:headEnd type="none" w="med" len="med"/>
                            <a:tailEnd type="none" w="med" len="med"/>
                          </a:ln>
                        </wps:spPr>
                        <wps:bodyPr upright="1"/>
                      </wps:wsp>
                      <wps:wsp>
                        <wps:cNvPr id="198" name="任意多边形 198"/>
                        <wps:cNvSpPr/>
                        <wps:spPr>
                          <a:xfrm>
                            <a:off x="4200525" y="387985"/>
                            <a:ext cx="459105" cy="669925"/>
                          </a:xfrm>
                          <a:custGeom>
                            <a:avLst/>
                            <a:gdLst/>
                            <a:ahLst/>
                            <a:cxnLst/>
                            <a:pathLst>
                              <a:path w="723" h="1055">
                                <a:moveTo>
                                  <a:pt x="0" y="0"/>
                                </a:moveTo>
                                <a:lnTo>
                                  <a:pt x="44" y="44"/>
                                </a:lnTo>
                                <a:lnTo>
                                  <a:pt x="89" y="100"/>
                                </a:lnTo>
                                <a:lnTo>
                                  <a:pt x="133" y="155"/>
                                </a:lnTo>
                                <a:lnTo>
                                  <a:pt x="178" y="233"/>
                                </a:lnTo>
                                <a:lnTo>
                                  <a:pt x="267" y="377"/>
                                </a:lnTo>
                                <a:lnTo>
                                  <a:pt x="356" y="544"/>
                                </a:lnTo>
                                <a:lnTo>
                                  <a:pt x="456" y="710"/>
                                </a:lnTo>
                                <a:lnTo>
                                  <a:pt x="545" y="855"/>
                                </a:lnTo>
                                <a:lnTo>
                                  <a:pt x="589" y="921"/>
                                </a:lnTo>
                                <a:lnTo>
                                  <a:pt x="634" y="977"/>
                                </a:lnTo>
                                <a:lnTo>
                                  <a:pt x="678" y="1021"/>
                                </a:lnTo>
                                <a:lnTo>
                                  <a:pt x="723" y="1055"/>
                                </a:lnTo>
                              </a:path>
                            </a:pathLst>
                          </a:custGeom>
                          <a:noFill/>
                          <a:ln w="6985" cap="flat" cmpd="sng">
                            <a:solidFill>
                              <a:srgbClr val="000080"/>
                            </a:solidFill>
                            <a:prstDash val="solid"/>
                            <a:headEnd type="none" w="med" len="med"/>
                            <a:tailEnd type="none" w="med" len="med"/>
                          </a:ln>
                        </wps:spPr>
                        <wps:bodyPr upright="1"/>
                      </wps:wsp>
                      <wps:wsp>
                        <wps:cNvPr id="199" name="任意多边形 199"/>
                        <wps:cNvSpPr/>
                        <wps:spPr>
                          <a:xfrm>
                            <a:off x="4659630" y="937895"/>
                            <a:ext cx="458470" cy="140970"/>
                          </a:xfrm>
                          <a:custGeom>
                            <a:avLst/>
                            <a:gdLst/>
                            <a:ahLst/>
                            <a:cxnLst/>
                            <a:pathLst>
                              <a:path w="722" h="222">
                                <a:moveTo>
                                  <a:pt x="0" y="189"/>
                                </a:moveTo>
                                <a:lnTo>
                                  <a:pt x="44" y="211"/>
                                </a:lnTo>
                                <a:lnTo>
                                  <a:pt x="89" y="222"/>
                                </a:lnTo>
                                <a:lnTo>
                                  <a:pt x="133" y="222"/>
                                </a:lnTo>
                                <a:lnTo>
                                  <a:pt x="178" y="222"/>
                                </a:lnTo>
                                <a:lnTo>
                                  <a:pt x="266" y="189"/>
                                </a:lnTo>
                                <a:lnTo>
                                  <a:pt x="355" y="144"/>
                                </a:lnTo>
                                <a:lnTo>
                                  <a:pt x="455" y="89"/>
                                </a:lnTo>
                                <a:lnTo>
                                  <a:pt x="544" y="44"/>
                                </a:lnTo>
                                <a:lnTo>
                                  <a:pt x="633" y="11"/>
                                </a:lnTo>
                                <a:lnTo>
                                  <a:pt x="678" y="0"/>
                                </a:lnTo>
                                <a:lnTo>
                                  <a:pt x="722" y="0"/>
                                </a:lnTo>
                              </a:path>
                            </a:pathLst>
                          </a:custGeom>
                          <a:noFill/>
                          <a:ln w="6985" cap="flat" cmpd="sng">
                            <a:solidFill>
                              <a:srgbClr val="000080"/>
                            </a:solidFill>
                            <a:prstDash val="solid"/>
                            <a:headEnd type="none" w="med" len="med"/>
                            <a:tailEnd type="none" w="med" len="med"/>
                          </a:ln>
                        </wps:spPr>
                        <wps:bodyPr upright="1"/>
                      </wps:wsp>
                      <wps:wsp>
                        <wps:cNvPr id="200" name="任意多边形 200"/>
                        <wps:cNvSpPr/>
                        <wps:spPr>
                          <a:xfrm>
                            <a:off x="5118100" y="937895"/>
                            <a:ext cx="459105" cy="183515"/>
                          </a:xfrm>
                          <a:custGeom>
                            <a:avLst/>
                            <a:gdLst/>
                            <a:ahLst/>
                            <a:cxnLst/>
                            <a:pathLst>
                              <a:path w="723" h="289">
                                <a:moveTo>
                                  <a:pt x="0" y="0"/>
                                </a:moveTo>
                                <a:lnTo>
                                  <a:pt x="89" y="11"/>
                                </a:lnTo>
                                <a:lnTo>
                                  <a:pt x="178" y="33"/>
                                </a:lnTo>
                                <a:lnTo>
                                  <a:pt x="267" y="78"/>
                                </a:lnTo>
                                <a:lnTo>
                                  <a:pt x="356" y="111"/>
                                </a:lnTo>
                                <a:lnTo>
                                  <a:pt x="545" y="200"/>
                                </a:lnTo>
                                <a:lnTo>
                                  <a:pt x="723" y="289"/>
                                </a:lnTo>
                              </a:path>
                            </a:pathLst>
                          </a:custGeom>
                          <a:noFill/>
                          <a:ln w="6985" cap="flat" cmpd="sng">
                            <a:solidFill>
                              <a:srgbClr val="000080"/>
                            </a:solidFill>
                            <a:prstDash val="solid"/>
                            <a:headEnd type="none" w="med" len="med"/>
                            <a:tailEnd type="none" w="med" len="med"/>
                          </a:ln>
                        </wps:spPr>
                        <wps:bodyPr upright="1"/>
                      </wps:wsp>
                      <wps:wsp>
                        <wps:cNvPr id="201" name="任意多边形 201"/>
                        <wps:cNvSpPr/>
                        <wps:spPr>
                          <a:xfrm>
                            <a:off x="515620" y="1078865"/>
                            <a:ext cx="41910" cy="42545"/>
                          </a:xfrm>
                          <a:custGeom>
                            <a:avLst/>
                            <a:gdLst/>
                            <a:ahLst/>
                            <a:cxnLst/>
                            <a:pathLst>
                              <a:path w="66" h="67">
                                <a:moveTo>
                                  <a:pt x="33" y="0"/>
                                </a:moveTo>
                                <a:lnTo>
                                  <a:pt x="66" y="33"/>
                                </a:lnTo>
                                <a:lnTo>
                                  <a:pt x="33" y="67"/>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2" name="任意多边形 202"/>
                        <wps:cNvSpPr/>
                        <wps:spPr>
                          <a:xfrm>
                            <a:off x="974090" y="853440"/>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3" name="任意多边形 203"/>
                        <wps:cNvSpPr/>
                        <wps:spPr>
                          <a:xfrm>
                            <a:off x="1433195" y="486410"/>
                            <a:ext cx="42545" cy="42545"/>
                          </a:xfrm>
                          <a:custGeom>
                            <a:avLst/>
                            <a:gdLst/>
                            <a:ahLst/>
                            <a:cxnLst/>
                            <a:pathLst>
                              <a:path w="67" h="67">
                                <a:moveTo>
                                  <a:pt x="33" y="0"/>
                                </a:moveTo>
                                <a:lnTo>
                                  <a:pt x="67"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4" name="任意多边形 204"/>
                        <wps:cNvSpPr/>
                        <wps:spPr>
                          <a:xfrm>
                            <a:off x="1892300" y="302895"/>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5" name="任意多边形 205"/>
                        <wps:cNvSpPr/>
                        <wps:spPr>
                          <a:xfrm>
                            <a:off x="2350770" y="324485"/>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6" name="任意多边形 206"/>
                        <wps:cNvSpPr/>
                        <wps:spPr>
                          <a:xfrm>
                            <a:off x="2809875" y="690880"/>
                            <a:ext cx="42545" cy="42545"/>
                          </a:xfrm>
                          <a:custGeom>
                            <a:avLst/>
                            <a:gdLst/>
                            <a:ahLst/>
                            <a:cxnLst/>
                            <a:pathLst>
                              <a:path w="67" h="67">
                                <a:moveTo>
                                  <a:pt x="33" y="0"/>
                                </a:moveTo>
                                <a:lnTo>
                                  <a:pt x="67"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7" name="任意多边形 207"/>
                        <wps:cNvSpPr/>
                        <wps:spPr>
                          <a:xfrm>
                            <a:off x="3261360" y="260985"/>
                            <a:ext cx="42545" cy="41910"/>
                          </a:xfrm>
                          <a:custGeom>
                            <a:avLst/>
                            <a:gdLst/>
                            <a:ahLst/>
                            <a:cxnLst/>
                            <a:pathLst>
                              <a:path w="67" h="66">
                                <a:moveTo>
                                  <a:pt x="34" y="0"/>
                                </a:moveTo>
                                <a:lnTo>
                                  <a:pt x="67" y="33"/>
                                </a:lnTo>
                                <a:lnTo>
                                  <a:pt x="34" y="66"/>
                                </a:lnTo>
                                <a:lnTo>
                                  <a:pt x="0" y="33"/>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8" name="任意多边形 208"/>
                        <wps:cNvSpPr/>
                        <wps:spPr>
                          <a:xfrm>
                            <a:off x="3720465" y="281940"/>
                            <a:ext cx="42545" cy="42545"/>
                          </a:xfrm>
                          <a:custGeom>
                            <a:avLst/>
                            <a:gdLst/>
                            <a:ahLst/>
                            <a:cxnLst/>
                            <a:pathLst>
                              <a:path w="67" h="67">
                                <a:moveTo>
                                  <a:pt x="33" y="0"/>
                                </a:moveTo>
                                <a:lnTo>
                                  <a:pt x="67" y="33"/>
                                </a:lnTo>
                                <a:lnTo>
                                  <a:pt x="33" y="67"/>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09" name="任意多边形 209"/>
                        <wps:cNvSpPr/>
                        <wps:spPr>
                          <a:xfrm>
                            <a:off x="4179570" y="366395"/>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0" name="任意多边形 210"/>
                        <wps:cNvSpPr/>
                        <wps:spPr>
                          <a:xfrm>
                            <a:off x="4638040" y="1036320"/>
                            <a:ext cx="42545" cy="42545"/>
                          </a:xfrm>
                          <a:custGeom>
                            <a:avLst/>
                            <a:gdLst/>
                            <a:ahLst/>
                            <a:cxnLst/>
                            <a:pathLst>
                              <a:path w="67" h="67">
                                <a:moveTo>
                                  <a:pt x="34" y="0"/>
                                </a:moveTo>
                                <a:lnTo>
                                  <a:pt x="67" y="34"/>
                                </a:lnTo>
                                <a:lnTo>
                                  <a:pt x="34" y="67"/>
                                </a:lnTo>
                                <a:lnTo>
                                  <a:pt x="0" y="34"/>
                                </a:lnTo>
                                <a:lnTo>
                                  <a:pt x="34"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1" name="任意多边形 211"/>
                        <wps:cNvSpPr/>
                        <wps:spPr>
                          <a:xfrm>
                            <a:off x="5097145" y="916940"/>
                            <a:ext cx="42545" cy="41910"/>
                          </a:xfrm>
                          <a:custGeom>
                            <a:avLst/>
                            <a:gdLst/>
                            <a:ahLst/>
                            <a:cxnLst/>
                            <a:pathLst>
                              <a:path w="67" h="66">
                                <a:moveTo>
                                  <a:pt x="33" y="0"/>
                                </a:moveTo>
                                <a:lnTo>
                                  <a:pt x="67" y="33"/>
                                </a:lnTo>
                                <a:lnTo>
                                  <a:pt x="33" y="66"/>
                                </a:lnTo>
                                <a:lnTo>
                                  <a:pt x="0" y="33"/>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2" name="任意多边形 212"/>
                        <wps:cNvSpPr/>
                        <wps:spPr>
                          <a:xfrm>
                            <a:off x="5556250" y="1099820"/>
                            <a:ext cx="41910" cy="42545"/>
                          </a:xfrm>
                          <a:custGeom>
                            <a:avLst/>
                            <a:gdLst/>
                            <a:ahLst/>
                            <a:cxnLst/>
                            <a:pathLst>
                              <a:path w="66" h="67">
                                <a:moveTo>
                                  <a:pt x="33" y="0"/>
                                </a:moveTo>
                                <a:lnTo>
                                  <a:pt x="66" y="34"/>
                                </a:lnTo>
                                <a:lnTo>
                                  <a:pt x="33" y="67"/>
                                </a:lnTo>
                                <a:lnTo>
                                  <a:pt x="0" y="34"/>
                                </a:lnTo>
                                <a:lnTo>
                                  <a:pt x="33" y="0"/>
                                </a:lnTo>
                                <a:close/>
                              </a:path>
                            </a:pathLst>
                          </a:custGeom>
                          <a:solidFill>
                            <a:srgbClr val="000080"/>
                          </a:solidFill>
                          <a:ln w="6985" cap="flat" cmpd="sng">
                            <a:solidFill>
                              <a:srgbClr val="000080"/>
                            </a:solidFill>
                            <a:prstDash val="solid"/>
                            <a:headEnd type="none" w="med" len="med"/>
                            <a:tailEnd type="none" w="med" len="med"/>
                          </a:ln>
                        </wps:spPr>
                        <wps:bodyPr upright="1"/>
                      </wps:wsp>
                      <wps:wsp>
                        <wps:cNvPr id="213" name="矩形 213"/>
                        <wps:cNvSpPr/>
                        <wps:spPr>
                          <a:xfrm>
                            <a:off x="282575" y="1967230"/>
                            <a:ext cx="153035" cy="132080"/>
                          </a:xfrm>
                          <a:prstGeom prst="rect">
                            <a:avLst/>
                          </a:prstGeom>
                          <a:noFill/>
                          <a:ln>
                            <a:noFill/>
                          </a:ln>
                        </wps:spPr>
                        <wps:txbx>
                          <w:txbxContent>
                            <w:p>
                              <w:r>
                                <w:rPr>
                                  <w:rFonts w:ascii="宋体" w:cs="宋体"/>
                                  <w:color w:val="000000"/>
                                  <w:sz w:val="16"/>
                                  <w:szCs w:val="16"/>
                                </w:rPr>
                                <w:t>0.8</w:t>
                              </w:r>
                            </w:p>
                          </w:txbxContent>
                        </wps:txbx>
                        <wps:bodyPr wrap="none" lIns="0" tIns="0" rIns="0" bIns="0" upright="1">
                          <a:spAutoFit/>
                        </wps:bodyPr>
                      </wps:wsp>
                      <wps:wsp>
                        <wps:cNvPr id="214" name="矩形 214"/>
                        <wps:cNvSpPr/>
                        <wps:spPr>
                          <a:xfrm>
                            <a:off x="282575" y="1762760"/>
                            <a:ext cx="153035" cy="132080"/>
                          </a:xfrm>
                          <a:prstGeom prst="rect">
                            <a:avLst/>
                          </a:prstGeom>
                          <a:noFill/>
                          <a:ln>
                            <a:noFill/>
                          </a:ln>
                        </wps:spPr>
                        <wps:txbx>
                          <w:txbxContent>
                            <w:p>
                              <w:r>
                                <w:rPr>
                                  <w:rFonts w:ascii="宋体" w:cs="宋体"/>
                                  <w:color w:val="000000"/>
                                  <w:sz w:val="16"/>
                                  <w:szCs w:val="16"/>
                                </w:rPr>
                                <w:t>0.9</w:t>
                              </w:r>
                            </w:p>
                          </w:txbxContent>
                        </wps:txbx>
                        <wps:bodyPr wrap="none" lIns="0" tIns="0" rIns="0" bIns="0" upright="1">
                          <a:spAutoFit/>
                        </wps:bodyPr>
                      </wps:wsp>
                      <wps:wsp>
                        <wps:cNvPr id="215" name="矩形 215"/>
                        <wps:cNvSpPr/>
                        <wps:spPr>
                          <a:xfrm>
                            <a:off x="395605" y="1558290"/>
                            <a:ext cx="51435" cy="132080"/>
                          </a:xfrm>
                          <a:prstGeom prst="rect">
                            <a:avLst/>
                          </a:prstGeom>
                          <a:noFill/>
                          <a:ln>
                            <a:noFill/>
                          </a:ln>
                        </wps:spPr>
                        <wps:txbx>
                          <w:txbxContent>
                            <w:p>
                              <w:r>
                                <w:rPr>
                                  <w:rFonts w:ascii="宋体" w:cs="宋体"/>
                                  <w:color w:val="000000"/>
                                  <w:sz w:val="16"/>
                                  <w:szCs w:val="16"/>
                                </w:rPr>
                                <w:t>1</w:t>
                              </w:r>
                            </w:p>
                          </w:txbxContent>
                        </wps:txbx>
                        <wps:bodyPr wrap="none" lIns="0" tIns="0" rIns="0" bIns="0" upright="1">
                          <a:spAutoFit/>
                        </wps:bodyPr>
                      </wps:wsp>
                      <wps:wsp>
                        <wps:cNvPr id="216" name="矩形 216"/>
                        <wps:cNvSpPr/>
                        <wps:spPr>
                          <a:xfrm>
                            <a:off x="282575" y="1353820"/>
                            <a:ext cx="153035" cy="132080"/>
                          </a:xfrm>
                          <a:prstGeom prst="rect">
                            <a:avLst/>
                          </a:prstGeom>
                          <a:noFill/>
                          <a:ln>
                            <a:noFill/>
                          </a:ln>
                        </wps:spPr>
                        <wps:txbx>
                          <w:txbxContent>
                            <w:p>
                              <w:r>
                                <w:rPr>
                                  <w:rFonts w:ascii="宋体" w:cs="宋体"/>
                                  <w:color w:val="000000"/>
                                  <w:sz w:val="16"/>
                                  <w:szCs w:val="16"/>
                                </w:rPr>
                                <w:t>1.1</w:t>
                              </w:r>
                            </w:p>
                          </w:txbxContent>
                        </wps:txbx>
                        <wps:bodyPr wrap="none" lIns="0" tIns="0" rIns="0" bIns="0" upright="1">
                          <a:spAutoFit/>
                        </wps:bodyPr>
                      </wps:wsp>
                      <wps:wsp>
                        <wps:cNvPr id="217" name="矩形 217"/>
                        <wps:cNvSpPr/>
                        <wps:spPr>
                          <a:xfrm>
                            <a:off x="282575" y="1149350"/>
                            <a:ext cx="153035" cy="132080"/>
                          </a:xfrm>
                          <a:prstGeom prst="rect">
                            <a:avLst/>
                          </a:prstGeom>
                          <a:noFill/>
                          <a:ln>
                            <a:noFill/>
                          </a:ln>
                        </wps:spPr>
                        <wps:txbx>
                          <w:txbxContent>
                            <w:p>
                              <w:r>
                                <w:rPr>
                                  <w:rFonts w:ascii="宋体" w:cs="宋体"/>
                                  <w:color w:val="000000"/>
                                  <w:sz w:val="16"/>
                                  <w:szCs w:val="16"/>
                                </w:rPr>
                                <w:t>1.2</w:t>
                              </w:r>
                            </w:p>
                          </w:txbxContent>
                        </wps:txbx>
                        <wps:bodyPr wrap="none" lIns="0" tIns="0" rIns="0" bIns="0" upright="1">
                          <a:spAutoFit/>
                        </wps:bodyPr>
                      </wps:wsp>
                      <wps:wsp>
                        <wps:cNvPr id="218" name="矩形 218"/>
                        <wps:cNvSpPr/>
                        <wps:spPr>
                          <a:xfrm>
                            <a:off x="282575" y="951865"/>
                            <a:ext cx="153035" cy="132080"/>
                          </a:xfrm>
                          <a:prstGeom prst="rect">
                            <a:avLst/>
                          </a:prstGeom>
                          <a:noFill/>
                          <a:ln>
                            <a:noFill/>
                          </a:ln>
                        </wps:spPr>
                        <wps:txbx>
                          <w:txbxContent>
                            <w:p>
                              <w:r>
                                <w:rPr>
                                  <w:rFonts w:ascii="宋体" w:cs="宋体"/>
                                  <w:color w:val="000000"/>
                                  <w:sz w:val="16"/>
                                  <w:szCs w:val="16"/>
                                </w:rPr>
                                <w:t>1.3</w:t>
                              </w:r>
                            </w:p>
                          </w:txbxContent>
                        </wps:txbx>
                        <wps:bodyPr wrap="none" lIns="0" tIns="0" rIns="0" bIns="0" upright="1">
                          <a:spAutoFit/>
                        </wps:bodyPr>
                      </wps:wsp>
                      <wps:wsp>
                        <wps:cNvPr id="219" name="矩形 219"/>
                        <wps:cNvSpPr/>
                        <wps:spPr>
                          <a:xfrm>
                            <a:off x="282575" y="747395"/>
                            <a:ext cx="153035" cy="132080"/>
                          </a:xfrm>
                          <a:prstGeom prst="rect">
                            <a:avLst/>
                          </a:prstGeom>
                          <a:noFill/>
                          <a:ln>
                            <a:noFill/>
                          </a:ln>
                        </wps:spPr>
                        <wps:txbx>
                          <w:txbxContent>
                            <w:p>
                              <w:r>
                                <w:rPr>
                                  <w:rFonts w:ascii="宋体" w:cs="宋体"/>
                                  <w:color w:val="000000"/>
                                  <w:sz w:val="16"/>
                                  <w:szCs w:val="16"/>
                                </w:rPr>
                                <w:t>1.4</w:t>
                              </w:r>
                            </w:p>
                          </w:txbxContent>
                        </wps:txbx>
                        <wps:bodyPr wrap="none" lIns="0" tIns="0" rIns="0" bIns="0" upright="1">
                          <a:spAutoFit/>
                        </wps:bodyPr>
                      </wps:wsp>
                      <wps:wsp>
                        <wps:cNvPr id="220" name="矩形 220"/>
                        <wps:cNvSpPr/>
                        <wps:spPr>
                          <a:xfrm>
                            <a:off x="282575" y="542925"/>
                            <a:ext cx="153035" cy="132080"/>
                          </a:xfrm>
                          <a:prstGeom prst="rect">
                            <a:avLst/>
                          </a:prstGeom>
                          <a:noFill/>
                          <a:ln>
                            <a:noFill/>
                          </a:ln>
                        </wps:spPr>
                        <wps:txbx>
                          <w:txbxContent>
                            <w:p>
                              <w:r>
                                <w:rPr>
                                  <w:rFonts w:ascii="宋体" w:cs="宋体"/>
                                  <w:color w:val="000000"/>
                                  <w:sz w:val="16"/>
                                  <w:szCs w:val="16"/>
                                </w:rPr>
                                <w:t>1.5</w:t>
                              </w:r>
                            </w:p>
                          </w:txbxContent>
                        </wps:txbx>
                        <wps:bodyPr wrap="none" lIns="0" tIns="0" rIns="0" bIns="0" upright="1">
                          <a:spAutoFit/>
                        </wps:bodyPr>
                      </wps:wsp>
                      <wps:wsp>
                        <wps:cNvPr id="221" name="矩形 221"/>
                        <wps:cNvSpPr/>
                        <wps:spPr>
                          <a:xfrm>
                            <a:off x="282575" y="338455"/>
                            <a:ext cx="153035" cy="132080"/>
                          </a:xfrm>
                          <a:prstGeom prst="rect">
                            <a:avLst/>
                          </a:prstGeom>
                          <a:noFill/>
                          <a:ln>
                            <a:noFill/>
                          </a:ln>
                        </wps:spPr>
                        <wps:txbx>
                          <w:txbxContent>
                            <w:p>
                              <w:r>
                                <w:rPr>
                                  <w:rFonts w:ascii="宋体" w:cs="宋体"/>
                                  <w:color w:val="000000"/>
                                  <w:sz w:val="16"/>
                                  <w:szCs w:val="16"/>
                                </w:rPr>
                                <w:t>1.6</w:t>
                              </w:r>
                            </w:p>
                          </w:txbxContent>
                        </wps:txbx>
                        <wps:bodyPr wrap="none" lIns="0" tIns="0" rIns="0" bIns="0" upright="1">
                          <a:spAutoFit/>
                        </wps:bodyPr>
                      </wps:wsp>
                      <wps:wsp>
                        <wps:cNvPr id="222" name="矩形 222"/>
                        <wps:cNvSpPr/>
                        <wps:spPr>
                          <a:xfrm>
                            <a:off x="282575" y="133985"/>
                            <a:ext cx="153035" cy="132080"/>
                          </a:xfrm>
                          <a:prstGeom prst="rect">
                            <a:avLst/>
                          </a:prstGeom>
                          <a:noFill/>
                          <a:ln>
                            <a:noFill/>
                          </a:ln>
                        </wps:spPr>
                        <wps:txbx>
                          <w:txbxContent>
                            <w:p>
                              <w:r>
                                <w:rPr>
                                  <w:rFonts w:ascii="宋体" w:cs="宋体"/>
                                  <w:color w:val="000000"/>
                                  <w:sz w:val="16"/>
                                  <w:szCs w:val="16"/>
                                </w:rPr>
                                <w:t>1.7</w:t>
                              </w:r>
                            </w:p>
                          </w:txbxContent>
                        </wps:txbx>
                        <wps:bodyPr wrap="none" lIns="0" tIns="0" rIns="0" bIns="0" upright="1">
                          <a:spAutoFit/>
                        </wps:bodyPr>
                      </wps:wsp>
                      <wps:wsp>
                        <wps:cNvPr id="223" name="矩形 223"/>
                        <wps:cNvSpPr/>
                        <wps:spPr>
                          <a:xfrm>
                            <a:off x="508000" y="2115185"/>
                            <a:ext cx="51435" cy="132080"/>
                          </a:xfrm>
                          <a:prstGeom prst="rect">
                            <a:avLst/>
                          </a:prstGeom>
                          <a:noFill/>
                          <a:ln>
                            <a:noFill/>
                          </a:ln>
                        </wps:spPr>
                        <wps:txbx>
                          <w:txbxContent>
                            <w:p>
                              <w:r>
                                <w:rPr>
                                  <w:rFonts w:ascii="宋体" w:cs="宋体"/>
                                  <w:color w:val="000000"/>
                                  <w:sz w:val="16"/>
                                  <w:szCs w:val="16"/>
                                </w:rPr>
                                <w:t>1</w:t>
                              </w:r>
                            </w:p>
                          </w:txbxContent>
                        </wps:txbx>
                        <wps:bodyPr wrap="none" lIns="0" tIns="0" rIns="0" bIns="0" upright="1">
                          <a:spAutoFit/>
                        </wps:bodyPr>
                      </wps:wsp>
                      <wps:wsp>
                        <wps:cNvPr id="224" name="矩形 224"/>
                        <wps:cNvSpPr/>
                        <wps:spPr>
                          <a:xfrm>
                            <a:off x="967105" y="2115185"/>
                            <a:ext cx="51435" cy="132080"/>
                          </a:xfrm>
                          <a:prstGeom prst="rect">
                            <a:avLst/>
                          </a:prstGeom>
                          <a:noFill/>
                          <a:ln>
                            <a:noFill/>
                          </a:ln>
                        </wps:spPr>
                        <wps:txbx>
                          <w:txbxContent>
                            <w:p>
                              <w:r>
                                <w:rPr>
                                  <w:rFonts w:ascii="宋体" w:cs="宋体"/>
                                  <w:color w:val="000000"/>
                                  <w:sz w:val="16"/>
                                  <w:szCs w:val="16"/>
                                </w:rPr>
                                <w:t>2</w:t>
                              </w:r>
                            </w:p>
                          </w:txbxContent>
                        </wps:txbx>
                        <wps:bodyPr wrap="none" lIns="0" tIns="0" rIns="0" bIns="0" upright="1">
                          <a:spAutoFit/>
                        </wps:bodyPr>
                      </wps:wsp>
                      <wps:wsp>
                        <wps:cNvPr id="225" name="矩形 225"/>
                        <wps:cNvSpPr/>
                        <wps:spPr>
                          <a:xfrm>
                            <a:off x="1426210" y="2115185"/>
                            <a:ext cx="51435" cy="132080"/>
                          </a:xfrm>
                          <a:prstGeom prst="rect">
                            <a:avLst/>
                          </a:prstGeom>
                          <a:noFill/>
                          <a:ln>
                            <a:noFill/>
                          </a:ln>
                        </wps:spPr>
                        <wps:txbx>
                          <w:txbxContent>
                            <w:p>
                              <w:r>
                                <w:rPr>
                                  <w:rFonts w:ascii="宋体" w:cs="宋体"/>
                                  <w:color w:val="000000"/>
                                  <w:sz w:val="16"/>
                                  <w:szCs w:val="16"/>
                                </w:rPr>
                                <w:t>3</w:t>
                              </w:r>
                            </w:p>
                          </w:txbxContent>
                        </wps:txbx>
                        <wps:bodyPr wrap="none" lIns="0" tIns="0" rIns="0" bIns="0" upright="1">
                          <a:spAutoFit/>
                        </wps:bodyPr>
                      </wps:wsp>
                      <wps:wsp>
                        <wps:cNvPr id="226" name="矩形 226"/>
                        <wps:cNvSpPr/>
                        <wps:spPr>
                          <a:xfrm>
                            <a:off x="1884680" y="2115185"/>
                            <a:ext cx="51435" cy="132080"/>
                          </a:xfrm>
                          <a:prstGeom prst="rect">
                            <a:avLst/>
                          </a:prstGeom>
                          <a:noFill/>
                          <a:ln>
                            <a:noFill/>
                          </a:ln>
                        </wps:spPr>
                        <wps:txbx>
                          <w:txbxContent>
                            <w:p>
                              <w:r>
                                <w:rPr>
                                  <w:rFonts w:ascii="宋体" w:cs="宋体"/>
                                  <w:color w:val="000000"/>
                                  <w:sz w:val="16"/>
                                  <w:szCs w:val="16"/>
                                </w:rPr>
                                <w:t>4</w:t>
                              </w:r>
                            </w:p>
                          </w:txbxContent>
                        </wps:txbx>
                        <wps:bodyPr wrap="none" lIns="0" tIns="0" rIns="0" bIns="0" upright="1">
                          <a:spAutoFit/>
                        </wps:bodyPr>
                      </wps:wsp>
                      <wps:wsp>
                        <wps:cNvPr id="227" name="矩形 227"/>
                        <wps:cNvSpPr/>
                        <wps:spPr>
                          <a:xfrm>
                            <a:off x="2343785" y="2115185"/>
                            <a:ext cx="51435" cy="132080"/>
                          </a:xfrm>
                          <a:prstGeom prst="rect">
                            <a:avLst/>
                          </a:prstGeom>
                          <a:noFill/>
                          <a:ln>
                            <a:noFill/>
                          </a:ln>
                        </wps:spPr>
                        <wps:txbx>
                          <w:txbxContent>
                            <w:p>
                              <w:r>
                                <w:rPr>
                                  <w:rFonts w:ascii="宋体" w:cs="宋体"/>
                                  <w:color w:val="000000"/>
                                  <w:sz w:val="16"/>
                                  <w:szCs w:val="16"/>
                                </w:rPr>
                                <w:t>5</w:t>
                              </w:r>
                            </w:p>
                          </w:txbxContent>
                        </wps:txbx>
                        <wps:bodyPr wrap="none" lIns="0" tIns="0" rIns="0" bIns="0" upright="1">
                          <a:spAutoFit/>
                        </wps:bodyPr>
                      </wps:wsp>
                      <wps:wsp>
                        <wps:cNvPr id="228" name="矩形 228"/>
                        <wps:cNvSpPr/>
                        <wps:spPr>
                          <a:xfrm>
                            <a:off x="2802890" y="2115185"/>
                            <a:ext cx="51435" cy="132080"/>
                          </a:xfrm>
                          <a:prstGeom prst="rect">
                            <a:avLst/>
                          </a:prstGeom>
                          <a:noFill/>
                          <a:ln>
                            <a:noFill/>
                          </a:ln>
                        </wps:spPr>
                        <wps:txbx>
                          <w:txbxContent>
                            <w:p>
                              <w:r>
                                <w:rPr>
                                  <w:rFonts w:ascii="宋体" w:cs="宋体"/>
                                  <w:color w:val="000000"/>
                                  <w:sz w:val="16"/>
                                  <w:szCs w:val="16"/>
                                </w:rPr>
                                <w:t>6</w:t>
                              </w:r>
                            </w:p>
                          </w:txbxContent>
                        </wps:txbx>
                        <wps:bodyPr wrap="none" lIns="0" tIns="0" rIns="0" bIns="0" upright="1">
                          <a:spAutoFit/>
                        </wps:bodyPr>
                      </wps:wsp>
                      <wps:wsp>
                        <wps:cNvPr id="229" name="矩形 229"/>
                        <wps:cNvSpPr/>
                        <wps:spPr>
                          <a:xfrm>
                            <a:off x="3254375" y="2115185"/>
                            <a:ext cx="51435" cy="132080"/>
                          </a:xfrm>
                          <a:prstGeom prst="rect">
                            <a:avLst/>
                          </a:prstGeom>
                          <a:noFill/>
                          <a:ln>
                            <a:noFill/>
                          </a:ln>
                        </wps:spPr>
                        <wps:txbx>
                          <w:txbxContent>
                            <w:p>
                              <w:r>
                                <w:rPr>
                                  <w:rFonts w:ascii="宋体" w:cs="宋体"/>
                                  <w:color w:val="000000"/>
                                  <w:sz w:val="16"/>
                                  <w:szCs w:val="16"/>
                                </w:rPr>
                                <w:t>7</w:t>
                              </w:r>
                            </w:p>
                          </w:txbxContent>
                        </wps:txbx>
                        <wps:bodyPr wrap="none" lIns="0" tIns="0" rIns="0" bIns="0" upright="1">
                          <a:spAutoFit/>
                        </wps:bodyPr>
                      </wps:wsp>
                      <wps:wsp>
                        <wps:cNvPr id="230" name="矩形 230"/>
                        <wps:cNvSpPr/>
                        <wps:spPr>
                          <a:xfrm>
                            <a:off x="3713480" y="2115185"/>
                            <a:ext cx="51435" cy="132080"/>
                          </a:xfrm>
                          <a:prstGeom prst="rect">
                            <a:avLst/>
                          </a:prstGeom>
                          <a:noFill/>
                          <a:ln>
                            <a:noFill/>
                          </a:ln>
                        </wps:spPr>
                        <wps:txbx>
                          <w:txbxContent>
                            <w:p>
                              <w:r>
                                <w:rPr>
                                  <w:rFonts w:ascii="宋体" w:cs="宋体"/>
                                  <w:color w:val="000000"/>
                                  <w:sz w:val="16"/>
                                  <w:szCs w:val="16"/>
                                </w:rPr>
                                <w:t>8</w:t>
                              </w:r>
                            </w:p>
                          </w:txbxContent>
                        </wps:txbx>
                        <wps:bodyPr wrap="none" lIns="0" tIns="0" rIns="0" bIns="0" upright="1">
                          <a:spAutoFit/>
                        </wps:bodyPr>
                      </wps:wsp>
                      <wps:wsp>
                        <wps:cNvPr id="231" name="矩形 231"/>
                        <wps:cNvSpPr/>
                        <wps:spPr>
                          <a:xfrm>
                            <a:off x="4172585" y="2115185"/>
                            <a:ext cx="51435" cy="132080"/>
                          </a:xfrm>
                          <a:prstGeom prst="rect">
                            <a:avLst/>
                          </a:prstGeom>
                          <a:noFill/>
                          <a:ln>
                            <a:noFill/>
                          </a:ln>
                        </wps:spPr>
                        <wps:txbx>
                          <w:txbxContent>
                            <w:p>
                              <w:r>
                                <w:rPr>
                                  <w:rFonts w:ascii="宋体" w:cs="宋体"/>
                                  <w:color w:val="000000"/>
                                  <w:sz w:val="16"/>
                                  <w:szCs w:val="16"/>
                                </w:rPr>
                                <w:t>9</w:t>
                              </w:r>
                            </w:p>
                          </w:txbxContent>
                        </wps:txbx>
                        <wps:bodyPr wrap="none" lIns="0" tIns="0" rIns="0" bIns="0" upright="1">
                          <a:spAutoFit/>
                        </wps:bodyPr>
                      </wps:wsp>
                      <wps:wsp>
                        <wps:cNvPr id="232" name="矩形 232"/>
                        <wps:cNvSpPr/>
                        <wps:spPr>
                          <a:xfrm>
                            <a:off x="4603115" y="2115185"/>
                            <a:ext cx="102235" cy="132080"/>
                          </a:xfrm>
                          <a:prstGeom prst="rect">
                            <a:avLst/>
                          </a:prstGeom>
                          <a:noFill/>
                          <a:ln>
                            <a:noFill/>
                          </a:ln>
                        </wps:spPr>
                        <wps:txbx>
                          <w:txbxContent>
                            <w:p>
                              <w:r>
                                <w:rPr>
                                  <w:rFonts w:ascii="宋体" w:cs="宋体"/>
                                  <w:color w:val="000000"/>
                                  <w:sz w:val="16"/>
                                  <w:szCs w:val="16"/>
                                </w:rPr>
                                <w:t>10</w:t>
                              </w:r>
                            </w:p>
                          </w:txbxContent>
                        </wps:txbx>
                        <wps:bodyPr wrap="none" lIns="0" tIns="0" rIns="0" bIns="0" upright="1">
                          <a:spAutoFit/>
                        </wps:bodyPr>
                      </wps:wsp>
                      <wps:wsp>
                        <wps:cNvPr id="233" name="矩形 233"/>
                        <wps:cNvSpPr/>
                        <wps:spPr>
                          <a:xfrm>
                            <a:off x="5061585" y="2115185"/>
                            <a:ext cx="102235" cy="132080"/>
                          </a:xfrm>
                          <a:prstGeom prst="rect">
                            <a:avLst/>
                          </a:prstGeom>
                          <a:noFill/>
                          <a:ln>
                            <a:noFill/>
                          </a:ln>
                        </wps:spPr>
                        <wps:txbx>
                          <w:txbxContent>
                            <w:p>
                              <w:r>
                                <w:rPr>
                                  <w:rFonts w:ascii="宋体" w:cs="宋体"/>
                                  <w:color w:val="000000"/>
                                  <w:sz w:val="16"/>
                                  <w:szCs w:val="16"/>
                                </w:rPr>
                                <w:t>11</w:t>
                              </w:r>
                            </w:p>
                          </w:txbxContent>
                        </wps:txbx>
                        <wps:bodyPr wrap="none" lIns="0" tIns="0" rIns="0" bIns="0" upright="1">
                          <a:spAutoFit/>
                        </wps:bodyPr>
                      </wps:wsp>
                      <wps:wsp>
                        <wps:cNvPr id="234" name="矩形 234"/>
                        <wps:cNvSpPr/>
                        <wps:spPr>
                          <a:xfrm>
                            <a:off x="5520690" y="2115185"/>
                            <a:ext cx="102235" cy="132080"/>
                          </a:xfrm>
                          <a:prstGeom prst="rect">
                            <a:avLst/>
                          </a:prstGeom>
                          <a:noFill/>
                          <a:ln>
                            <a:noFill/>
                          </a:ln>
                        </wps:spPr>
                        <wps:txbx>
                          <w:txbxContent>
                            <w:p>
                              <w:r>
                                <w:rPr>
                                  <w:rFonts w:ascii="宋体" w:cs="宋体"/>
                                  <w:color w:val="000000"/>
                                  <w:sz w:val="16"/>
                                  <w:szCs w:val="16"/>
                                </w:rPr>
                                <w:t>12</w:t>
                              </w:r>
                            </w:p>
                          </w:txbxContent>
                        </wps:txbx>
                        <wps:bodyPr wrap="none" lIns="0" tIns="0" rIns="0" bIns="0" upright="1">
                          <a:spAutoFit/>
                        </wps:bodyPr>
                      </wps:wsp>
                      <wps:wsp>
                        <wps:cNvPr id="235" name="矩形 235"/>
                        <wps:cNvSpPr/>
                        <wps:spPr>
                          <a:xfrm>
                            <a:off x="2950845" y="2270760"/>
                            <a:ext cx="203835" cy="132080"/>
                          </a:xfrm>
                          <a:prstGeom prst="rect">
                            <a:avLst/>
                          </a:prstGeom>
                          <a:noFill/>
                          <a:ln>
                            <a:noFill/>
                          </a:ln>
                        </wps:spPr>
                        <wps:txbx>
                          <w:txbxContent>
                            <w:p>
                              <w:r>
                                <w:rPr>
                                  <w:rFonts w:hint="eastAsia" w:ascii="宋体" w:cs="宋体"/>
                                  <w:color w:val="000000"/>
                                  <w:sz w:val="16"/>
                                  <w:szCs w:val="16"/>
                                </w:rPr>
                                <w:t>月份</w:t>
                              </w:r>
                            </w:p>
                          </w:txbxContent>
                        </wps:txbx>
                        <wps:bodyPr wrap="none" lIns="0" tIns="0" rIns="0" bIns="0" upright="1">
                          <a:spAutoFit/>
                        </wps:bodyPr>
                      </wps:wsp>
                      <wps:wsp>
                        <wps:cNvPr id="236" name="矩形 236"/>
                        <wps:cNvSpPr/>
                        <wps:spPr>
                          <a:xfrm rot="16200000">
                            <a:off x="-247650" y="1153160"/>
                            <a:ext cx="792480" cy="228600"/>
                          </a:xfrm>
                          <a:prstGeom prst="rect">
                            <a:avLst/>
                          </a:prstGeom>
                          <a:noFill/>
                          <a:ln>
                            <a:noFill/>
                          </a:ln>
                        </wps:spPr>
                        <wps:txbx>
                          <w:txbxContent>
                            <w:p>
                              <w:r>
                                <w:rPr>
                                  <w:rFonts w:hint="eastAsia" w:ascii="宋体" w:cs="宋体"/>
                                  <w:color w:val="000000"/>
                                  <w:sz w:val="16"/>
                                  <w:szCs w:val="16"/>
                                </w:rPr>
                                <w:t>平均风速m/s</w:t>
                              </w:r>
                            </w:p>
                          </w:txbxContent>
                        </wps:txbx>
                        <wps:bodyPr vert="eaVert" lIns="0" tIns="0" rIns="0" bIns="0" upright="1"/>
                      </wps:wsp>
                    </wpc:wpc>
                  </a:graphicData>
                </a:graphic>
              </wp:inline>
            </w:drawing>
          </mc:Choice>
          <mc:Fallback>
            <w:pict>
              <v:group id="_x0000_s1026" o:spid="_x0000_s1026" o:spt="203" style="height:197.65pt;width:453.05pt;" coordsize="5753735,2510155" editas="canvas"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">
                <o:lock v:ext="edit" aspectratio="f"/>
                <v:shape id="_x0000_s1026" o:spid="_x0000_s1026" style="position:absolute;left:0;top:0;height:2510155;width:5753735;" fillcolor="#FFFFFF" filled="t" stroked="f" coordsize="21600,21600"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">
                  <v:fill on="t" focussize="0,0"/>
                  <v:stroke on="f"/>
                  <v:imagedata o:title=""/>
                  <o:lock v:ext="edit" aspectratio="t"/>
                </v:shape>
                <v:rect id="_x0000_s1026" o:spid="_x0000_s1026" o:spt="1" style="position:absolute;left:114300;top:198120;height:1833245;width:5040630;" fillcolor="#FFFFFF" filled="t" stroked="f" coordsize="21600,21600" o:gfxdata="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JGxhnDUAAAABQEAAA8AAAAAAAAAAQAg&#10;AAAAIgAAAGRycy9kb3ducmV2LnhtbFBLAQIUABQAAAAIAIdO4kCXs59ZoAEAACADAAAOAAAAAAAA&#10;AAEAIAAAACMBAABkcnMvZTJvRG9jLnhtbFBLBQYAAAAABgAGAFkBAAA1BQAAAAA=&#10;">
                  <v:fill on="t" focussize="0,0"/>
                  <v:stroke on="f"/>
                  <v:imagedata o:title=""/>
                  <o:lock v:ext="edit" aspectratio="f"/>
                </v:rect>
                <v:rect id="_x0000_s1026" o:spid="_x0000_s1026" o:spt="1" style="position:absolute;left:536575;top:183515;height:1833245;width:5040630;" filled="f" stroked="t" coordsize="21600,21600" o:gfxdata="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Ocjo9IAAAAF&#10;AQAADwAAAAAAAAABACAAAAAiAAAAZHJzL2Rvd25yZXYueG1sUEsBAhQAFAAAAAgAh07iQJrECA7p&#10;AQAAtgMAAA4AAAAAAAAAAQAgAAAAIQEAAGRycy9lMm9Eb2MueG1sUEsFBgAAAAAGAAYAWQEAAHwF&#10;AAAAAA==&#10;">
                  <v:fill on="f" focussize="0,0"/>
                  <v:stroke weight="0.55pt" color="#FFFFFF" joinstyle="miter"/>
                  <v:imagedata o:title=""/>
                  <o:lock v:ext="edit" aspectratio="f"/>
                </v:rect>
                <v:line id="_x0000_s1026" o:spid="_x0000_s1026" o:spt="20" style="position:absolute;left:536575;top:183515;height:1833245;width: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dELGdUAAAAFAQAA&#10;DwAAAAAAAAABACAAAAAiAAAAZHJzL2Rvd25yZXYueG1sUEsBAhQAFAAAAAgAh07iQMU2EejjAQAA&#10;oQMAAA4AAAAAAAAAAQAgAAAAJAEAAGRycy9lMm9Eb2MueG1sUEsFBgAAAAAGAAYAWQEAAHkFAAAA&#10;AA==&#10;">
                  <v:fill on="f" focussize="0,0"/>
                  <v:stroke weight="0pt" color="#000000" joinstyle="round"/>
                  <v:imagedata o:title=""/>
                  <o:lock v:ext="edit" aspectratio="f"/>
                </v:line>
                <v:line id="_x0000_s1026" o:spid="_x0000_s1026" o:spt="20" style="position:absolute;left:536575;top:201676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CK5WQW5AEA&#10;AKA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181229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HzQwS+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60782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guW3l+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40335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DxpDrC5AEA&#10;AKA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1198880;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Tzhjg+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00139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Zhx/c+UB&#10;AACg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79692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Dj9cbe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59245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NvcjDu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38798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V0QsZ1QAAAAUB&#10;AAAPAAAAAAAAAAEAIAAAACIAAABkcnMvZG93bnJldi54bWxQSwECFAAUAAAACACHTuJAXlDTg+UB&#10;AACfAwAADgAAAAAAAAABACAAAAAkAQAAZHJzL2Uyb0RvYy54bWxQSwUGAAAAAAYABgBZAQAAewUA&#10;AAAA&#10;">
                  <v:fill on="f" focussize="0,0"/>
                  <v:stroke weight="0pt" color="#000000" joinstyle="round"/>
                  <v:imagedata o:title=""/>
                  <o:lock v:ext="edit" aspectratio="f"/>
                </v:line>
                <v:line id="_x0000_s1026" o:spid="_x0000_s1026" o:spt="20" style="position:absolute;left:536575;top:183515;height:0;width:3556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XRCxnVAAAABQEA&#10;AA8AAAAAAAAAAQAgAAAAIgAAAGRycy9kb3ducmV2LnhtbFBLAQIUABQAAAAIAIdO4kDdCir95AEA&#10;AJ8DAAAOAAAAAAAAAAEAIAAAACQBAABkcnMvZTJvRG9jLnhtbFBLBQYAAAAABgAGAFkBAAB6BQAA&#10;AAA=&#10;">
                  <v:fill on="f" focussize="0,0"/>
                  <v:stroke weight="0pt" color="#000000" joinstyle="round"/>
                  <v:imagedata o:title=""/>
                  <o:lock v:ext="edit" aspectratio="f"/>
                </v:line>
                <v:line id="_x0000_s1026" o:spid="_x0000_s1026" o:spt="20" style="position:absolute;left:536575;top:2016760;height:0;width:5040630;" filled="f" stroked="t" coordsize="21600,21600" o:gfxdata="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FdELGdUAAAAF&#10;AQAADwAAAAAAAAABACAAAAAiAAAAZHJzL2Rvd25yZXYueG1sUEsBAhQAFAAAAAgAh07iQK2Dh5bm&#10;AQAAogMAAA4AAAAAAAAAAQAgAAAAJAEAAGRycy9lMm9Eb2MueG1sUEsFBgAAAAAGAAYAWQEAAHwF&#10;AAAAAA==&#10;">
                  <v:fill on="f" focussize="0,0"/>
                  <v:stroke weight="0pt" color="#000000" joinstyle="round"/>
                  <v:imagedata o:title=""/>
                  <o:lock v:ext="edit" aspectratio="f"/>
                </v:line>
                <v:line id="_x0000_s1026" o:spid="_x0000_s1026" o:spt="20" style="position:absolute;left:53657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FeAs6HrAQAAqgMAAA4AAAAAAAAAAQAgAAAAJQEAAGRycy9lMm9Eb2MueG1sUEsFBgAAAAAGAAYA&#10;WQEAAIIFAAAAAA==&#10;">
                  <v:fill on="f" focussize="0,0"/>
                  <v:stroke weight="0pt" color="#000000" joinstyle="round"/>
                  <v:imagedata o:title=""/>
                  <o:lock v:ext="edit" aspectratio="f"/>
                </v:line>
                <v:line id="_x0000_s1026" o:spid="_x0000_s1026" o:spt="20" style="position:absolute;left:99568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Cq&#10;GBlf6QEAAKoDAAAOAAAAAAAAAAEAIAAAACUBAABkcnMvZTJvRG9jLnhtbFBLBQYAAAAABgAGAFkB&#10;AACABQAAAAA=&#10;">
                  <v:fill on="f" focussize="0,0"/>
                  <v:stroke weight="0pt" color="#000000" joinstyle="round"/>
                  <v:imagedata o:title=""/>
                  <o:lock v:ext="edit" aspectratio="f"/>
                </v:line>
                <v:line id="_x0000_s1026" o:spid="_x0000_s1026" o:spt="20" style="position:absolute;left:145415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Cx&#10;JZXP6QEAAKsDAAAOAAAAAAAAAAEAIAAAACUBAABkcnMvZTJvRG9jLnhtbFBLBQYAAAAABgAGAFkB&#10;AACABQAAAAA=&#10;">
                  <v:fill on="f" focussize="0,0"/>
                  <v:stroke weight="0pt" color="#000000" joinstyle="round"/>
                  <v:imagedata o:title=""/>
                  <o:lock v:ext="edit" aspectratio="f"/>
                </v:line>
                <v:line id="_x0000_s1026" o:spid="_x0000_s1026" o:spt="20" style="position:absolute;left:191325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THmj&#10;1gAAAAUBAAAPAAAAAAAAAAEAIAAAACIAAABkcnMvZG93bnJldi54bWxQSwECFAAUAAAACACHTuJA&#10;/7ohJuoBAACrAwAADgAAAAAAAAABACAAAAAlAQAAZHJzL2Uyb0RvYy54bWxQSwUGAAAAAAYABgBZ&#10;AQAAgQUAAAAA&#10;">
                  <v:fill on="f" focussize="0,0"/>
                  <v:stroke weight="0pt" color="#000000" joinstyle="round"/>
                  <v:imagedata o:title=""/>
                  <o:lock v:ext="edit" aspectratio="f"/>
                </v:line>
                <v:line id="_x0000_s1026" o:spid="_x0000_s1026" o:spt="20" style="position:absolute;left:237236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Az&#10;Ml/O6QEAAKsDAAAOAAAAAAAAAAEAIAAAACUBAABkcnMvZTJvRG9jLnhtbFBLBQYAAAAABgAGAFkB&#10;AACABQAAAAA=&#10;">
                  <v:fill on="f" focussize="0,0"/>
                  <v:stroke weight="0pt" color="#000000" joinstyle="round"/>
                  <v:imagedata o:title=""/>
                  <o:lock v:ext="edit" aspectratio="f"/>
                </v:line>
                <v:line id="_x0000_s1026" o:spid="_x0000_s1026" o:spt="20" style="position:absolute;left:283083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Popo+PrAQAAqwMAAA4AAAAAAAAAAQAgAAAAJQEAAGRycy9lMm9Eb2MueG1sUEsFBgAAAAAGAAYA&#10;WQEAAIIFAAAAAA==&#10;">
                  <v:fill on="f" focussize="0,0"/>
                  <v:stroke weight="0pt" color="#000000" joinstyle="round"/>
                  <v:imagedata o:title=""/>
                  <o:lock v:ext="edit" aspectratio="f"/>
                </v:line>
                <v:line id="_x0000_s1026" o:spid="_x0000_s1026" o:spt="20" style="position:absolute;left:328295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B+oJFnrAQAAqwMAAA4AAAAAAAAAAQAgAAAAJQEAAGRycy9lMm9Eb2MueG1sUEsFBgAAAAAGAAYA&#10;WQEAAIIFAAAAAA==&#10;">
                  <v:fill on="f" focussize="0,0"/>
                  <v:stroke weight="0pt" color="#000000" joinstyle="round"/>
                  <v:imagedata o:title=""/>
                  <o:lock v:ext="edit" aspectratio="f"/>
                </v:line>
                <v:line id="_x0000_s1026" o:spid="_x0000_s1026" o:spt="20" style="position:absolute;left:374142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KkmLN7rAQAAqwMAAA4AAAAAAAAAAQAgAAAAJQEAAGRycy9lMm9Eb2MueG1sUEsFBgAAAAAGAAYA&#10;WQEAAIIFAAAAAA==&#10;">
                  <v:fill on="f" focussize="0,0"/>
                  <v:stroke weight="0pt" color="#000000" joinstyle="round"/>
                  <v:imagedata o:title=""/>
                  <o:lock v:ext="edit" aspectratio="f"/>
                </v:line>
                <v:line id="_x0000_s1026" o:spid="_x0000_s1026" o:spt="20" style="position:absolute;left:420052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THmj&#10;1gAAAAUBAAAPAAAAAAAAAAEAIAAAACIAAABkcnMvZG93bnJldi54bWxQSwECFAAUAAAACACHTuJA&#10;oiQFDeoBAACrAwAADgAAAAAAAAABACAAAAAlAQAAZHJzL2Uyb0RvYy54bWxQSwUGAAAAAAYABgBZ&#10;AQAAgQUAAAAA&#10;">
                  <v:fill on="f" focussize="0,0"/>
                  <v:stroke weight="0pt" color="#000000" joinstyle="round"/>
                  <v:imagedata o:title=""/>
                  <o:lock v:ext="edit" aspectratio="f"/>
                </v:line>
                <v:line id="_x0000_s1026" o:spid="_x0000_s1026" o:spt="20" style="position:absolute;left:465963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Ux5&#10;o9YAAAAFAQAADwAAAAAAAAABACAAAAAiAAAAZHJzL2Rvd25yZXYueG1sUEsBAhQAFAAAAAgAh07i&#10;QJEZqtTrAQAAqwMAAA4AAAAAAAAAAQAgAAAAJQEAAGRycy9lMm9Eb2MueG1sUEsFBgAAAAAGAAYA&#10;WQEAAIIFAAAAAA==&#10;">
                  <v:fill on="f" focussize="0,0"/>
                  <v:stroke weight="0pt" color="#000000" joinstyle="round"/>
                  <v:imagedata o:title=""/>
                  <o:lock v:ext="edit" aspectratio="f"/>
                </v:line>
                <v:line id="_x0000_s1026" o:spid="_x0000_s1026" o:spt="20" style="position:absolute;left:5118100;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MeaPW&#10;AAAABQEAAA8AAAAAAAAAAQAgAAAAIgAAAGRycy9kb3ducmV2LnhtbFBLAQIUABQAAAAIAIdO4kBn&#10;i/Ym6QEAAKsDAAAOAAAAAAAAAAEAIAAAACUBAABkcnMvZTJvRG9jLnhtbFBLBQYAAAAABgAGAFkB&#10;AACABQAAAAA=&#10;">
                  <v:fill on="f" focussize="0,0"/>
                  <v:stroke weight="0pt" color="#000000" joinstyle="round"/>
                  <v:imagedata o:title=""/>
                  <o:lock v:ext="edit" aspectratio="f"/>
                </v:line>
                <v:line id="_x0000_s1026" o:spid="_x0000_s1026" o:spt="20" style="position:absolute;left:5577205;top:1981200;flip:y;height:35560;width:0;" filled="f" stroked="t" coordsize="21600,21600" o:gfxdata="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lM&#10;eaPWAAAABQEAAA8AAAAAAAAAAQAgAAAAIgAAAGRycy9kb3ducmV2LnhtbFBLAQIUABQAAAAIAIdO&#10;4kBhsPAf7AEAAKsDAAAOAAAAAAAAAAEAIAAAACUBAABkcnMvZTJvRG9jLnhtbFBLBQYAAAAABgAG&#10;AFkBAACDBQAAAAA=&#10;">
                  <v:fill on="f" focussize="0,0"/>
                  <v:stroke weight="0pt" color="#000000" joinstyle="round"/>
                  <v:imagedata o:title=""/>
                  <o:lock v:ext="edit" aspectratio="f"/>
                </v:line>
                <v:shape id="_x0000_s1026" o:spid="_x0000_s1026" o:spt="100" style="position:absolute;left:536575;top:874395;height:225425;width:459105;" filled="f" stroked="t" coordsize="723,355" o:gfxdata="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UTb9vWAAAABQEAAA8A&#10;AAAAAAAAAQAgAAAAIgAAAGRycy9kb3ducmV2LnhtbFBLAQIUABQAAAAIAIdO4kCgafnKUgIAAMYE&#10;AAAOAAAAAAAAAAEAIAAAACUBAABkcnMvZTJvRG9jLnhtbFBLBQYAAAAABgAGAFkBAADpBQAAAAA=&#10;" path="m0,355l178,266,356,189,545,100,723,0e">
                  <v:fill on="f" focussize="0,0"/>
                  <v:stroke weight="0.55pt" color="#000080" joinstyle="round"/>
                  <v:imagedata o:title=""/>
                  <o:lock v:ext="edit" aspectratio="f"/>
                </v:shape>
                <v:shape id="_x0000_s1026" o:spid="_x0000_s1026" o:spt="100" style="position:absolute;left:995680;top:508000;height:366395;width:458470;" filled="f" stroked="t" coordsize="722,577" o:gfxdata="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gLs8dUAAAAFAQAADwAAAAAAAAABACAAAAAiAAAAZHJzL2Rvd25yZXYueG1sUEsBAhQA&#10;FAAAAAgAh07iQC/W5/BnAgAAFAUAAA4AAAAAAAAAAQAgAAAAJAEAAGRycy9lMm9Eb2MueG1sUEsF&#10;BgAAAAAGAAYAWQEAAP0FAAAAAA==&#10;" path="m0,577l89,510,177,444,355,288,544,133,633,55,722,0e">
                  <v:fill on="f" focussize="0,0"/>
                  <v:stroke weight="0.55pt" color="#000080" joinstyle="round"/>
                  <v:imagedata o:title=""/>
                  <o:lock v:ext="edit" aspectratio="f"/>
                </v:shape>
                <v:shape id="_x0000_s1026" o:spid="_x0000_s1026" o:spt="100" style="position:absolute;left:1454150;top:324485;height:183515;width:459105;" filled="f" stroked="t" coordsize="723,289" o:gfxdata="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vHNjXUAAAABQEAAA8AAAAA&#10;AAAAAQAgAAAAIgAAAGRycy9kb3ducmV2LnhtbFBLAQIUABQAAAAIAIdO4kD82T9HUQIAAMYEAAAO&#10;AAAAAAAAAAEAIAAAACMBAABkcnMvZTJvRG9jLnhtbFBLBQYAAAAABgAGAFkBAADmBQAAAAA=&#10;" path="m0,289l178,189,356,111,545,44,723,0e">
                  <v:fill on="f" focussize="0,0"/>
                  <v:stroke weight="0.55pt" color="#000080" joinstyle="round"/>
                  <v:imagedata o:title=""/>
                  <o:lock v:ext="edit" aspectratio="f"/>
                </v:shape>
                <v:shape id="_x0000_s1026" o:spid="_x0000_s1026" o:spt="100" style="position:absolute;left:1913255;top:302895;height:42545;width:459105;" filled="f" stroked="t" coordsize="723,67" o:gfxdata="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uNq2fV&#10;AAAABQEAAA8AAAAAAAAAAQAgAAAAIgAAAGRycy9kb3ducmV2LnhtbFBLAQIUABQAAAAIAIdO4kAy&#10;Gxp8XAIAAA4FAAAOAAAAAAAAAAEAIAAAACQBAABkcnMvZTJvRG9jLnhtbFBLBQYAAAAABgAGAFkB&#10;AADyBQAAAAA=&#10;" path="m0,34l178,12,356,0,456,0,545,12,634,34,723,67e">
                  <v:fill on="f" focussize="0,0"/>
                  <v:stroke weight="0.55pt" color="#000080" joinstyle="round"/>
                  <v:imagedata o:title=""/>
                  <o:lock v:ext="edit" aspectratio="f"/>
                </v:shape>
                <v:shape id="_x0000_s1026" o:spid="_x0000_s1026" o:spt="100" style="position:absolute;left:2372360;top:345440;height:367030;width:458470;" filled="f" stroked="t" coordsize="722,578" o:gfxdata="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IlZRu1wAAAAUBAAAPAAAAAAAAAAEAIAAA&#10;ACIAAABkcnMvZG93bnJldi54bWxQSwECFAAUAAAACACHTuJAIWvHY38CAADbBQAADgAAAAAAAAAB&#10;ACAAAAAmAQAAZHJzL2Uyb0RvYy54bWxQSwUGAAAAAAYABgBZAQAAFwYAAAAA&#10;" path="m0,0l44,22,88,56,177,133,266,233,366,333,455,433,544,511,589,544,633,566,678,578,722,578e">
                  <v:fill on="f" focussize="0,0"/>
                  <v:stroke weight="0.55pt" color="#000080" joinstyle="round"/>
                  <v:imagedata o:title=""/>
                  <o:lock v:ext="edit" aspectratio="f"/>
                </v:shape>
                <v:shape id="_x0000_s1026" o:spid="_x0000_s1026" o:spt="100" style="position:absolute;left:2830830;top:281940;height:430530;width:452120;" filled="f" stroked="t" coordsize="712,678" o:gfxdata="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8iA4dgAAAAFAQAA&#10;DwAAAAAAAAABACAAAAAiAAAAZHJzL2Rvd25yZXYueG1sUEsBAhQAFAAAAAgAh07iQGLPBDSLAgAA&#10;2wUAAA4AAAAAAAAAAQAgAAAAJwEAAGRycy9lMm9Eb2MueG1sUEsFBgAAAAAGAAYAWQEAACQGAAAA&#10;AA==&#10;" path="m0,678l45,666,89,644,134,622,178,578,267,489,356,378,445,256,534,145,623,56,667,22,712,0e">
                  <v:fill on="f" focussize="0,0"/>
                  <v:stroke weight="0.55pt" color="#000080" joinstyle="round"/>
                  <v:imagedata o:title=""/>
                  <o:lock v:ext="edit" aspectratio="f"/>
                </v:shape>
                <v:shape id="_x0000_s1026" o:spid="_x0000_s1026" o:spt="100" style="position:absolute;left:3282950;top:254000;height:48895;width:458470;" filled="f" stroked="t" coordsize="722,77" o:gfxdata="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s2fyzS&#10;AAAABQEAAA8AAAAAAAAAAQAgAAAAIgAAAGRycy9kb3ducmV2LnhtbFBLAQIUABQAAAAIAIdO4kDd&#10;pZH6XwIAAA0FAAAOAAAAAAAAAAEAIAAAACEBAABkcnMvZTJvRG9jLnhtbFBLBQYAAAAABgAGAFkB&#10;AADyBQAAAAA=&#10;" path="m0,44l89,11,178,0,267,0,355,11,544,44,722,77e">
                  <v:fill on="f" focussize="0,0"/>
                  <v:stroke weight="0.55pt" color="#000080" joinstyle="round"/>
                  <v:imagedata o:title=""/>
                  <o:lock v:ext="edit" aspectratio="f"/>
                </v:shape>
                <v:shape id="_x0000_s1026" o:spid="_x0000_s1026" o:spt="100" style="position:absolute;left:3741420;top:302895;height:85090;width:459105;" filled="f" stroked="t" coordsize="723,134" o:gfxdata="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FO5O9UAAAAFAQAADwAAAAAAAAABACAAAAAiAAAAZHJzL2Rvd25yZXYueG1sUEsBAhQAFAAA&#10;AAgAh07iQGtTZuJkAgAANQUAAA4AAAAAAAAAAQAgAAAAJAEAAGRycy9lMm9Eb2MueG1sUEsFBgAA&#10;AAAGAAYAWQEAAPoFAAAAAA==&#10;" path="m0,0l89,12,178,0,356,0,456,12,545,34,634,67,723,134e">
                  <v:fill on="f" focussize="0,0"/>
                  <v:stroke weight="0.55pt" color="#000080" joinstyle="round"/>
                  <v:imagedata o:title=""/>
                  <o:lock v:ext="edit" aspectratio="f"/>
                </v:shape>
                <v:shape id="_x0000_s1026" o:spid="_x0000_s1026" o:spt="100" style="position:absolute;left:4200525;top:387985;height:669925;width:459105;" filled="f" stroked="t" coordsize="723,1055" o:gfxdata="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ebDh&#10;1wAAAAUBAAAPAAAAAAAAAAEAIAAAACIAAABkcnMvZG93bnJldi54bWxQSwECFAAUAAAACACHTuJA&#10;pWNI4JQCAAAHBgAADgAAAAAAAAABACAAAAAmAQAAZHJzL2Uyb0RvYy54bWxQSwUGAAAAAAYABgBZ&#10;AQAALAYAAAAA&#10;" path="m0,0l44,44,89,100,133,155,178,233,267,377,356,544,456,710,545,855,589,921,634,977,678,1021,723,1055e">
                  <v:fill on="f" focussize="0,0"/>
                  <v:stroke weight="0.55pt" color="#000080" joinstyle="round"/>
                  <v:imagedata o:title=""/>
                  <o:lock v:ext="edit" aspectratio="f"/>
                </v:shape>
                <v:shape id="_x0000_s1026" o:spid="_x0000_s1026" o:spt="100" style="position:absolute;left:4659630;top:937895;height:140970;width:458470;" filled="f" stroked="t" coordsize="722,222" o:gfxdata="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0h2DzXAAAABQEAAA8A&#10;AAAAAAAAAQAgAAAAIgAAAGRycy9kb3ducmV2LnhtbFBLAQIUABQAAAAIAIdO4kDH/2zwigIAANgF&#10;AAAOAAAAAAAAAAEAIAAAACYBAABkcnMvZTJvRG9jLnhtbFBLBQYAAAAABgAGAFkBAAAiBgAAAAA=&#10;" path="m0,189l44,211,89,222,133,222,178,222,266,189,355,144,455,89,544,44,633,11,678,0,722,0e">
                  <v:fill on="f" focussize="0,0"/>
                  <v:stroke weight="0.55pt" color="#000080" joinstyle="round"/>
                  <v:imagedata o:title=""/>
                  <o:lock v:ext="edit" aspectratio="f"/>
                </v:shape>
                <v:shape id="_x0000_s1026" o:spid="_x0000_s1026" o:spt="100" style="position:absolute;left:5118100;top:937895;height:183515;width:459105;" filled="f" stroked="t" coordsize="723,289" o:gfxdata="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xzY1&#10;1AAAAAUBAAAPAAAAAAAAAAEAIAAAACIAAABkcnMvZG93bnJldi54bWxQSwECFAAUAAAACACHTuJA&#10;ApwC7V4CAAATBQAADgAAAAAAAAABACAAAAAjAQAAZHJzL2Uyb0RvYy54bWxQSwUGAAAAAAYABgBZ&#10;AQAA8wUAAAAA&#10;" path="m0,0l89,11,178,33,267,78,356,111,545,200,723,289e">
                  <v:fill on="f" focussize="0,0"/>
                  <v:stroke weight="0.55pt" color="#000080" joinstyle="round"/>
                  <v:imagedata o:title=""/>
                  <o:lock v:ext="edit" aspectratio="f"/>
                </v:shape>
                <v:shape id="_x0000_s1026" o:spid="_x0000_s1026" o:spt="100" style="position:absolute;left:515620;top:107886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gxctXWAAAABQEAAA8AAAAAAAAAAQAgAAAAIgAA&#10;AGRycy9kb3ducmV2LnhtbFBLAQIUABQAAAAIAIdO4kBvCaXyQwIAAO0EAAAOAAAAAAAAAAEAIAAA&#10;ACUBAABkcnMvZTJvRG9jLnhtbFBLBQYAAAAABgAGAFkBAADaBQAAAAA=&#10;" path="m33,0l66,33,33,67,0,33,33,0xe">
                  <v:fill on="t" focussize="0,0"/>
                  <v:stroke weight="0.55pt" color="#000080" joinstyle="round"/>
                  <v:imagedata o:title=""/>
                  <o:lock v:ext="edit" aspectratio="f"/>
                </v:shape>
                <v:shape id="_x0000_s1026" o:spid="_x0000_s1026" o:spt="100" style="position:absolute;left:974090;top:853440;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Q1X17VAAAABQEAAA8AAAAAAAAAAQAgAAAAIgAAAGRy&#10;cy9kb3ducmV2LnhtbFBLAQIUABQAAAAIAIdO4kBMKepVQQIAAOwEAAAOAAAAAAAAAAEAIAAAACQB&#10;AABkcnMvZTJvRG9jLnhtbFBLBQYAAAAABgAGAFkBAADXBQAAAAA=&#10;" path="m34,0l67,33,34,66,0,33,34,0xe">
                  <v:fill on="t" focussize="0,0"/>
                  <v:stroke weight="0.55pt" color="#000080" joinstyle="round"/>
                  <v:imagedata o:title=""/>
                  <o:lock v:ext="edit" aspectratio="f"/>
                </v:shape>
                <v:shape id="_x0000_s1026" o:spid="_x0000_s1026" o:spt="100" style="position:absolute;left:1433195;top:48641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P3TDXAAAABQEAAA8AAAAAAAAAAQAgAAAAIgAAAGRy&#10;cy9kb3ducmV2LnhtbFBLAQIUABQAAAAIAIdO4kBRoc/2PwIAAO0EAAAOAAAAAAAAAAEAIAAAACYB&#10;AABkcnMvZTJvRG9jLnhtbFBLBQYAAAAABgAGAFkBAADXBQAAAAA=&#10;" path="m33,0l67,34,33,67,0,34,33,0xe">
                  <v:fill on="t" focussize="0,0"/>
                  <v:stroke weight="0.55pt" color="#000080" joinstyle="round"/>
                  <v:imagedata o:title=""/>
                  <o:lock v:ext="edit" aspectratio="f"/>
                </v:shape>
                <v:shape id="_x0000_s1026" o:spid="_x0000_s1026" o:spt="100" style="position:absolute;left:1892300;top:30289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DFy1dYAAAAFAQAADwAAAAAAAAABACAAAAAiAAAA&#10;ZHJzL2Rvd25yZXYueG1sUEsBAhQAFAAAAAgAh07iQEkzyEhCAgAA7QQAAA4AAAAAAAAAAQAgAAAA&#10;JQEAAGRycy9lMm9Eb2MueG1sUEsFBgAAAAAGAAYAWQEAANkFAAAAAA==&#10;" path="m33,0l66,34,33,67,0,34,33,0xe">
                  <v:fill on="t" focussize="0,0"/>
                  <v:stroke weight="0.55pt" color="#000080" joinstyle="round"/>
                  <v:imagedata o:title=""/>
                  <o:lock v:ext="edit" aspectratio="f"/>
                </v:shape>
                <v:shape id="_x0000_s1026" o:spid="_x0000_s1026" o:spt="100" style="position:absolute;left:2350770;top:324485;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kNV9e1QAAAAUBAAAPAAAAAAAAAAEAIAAAACIAAABk&#10;cnMvZG93bnJldi54bWxQSwECFAAUAAAACACHTuJAG1RhXUICAADtBAAADgAAAAAAAAABACAAAAAk&#10;AQAAZHJzL2Uyb0RvYy54bWxQSwUGAAAAAAYABgBZAQAA2AUAAAAA&#10;" path="m34,0l67,33,34,66,0,33,34,0xe">
                  <v:fill on="t" focussize="0,0"/>
                  <v:stroke weight="0.55pt" color="#000080" joinstyle="round"/>
                  <v:imagedata o:title=""/>
                  <o:lock v:ext="edit" aspectratio="f"/>
                </v:shape>
                <v:shape id="_x0000_s1026" o:spid="_x0000_s1026" o:spt="100" style="position:absolute;left:2809875;top:69088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wP3TDXAAAABQEAAA8AAAAAAAAAAQAgAAAAIgAAAGRy&#10;cy9kb3ducmV2LnhtbFBLAQIUABQAAAAIAIdO4kDsxSO3PwIAAO0EAAAOAAAAAAAAAAEAIAAAACYB&#10;AABkcnMvZTJvRG9jLnhtbFBLBQYAAAAABgAGAFkBAADXBQAAAAA=&#10;" path="m33,0l67,34,33,67,0,34,33,0xe">
                  <v:fill on="t" focussize="0,0"/>
                  <v:stroke weight="0.55pt" color="#000080" joinstyle="round"/>
                  <v:imagedata o:title=""/>
                  <o:lock v:ext="edit" aspectratio="f"/>
                </v:shape>
                <v:shape id="_x0000_s1026" o:spid="_x0000_s1026" o:spt="100" style="position:absolute;left:3261360;top:260985;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DVfXtUAAAAFAQAADwAAAAAAAAABACAAAAAiAAAAZHJz&#10;L2Rvd25yZXYueG1sUEsBAhQAFAAAAAgAh07iQBSz/9JAAgAA7QQAAA4AAAAAAAAAAQAgAAAAJAEA&#10;AGRycy9lMm9Eb2MueG1sUEsFBgAAAAAGAAYAWQEAANYFAAAAAA==&#10;" path="m34,0l67,33,34,66,0,33,34,0xe">
                  <v:fill on="t" focussize="0,0"/>
                  <v:stroke weight="0.55pt" color="#000080" joinstyle="round"/>
                  <v:imagedata o:title=""/>
                  <o:lock v:ext="edit" aspectratio="f"/>
                </v:shape>
                <v:shape id="_x0000_s1026" o:spid="_x0000_s1026" o:spt="100" style="position:absolute;left:3720465;top:28194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D90w1wAAAAUBAAAPAAAAAAAAAAEAIAAAACIAAABkcnMv&#10;ZG93bnJldi54bWxQSwECFAAUAAAACACHTuJA0manDT0CAADtBAAADgAAAAAAAAABACAAAAAmAQAA&#10;ZHJzL2Uyb0RvYy54bWxQSwUGAAAAAAYABgBZAQAA1QUAAAAA&#10;" path="m33,0l67,33,33,67,0,33,33,0xe">
                  <v:fill on="t" focussize="0,0"/>
                  <v:stroke weight="0.55pt" color="#000080" joinstyle="round"/>
                  <v:imagedata o:title=""/>
                  <o:lock v:ext="edit" aspectratio="f"/>
                </v:shape>
                <v:shape id="_x0000_s1026" o:spid="_x0000_s1026" o:spt="100" style="position:absolute;left:4179570;top:366395;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gxctXWAAAABQEAAA8AAAAAAAAAAQAgAAAAIgAAAGRy&#10;cy9kb3ducmV2LnhtbFBLAQIUABQAAAAIAIdO4kAmIiYyQAIAAO0EAAAOAAAAAAAAAAEAIAAAACUB&#10;AABkcnMvZTJvRG9jLnhtbFBLBQYAAAAABgAGAFkBAADXBQAAAAA=&#10;" path="m33,0l66,34,33,67,0,34,33,0xe">
                  <v:fill on="t" focussize="0,0"/>
                  <v:stroke weight="0.55pt" color="#000080" joinstyle="round"/>
                  <v:imagedata o:title=""/>
                  <o:lock v:ext="edit" aspectratio="f"/>
                </v:shape>
                <v:shape id="_x0000_s1026" o:spid="_x0000_s1026" o:spt="100" style="position:absolute;left:4638040;top:1036320;height:42545;width:42545;" fillcolor="#000080" filled="t" stroked="t" coordsize="67,67" o:gfxdata="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A/dMNcAAAAFAQAADwAAAAAAAAABACAAAAAiAAAAZHJz&#10;L2Rvd25yZXYueG1sUEsBAhQAFAAAAAgAh07iQLB9JKY+AgAA7gQAAA4AAAAAAAAAAQAgAAAAJgEA&#10;AGRycy9lMm9Eb2MueG1sUEsFBgAAAAAGAAYAWQEAANYFAAAAAA==&#10;" path="m34,0l67,34,34,67,0,34,34,0xe">
                  <v:fill on="t" focussize="0,0"/>
                  <v:stroke weight="0.55pt" color="#000080" joinstyle="round"/>
                  <v:imagedata o:title=""/>
                  <o:lock v:ext="edit" aspectratio="f"/>
                </v:shape>
                <v:shape id="_x0000_s1026" o:spid="_x0000_s1026" o:spt="100" style="position:absolute;left:5097145;top:916940;height:41910;width:42545;" fillcolor="#000080" filled="t" stroked="t" coordsize="67,66" o:gfxdata="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Q1X17VAAAABQEAAA8AAAAAAAAAAQAgAAAAIgAAAGRycy9k&#10;b3ducmV2LnhtbFBLAQIUABQAAAAIAIdO4kD6X25lPgIAAO0EAAAOAAAAAAAAAAEAIAAAACQBAABk&#10;cnMvZTJvRG9jLnhtbFBLBQYAAAAABgAGAFkBAADUBQAAAAA=&#10;" path="m33,0l67,33,33,66,0,33,33,0xe">
                  <v:fill on="t" focussize="0,0"/>
                  <v:stroke weight="0.55pt" color="#000080" joinstyle="round"/>
                  <v:imagedata o:title=""/>
                  <o:lock v:ext="edit" aspectratio="f"/>
                </v:shape>
                <v:shape id="_x0000_s1026" o:spid="_x0000_s1026" o:spt="100" style="position:absolute;left:5556250;top:1099820;height:42545;width:41910;" fillcolor="#000080" filled="t" stroked="t" coordsize="66,67" o:gfxdata="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DFy1dYAAAAFAQAADwAAAAAAAAABACAA&#10;AAAiAAAAZHJzL2Rvd25yZXYueG1sUEsBAhQAFAAAAAgAh07iQIiYiflIAgAA7gQAAA4AAAAAAAAA&#10;AQAgAAAAJQEAAGRycy9lMm9Eb2MueG1sUEsFBgAAAAAGAAYAWQEAAN8FAAAAAA==&#10;" path="m33,0l66,34,33,67,0,34,33,0xe">
                  <v:fill on="t" focussize="0,0"/>
                  <v:stroke weight="0.55pt" color="#000080" joinstyle="round"/>
                  <v:imagedata o:title=""/>
                  <o:lock v:ext="edit" aspectratio="f"/>
                </v:shape>
                <v:rect id="_x0000_s1026" o:spid="_x0000_s1026" o:spt="1" style="position:absolute;left:282575;top:196723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VBXFt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0.8</w:t>
                        </w:r>
                      </w:p>
                    </w:txbxContent>
                  </v:textbox>
                </v:rect>
                <v:rect id="_x0000_s1026" o:spid="_x0000_s1026" o:spt="1" style="position:absolute;left:282575;top:176276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dsT4WrMBAABL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0.9</w:t>
                        </w:r>
                      </w:p>
                    </w:txbxContent>
                  </v:textbox>
                </v:rect>
                <v:rect id="_x0000_s1026" o:spid="_x0000_s1026" o:spt="1" style="position:absolute;left:395605;top:1558290;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sRN7HL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1</w:t>
                        </w:r>
                      </w:p>
                    </w:txbxContent>
                  </v:textbox>
                </v:rect>
                <v:rect id="_x0000_s1026" o:spid="_x0000_s1026" o:spt="1" style="position:absolute;left:282575;top:135382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bJa3U&#10;AAAABQEAAA8AAAAAAAAAAQAgAAAAIgAAAGRycy9kb3ducmV2LnhtbFBLAQIUABQAAAAIAIdO4kB8&#10;0L17sgEAAEsDAAAOAAAAAAAAAAEAIAAAACMBAABkcnMvZTJvRG9jLnhtbFBLBQYAAAAABgAGAFkB&#10;AABHBQAAAAA=&#10;">
                  <v:fill on="f" focussize="0,0"/>
                  <v:stroke on="f"/>
                  <v:imagedata o:title=""/>
                  <o:lock v:ext="edit" aspectratio="f"/>
                  <v:textbox inset="0mm,0mm,0mm,0mm" style="mso-fit-shape-to-text:t;">
                    <w:txbxContent>
                      <w:p>
                        <w:r>
                          <w:rPr>
                            <w:rFonts w:ascii="宋体" w:cs="宋体"/>
                            <w:color w:val="000000"/>
                            <w:sz w:val="16"/>
                            <w:szCs w:val="16"/>
                          </w:rPr>
                          <w:t>1.1</w:t>
                        </w:r>
                      </w:p>
                    </w:txbxContent>
                  </v:textbox>
                </v:rect>
                <v:rect id="_x0000_s1026" o:spid="_x0000_s1026" o:spt="1" style="position:absolute;left:282575;top:1149350;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NkXW4q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1.2</w:t>
                        </w:r>
                      </w:p>
                    </w:txbxContent>
                  </v:textbox>
                </v:rect>
                <v:rect id="_x0000_s1026" o:spid="_x0000_s1026" o:spt="1" style="position:absolute;left:282575;top:95186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BxBPx9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1.3</w:t>
                        </w:r>
                      </w:p>
                    </w:txbxContent>
                  </v:textbox>
                </v:rect>
                <v:rect id="_x0000_s1026" o:spid="_x0000_s1026" o:spt="1" style="position:absolute;left:282575;top:74739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4xIfHLYBAABK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1.4</w:t>
                        </w:r>
                      </w:p>
                    </w:txbxContent>
                  </v:textbox>
                </v:rect>
                <v:rect id="_x0000_s1026" o:spid="_x0000_s1026" o:spt="1" style="position:absolute;left:282575;top:54292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CGB/V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1.5</w:t>
                        </w:r>
                      </w:p>
                    </w:txbxContent>
                  </v:textbox>
                </v:rect>
                <v:rect id="_x0000_s1026" o:spid="_x0000_s1026" o:spt="1" style="position:absolute;left:282575;top:33845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ArHTQq0AQAASg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1.6</w:t>
                        </w:r>
                      </w:p>
                    </w:txbxContent>
                  </v:textbox>
                </v:rect>
                <v:rect id="_x0000_s1026" o:spid="_x0000_s1026" o:spt="1" style="position:absolute;left:282575;top:133985;height:132080;width:1530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yWt&#10;1AAAAAUBAAAPAAAAAAAAAAEAIAAAACIAAABkcnMvZG93bnJldi54bWxQSwECFAAUAAAACACHTuJA&#10;sjkLIrMBAABKAwAADgAAAAAAAAABACAAAAAjAQAAZHJzL2Uyb0RvYy54bWxQSwUGAAAAAAYABgBZ&#10;AQAASAUAAAAA&#10;">
                  <v:fill on="f" focussize="0,0"/>
                  <v:stroke on="f"/>
                  <v:imagedata o:title=""/>
                  <o:lock v:ext="edit" aspectratio="f"/>
                  <v:textbox inset="0mm,0mm,0mm,0mm" style="mso-fit-shape-to-text:t;">
                    <w:txbxContent>
                      <w:p>
                        <w:r>
                          <w:rPr>
                            <w:rFonts w:ascii="宋体" w:cs="宋体"/>
                            <w:color w:val="000000"/>
                            <w:sz w:val="16"/>
                            <w:szCs w:val="16"/>
                          </w:rPr>
                          <w:t>1.7</w:t>
                        </w:r>
                      </w:p>
                    </w:txbxContent>
                  </v:textbox>
                </v:rect>
                <v:rect id="_x0000_s1026" o:spid="_x0000_s1026" o:spt="1" style="position:absolute;left:50800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bJa3U&#10;AAAABQEAAA8AAAAAAAAAAQAgAAAAIgAAAGRycy9kb3ducmV2LnhtbFBLAQIUABQAAAAIAIdO4kCf&#10;xsQEsgEAAEoDAAAOAAAAAAAAAAEAIAAAACMBAABkcnMvZTJvRG9jLnhtbFBLBQYAAAAABgAGAFkB&#10;AABHBQAAAAA=&#10;">
                  <v:fill on="f" focussize="0,0"/>
                  <v:stroke on="f"/>
                  <v:imagedata o:title=""/>
                  <o:lock v:ext="edit" aspectratio="f"/>
                  <v:textbox inset="0mm,0mm,0mm,0mm" style="mso-fit-shape-to-text:t;">
                    <w:txbxContent>
                      <w:p>
                        <w:r>
                          <w:rPr>
                            <w:rFonts w:ascii="宋体" w:cs="宋体"/>
                            <w:color w:val="000000"/>
                            <w:sz w:val="16"/>
                            <w:szCs w:val="16"/>
                          </w:rPr>
                          <w:t>1</w:t>
                        </w:r>
                      </w:p>
                    </w:txbxContent>
                  </v:textbox>
                </v:rect>
                <v:rect id="_x0000_s1026" o:spid="_x0000_s1026" o:spt="1" style="position:absolute;left:96710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xA6HCtQEAAEo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2</w:t>
                        </w:r>
                      </w:p>
                    </w:txbxContent>
                  </v:textbox>
                </v:rect>
                <v:rect id="_x0000_s1026" o:spid="_x0000_s1026" o:spt="1" style="position:absolute;left:142621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6bwB2b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3</w:t>
                        </w:r>
                      </w:p>
                    </w:txbxContent>
                  </v:textbox>
                </v:rect>
                <v:rect id="_x0000_s1026" o:spid="_x0000_s1026" o:spt="1" style="position:absolute;left:188468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iWp1qr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4</w:t>
                        </w:r>
                      </w:p>
                    </w:txbxContent>
                  </v:textbox>
                </v:rect>
                <v:rect id="_x0000_s1026" o:spid="_x0000_s1026" o:spt="1" style="position:absolute;left:234378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VManX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5</w:t>
                        </w:r>
                      </w:p>
                    </w:txbxContent>
                  </v:textbox>
                </v:rect>
                <v:rect id="_x0000_s1026" o:spid="_x0000_s1026" o:spt="1" style="position:absolute;left:280289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yz1LVtQEAAEs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6</w:t>
                        </w:r>
                      </w:p>
                    </w:txbxContent>
                  </v:textbox>
                </v:rect>
                <v:rect id="_x0000_s1026" o:spid="_x0000_s1026" o:spt="1" style="position:absolute;left:325437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yWt1AAAAAUBAAAPAAAAAAAAAAEAIAAAACIAAABkcnMvZG93bnJldi54bWxQSwECFAAUAAAACACH&#10;TuJAr5rwSLYBAABLAwAADgAAAAAAAAABACAAAAAjAQAAZHJzL2Uyb0RvYy54bWxQSwUGAAAAAAYA&#10;BgBZAQAASwUAAAAA&#10;">
                  <v:fill on="f" focussize="0,0"/>
                  <v:stroke on="f"/>
                  <v:imagedata o:title=""/>
                  <o:lock v:ext="edit" aspectratio="f"/>
                  <v:textbox inset="0mm,0mm,0mm,0mm" style="mso-fit-shape-to-text:t;">
                    <w:txbxContent>
                      <w:p>
                        <w:r>
                          <w:rPr>
                            <w:rFonts w:ascii="宋体" w:cs="宋体"/>
                            <w:color w:val="000000"/>
                            <w:sz w:val="16"/>
                            <w:szCs w:val="16"/>
                          </w:rPr>
                          <w:t>7</w:t>
                        </w:r>
                      </w:p>
                    </w:txbxContent>
                  </v:textbox>
                </v:rect>
                <v:rect id="_x0000_s1026" o:spid="_x0000_s1026" o:spt="1" style="position:absolute;left:3713480;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5slrdQAAAAFAQAADwAAAAAAAAABACAAAAAiAAAAZHJzL2Rvd25yZXYueG1sUEsBAhQAFAAAAAgA&#10;h07iQH2BX6+3AQAASwMAAA4AAAAAAAAAAQAgAAAAIwEAAGRycy9lMm9Eb2MueG1sUEsFBgAAAAAG&#10;AAYAWQEAAEwFAAAAAA==&#10;">
                  <v:fill on="f" focussize="0,0"/>
                  <v:stroke on="f"/>
                  <v:imagedata o:title=""/>
                  <o:lock v:ext="edit" aspectratio="f"/>
                  <v:textbox inset="0mm,0mm,0mm,0mm" style="mso-fit-shape-to-text:t;">
                    <w:txbxContent>
                      <w:p>
                        <w:r>
                          <w:rPr>
                            <w:rFonts w:ascii="宋体" w:cs="宋体"/>
                            <w:color w:val="000000"/>
                            <w:sz w:val="16"/>
                            <w:szCs w:val="16"/>
                          </w:rPr>
                          <w:t>8</w:t>
                        </w:r>
                      </w:p>
                    </w:txbxContent>
                  </v:textbox>
                </v:rect>
                <v:rect id="_x0000_s1026" o:spid="_x0000_s1026" o:spt="1" style="position:absolute;left:4172585;top:2115185;height:132080;width:514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J+hrxy0AQAASwMAAA4AAAAAAAAAAQAgAAAAIwEAAGRycy9lMm9Eb2MueG1sUEsFBgAAAAAGAAYA&#10;WQEAAEkFAAAAAA==&#10;">
                  <v:fill on="f" focussize="0,0"/>
                  <v:stroke on="f"/>
                  <v:imagedata o:title=""/>
                  <o:lock v:ext="edit" aspectratio="f"/>
                  <v:textbox inset="0mm,0mm,0mm,0mm" style="mso-fit-shape-to-text:t;">
                    <w:txbxContent>
                      <w:p>
                        <w:r>
                          <w:rPr>
                            <w:rFonts w:ascii="宋体" w:cs="宋体"/>
                            <w:color w:val="000000"/>
                            <w:sz w:val="16"/>
                            <w:szCs w:val="16"/>
                          </w:rPr>
                          <w:t>9</w:t>
                        </w:r>
                      </w:p>
                    </w:txbxContent>
                  </v:textbox>
                </v:rect>
                <v:rect id="_x0000_s1026" o:spid="_x0000_s1026" o:spt="1" style="position:absolute;left:4603115;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DZQETWtQEAAEw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10</w:t>
                        </w:r>
                      </w:p>
                    </w:txbxContent>
                  </v:textbox>
                </v:rect>
                <v:rect id="_x0000_s1026" o:spid="_x0000_s1026" o:spt="1" style="position:absolute;left:5061585;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b&#10;Ja3UAAAABQEAAA8AAAAAAAAAAQAgAAAAIgAAAGRycy9kb3ducmV2LnhtbFBLAQIUABQAAAAIAIdO&#10;4kAMj41FtQEAAEwDAAAOAAAAAAAAAAEAIAAAACMBAABkcnMvZTJvRG9jLnhtbFBLBQYAAAAABgAG&#10;AFkBAABKBQAAAAA=&#10;">
                  <v:fill on="f" focussize="0,0"/>
                  <v:stroke on="f"/>
                  <v:imagedata o:title=""/>
                  <o:lock v:ext="edit" aspectratio="f"/>
                  <v:textbox inset="0mm,0mm,0mm,0mm" style="mso-fit-shape-to-text:t;">
                    <w:txbxContent>
                      <w:p>
                        <w:r>
                          <w:rPr>
                            <w:rFonts w:ascii="宋体" w:cs="宋体"/>
                            <w:color w:val="000000"/>
                            <w:sz w:val="16"/>
                            <w:szCs w:val="16"/>
                          </w:rPr>
                          <w:t>11</w:t>
                        </w:r>
                      </w:p>
                    </w:txbxContent>
                  </v:textbox>
                </v:rect>
                <v:rect id="_x0000_s1026" o:spid="_x0000_s1026" o:spt="1" style="position:absolute;left:5520690;top:2115185;height:132080;width:1022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bJa3UAAAABQEAAA8AAAAAAAAAAQAgAAAAIgAAAGRycy9kb3ducmV2LnhtbFBLAQIUABQAAAAI&#10;AIdO4kCQegtTuAEAAEwDAAAOAAAAAAAAAAEAIAAAACMBAABkcnMvZTJvRG9jLnhtbFBLBQYAAAAA&#10;BgAGAFkBAABNBQAAAAA=&#10;">
                  <v:fill on="f" focussize="0,0"/>
                  <v:stroke on="f"/>
                  <v:imagedata o:title=""/>
                  <o:lock v:ext="edit" aspectratio="f"/>
                  <v:textbox inset="0mm,0mm,0mm,0mm" style="mso-fit-shape-to-text:t;">
                    <w:txbxContent>
                      <w:p>
                        <w:r>
                          <w:rPr>
                            <w:rFonts w:ascii="宋体" w:cs="宋体"/>
                            <w:color w:val="000000"/>
                            <w:sz w:val="16"/>
                            <w:szCs w:val="16"/>
                          </w:rPr>
                          <w:t>12</w:t>
                        </w:r>
                      </w:p>
                    </w:txbxContent>
                  </v:textbox>
                </v:rect>
                <v:rect id="_x0000_s1026" o:spid="_x0000_s1026" o:spt="1" style="position:absolute;left:2950845;top:2270760;height:132080;width:203835;mso-wrap-style:none;" filled="f" stroked="f" coordsize="21600,21600" o:gfxdata="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5sl&#10;rdQAAAAFAQAADwAAAAAAAAABACAAAAAiAAAAZHJzL2Rvd25yZXYueG1sUEsBAhQAFAAAAAgAh07i&#10;QGdD/5u0AQAATAMAAA4AAAAAAAAAAQAgAAAAIwEAAGRycy9lMm9Eb2MueG1sUEsFBgAAAAAGAAYA&#10;WQEAAEkFAAAAAA==&#10;">
                  <v:fill on="f" focussize="0,0"/>
                  <v:stroke on="f"/>
                  <v:imagedata o:title=""/>
                  <o:lock v:ext="edit" aspectratio="f"/>
                  <v:textbox inset="0mm,0mm,0mm,0mm" style="mso-fit-shape-to-text:t;">
                    <w:txbxContent>
                      <w:p>
                        <w:r>
                          <w:rPr>
                            <w:rFonts w:hint="eastAsia" w:ascii="宋体" w:cs="宋体"/>
                            <w:color w:val="000000"/>
                            <w:sz w:val="16"/>
                            <w:szCs w:val="16"/>
                          </w:rPr>
                          <w:t>月份</w:t>
                        </w:r>
                      </w:p>
                    </w:txbxContent>
                  </v:textbox>
                </v:rect>
                <v:rect id="_x0000_s1026" o:spid="_x0000_s1026" o:spt="1" style="position:absolute;left:-247650;top:1153160;height:228600;width:792480;rotation:-5898240f;" filled="f" stroked="f" coordsize="21600,21600" o:gfxdata="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R1d0dUAAAAFAQAADwAAAAAAAAABACAAAAAiAAAAZHJzL2Rvd25yZXYueG1sUEsBAhQAFAAAAAgA&#10;h07iQEH6F1m2AQAAQwMAAA4AAAAAAAAAAQAgAAAAJAEAAGRycy9lMm9Eb2MueG1sUEsFBgAAAAAG&#10;AAYAWQEAAEwFAAAAAA==&#10;">
                  <v:fill on="f" focussize="0,0"/>
                  <v:stroke on="f"/>
                  <v:imagedata o:title=""/>
                  <o:lock v:ext="edit" aspectratio="f"/>
                  <v:textbox inset="0mm,0mm,0mm,0mm" style="layout-flow:vertical-ideographic;">
                    <w:txbxContent>
                      <w:p>
                        <w:r>
                          <w:rPr>
                            <w:rFonts w:hint="eastAsia" w:ascii="宋体" w:cs="宋体"/>
                            <w:color w:val="000000"/>
                            <w:sz w:val="16"/>
                            <w:szCs w:val="16"/>
                          </w:rPr>
                          <w:t>平均风速m/s</w:t>
                        </w:r>
                      </w:p>
                    </w:txbxContent>
                  </v:textbox>
                </v:rect>
                <w10:wrap type="none"/>
                <w10:anchorlock/>
              </v:group>
            </w:pict>
          </mc:Fallback>
        </mc:AlternateContent>
      </w:r>
    </w:p>
    <w:p>
      <w:pPr>
        <w:adjustRightInd w:val="0"/>
        <w:snapToGrid w:val="0"/>
        <w:spacing w:line="348" w:lineRule="auto"/>
        <w:jc w:val="center"/>
        <w:rPr>
          <w:b/>
        </w:rPr>
      </w:pPr>
      <w:r>
        <w:rPr>
          <w:b/>
        </w:rPr>
        <w:t>图</w:t>
      </w:r>
      <w:r>
        <w:rPr>
          <w:rFonts w:hint="eastAsia"/>
          <w:b/>
        </w:rPr>
        <w:t>8</w:t>
      </w:r>
      <w:r>
        <w:rPr>
          <w:b/>
        </w:rPr>
        <w:t>.2  年平均风速的月变化</w:t>
      </w:r>
    </w:p>
    <w:p>
      <w:pPr>
        <w:adjustRightInd w:val="0"/>
        <w:snapToGrid w:val="0"/>
        <w:spacing w:line="360" w:lineRule="auto"/>
        <w:ind w:left="480"/>
        <w:rPr>
          <w:rFonts w:hint="eastAsia" w:ascii="宋体" w:hAnsi="宋体"/>
        </w:rPr>
      </w:pPr>
    </w:p>
    <w:p>
      <w:pPr>
        <w:numPr>
          <w:ilvl w:val="0"/>
          <w:numId w:val="5"/>
        </w:numPr>
        <w:adjustRightInd w:val="0"/>
        <w:snapToGrid w:val="0"/>
        <w:spacing w:line="360" w:lineRule="auto"/>
        <w:rPr>
          <w:rFonts w:hint="eastAsia" w:ascii="宋体" w:hAnsi="宋体"/>
        </w:rPr>
      </w:pPr>
      <w:r>
        <w:rPr>
          <w:rFonts w:hint="eastAsia" w:ascii="宋体" w:hAnsi="宋体"/>
        </w:rPr>
        <w:t>地面风场</w:t>
      </w:r>
    </w:p>
    <w:p>
      <w:pPr>
        <w:adjustRightInd w:val="0"/>
        <w:snapToGrid w:val="0"/>
        <w:spacing w:line="360" w:lineRule="auto"/>
        <w:ind w:firstLine="420" w:firstLineChars="200"/>
        <w:rPr>
          <w:rFonts w:hint="eastAsia"/>
        </w:rPr>
      </w:pPr>
      <w:r>
        <w:t>根据</w:t>
      </w:r>
      <w:r>
        <w:rPr>
          <w:rFonts w:hint="eastAsia"/>
        </w:rPr>
        <w:t>白市驿</w:t>
      </w:r>
      <w:r>
        <w:t>气象站观测资料，</w:t>
      </w:r>
      <w:r>
        <w:rPr>
          <w:rFonts w:hint="eastAsia"/>
        </w:rPr>
        <w:t>白市驿</w:t>
      </w:r>
      <w:r>
        <w:t>常年主导风向为N风</w:t>
      </w:r>
      <w:r>
        <w:rPr>
          <w:rFonts w:hint="eastAsia"/>
        </w:rPr>
        <w:t>（参表8</w:t>
      </w:r>
      <w:r>
        <w:t>-</w:t>
      </w:r>
      <w:r>
        <w:rPr>
          <w:rFonts w:hint="eastAsia"/>
        </w:rPr>
        <w:t>3及图8</w:t>
      </w:r>
      <w:r>
        <w:t>.</w:t>
      </w:r>
      <w:r>
        <w:rPr>
          <w:rFonts w:hint="eastAsia"/>
        </w:rPr>
        <w:t>3），</w:t>
      </w:r>
      <w:r>
        <w:t>风频在5.9~16.2%，次主导风向为S风，全年频率为5.2%。静风频率高是该地地面风场特点之一，在57.5~77.6%之间，其中以秋季为最高。由于静风频率高，包括静风在内的年均风速仅0.94m/s。</w:t>
      </w:r>
    </w:p>
    <w:p>
      <w:pPr>
        <w:spacing w:line="360" w:lineRule="auto"/>
        <w:ind w:firstLine="420" w:firstLineChars="200"/>
        <w:rPr>
          <w:rFonts w:hint="eastAsia"/>
        </w:rPr>
      </w:pPr>
      <w:r>
        <w:rPr>
          <w:rFonts w:hint="eastAsia"/>
        </w:rPr>
        <w:t>与07年气象资料形成的风玫瑰图相比较，白市驿常年主导风向有一定偏差，偏移角度约45°，考虑到这种情况，本次评价大气预测在N风和NW风下风向布设了较多关心点。</w:t>
      </w:r>
    </w:p>
    <w:p>
      <w:pPr>
        <w:pStyle w:val="29"/>
        <w:rPr>
          <w:rFonts w:hint="eastAsia" w:eastAsia="宋体"/>
          <w:b/>
          <w:sz w:val="24"/>
          <w:szCs w:val="24"/>
        </w:rPr>
      </w:pPr>
      <w:r>
        <w:rPr>
          <w:rFonts w:hint="eastAsia" w:eastAsia="宋体"/>
          <w:b/>
          <w:sz w:val="24"/>
          <w:szCs w:val="24"/>
        </w:rPr>
        <w:t>表8</w:t>
      </w:r>
      <w:r>
        <w:rPr>
          <w:rFonts w:eastAsia="宋体"/>
          <w:b/>
          <w:sz w:val="24"/>
          <w:szCs w:val="24"/>
        </w:rPr>
        <w:t>-</w:t>
      </w:r>
      <w:r>
        <w:rPr>
          <w:rFonts w:hint="eastAsia" w:eastAsia="宋体"/>
          <w:b/>
          <w:sz w:val="24"/>
          <w:szCs w:val="24"/>
        </w:rPr>
        <w:t xml:space="preserve">3     </w:t>
      </w:r>
      <w:r>
        <w:rPr>
          <w:rFonts w:eastAsia="宋体"/>
          <w:b/>
          <w:sz w:val="24"/>
          <w:szCs w:val="24"/>
        </w:rPr>
        <w:t xml:space="preserve"> </w:t>
      </w:r>
      <w:r>
        <w:rPr>
          <w:rFonts w:hint="eastAsia" w:eastAsia="宋体"/>
          <w:b/>
          <w:sz w:val="24"/>
          <w:szCs w:val="24"/>
        </w:rPr>
        <w:t>白市驿气象站气象数据统计表</w:t>
      </w:r>
    </w:p>
    <w:tbl>
      <w:tblPr>
        <w:tblStyle w:val="20"/>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60"/>
        <w:gridCol w:w="1316"/>
        <w:gridCol w:w="1460"/>
        <w:gridCol w:w="1509"/>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765" w:type="dxa"/>
            <w:vMerge w:val="restart"/>
            <w:noWrap w:val="0"/>
            <w:vAlign w:val="center"/>
          </w:tcPr>
          <w:p>
            <w:pPr>
              <w:spacing w:line="360" w:lineRule="auto"/>
              <w:jc w:val="center"/>
              <w:rPr>
                <w:rFonts w:hint="eastAsia"/>
                <w:sz w:val="21"/>
                <w:szCs w:val="21"/>
              </w:rPr>
            </w:pPr>
            <w:r>
              <w:rPr>
                <w:rFonts w:hint="eastAsia"/>
                <w:sz w:val="21"/>
                <w:szCs w:val="21"/>
              </w:rPr>
              <w:t>方位</w:t>
            </w:r>
          </w:p>
        </w:tc>
        <w:tc>
          <w:tcPr>
            <w:tcW w:w="1360" w:type="dxa"/>
            <w:noWrap w:val="0"/>
            <w:vAlign w:val="center"/>
          </w:tcPr>
          <w:p>
            <w:pPr>
              <w:spacing w:line="360" w:lineRule="auto"/>
              <w:jc w:val="center"/>
              <w:rPr>
                <w:rFonts w:hint="eastAsia"/>
                <w:sz w:val="21"/>
                <w:szCs w:val="21"/>
              </w:rPr>
            </w:pPr>
            <w:r>
              <w:rPr>
                <w:rFonts w:hint="eastAsia"/>
                <w:sz w:val="21"/>
                <w:szCs w:val="21"/>
              </w:rPr>
              <w:t>春</w:t>
            </w:r>
          </w:p>
        </w:tc>
        <w:tc>
          <w:tcPr>
            <w:tcW w:w="1316" w:type="dxa"/>
            <w:noWrap w:val="0"/>
            <w:vAlign w:val="center"/>
          </w:tcPr>
          <w:p>
            <w:pPr>
              <w:spacing w:line="360" w:lineRule="auto"/>
              <w:jc w:val="center"/>
              <w:rPr>
                <w:rFonts w:hint="eastAsia"/>
                <w:sz w:val="21"/>
                <w:szCs w:val="21"/>
              </w:rPr>
            </w:pPr>
            <w:r>
              <w:rPr>
                <w:rFonts w:hint="eastAsia"/>
                <w:sz w:val="21"/>
                <w:szCs w:val="21"/>
              </w:rPr>
              <w:t>夏</w:t>
            </w:r>
          </w:p>
        </w:tc>
        <w:tc>
          <w:tcPr>
            <w:tcW w:w="1460" w:type="dxa"/>
            <w:noWrap w:val="0"/>
            <w:vAlign w:val="center"/>
          </w:tcPr>
          <w:p>
            <w:pPr>
              <w:spacing w:line="360" w:lineRule="auto"/>
              <w:jc w:val="center"/>
              <w:rPr>
                <w:rFonts w:hint="eastAsia"/>
                <w:sz w:val="21"/>
                <w:szCs w:val="21"/>
              </w:rPr>
            </w:pPr>
            <w:r>
              <w:rPr>
                <w:rFonts w:hint="eastAsia"/>
                <w:sz w:val="21"/>
                <w:szCs w:val="21"/>
              </w:rPr>
              <w:t>秋</w:t>
            </w:r>
          </w:p>
        </w:tc>
        <w:tc>
          <w:tcPr>
            <w:tcW w:w="1509" w:type="dxa"/>
            <w:noWrap w:val="0"/>
            <w:vAlign w:val="center"/>
          </w:tcPr>
          <w:p>
            <w:pPr>
              <w:spacing w:line="360" w:lineRule="auto"/>
              <w:jc w:val="center"/>
              <w:rPr>
                <w:rFonts w:hint="eastAsia"/>
                <w:sz w:val="21"/>
                <w:szCs w:val="21"/>
              </w:rPr>
            </w:pPr>
            <w:r>
              <w:rPr>
                <w:rFonts w:hint="eastAsia"/>
                <w:sz w:val="21"/>
                <w:szCs w:val="21"/>
              </w:rPr>
              <w:t>冬</w:t>
            </w:r>
          </w:p>
        </w:tc>
        <w:tc>
          <w:tcPr>
            <w:tcW w:w="1669" w:type="dxa"/>
            <w:noWrap w:val="0"/>
            <w:vAlign w:val="center"/>
          </w:tcPr>
          <w:p>
            <w:pPr>
              <w:spacing w:line="360" w:lineRule="auto"/>
              <w:jc w:val="center"/>
              <w:rPr>
                <w:rFonts w:hint="eastAsia"/>
                <w:sz w:val="21"/>
                <w:szCs w:val="21"/>
              </w:rPr>
            </w:pPr>
            <w:r>
              <w:rPr>
                <w:rFonts w:hint="eastAsia"/>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765" w:type="dxa"/>
            <w:vMerge w:val="continue"/>
            <w:noWrap w:val="0"/>
            <w:vAlign w:val="center"/>
          </w:tcPr>
          <w:p>
            <w:pPr>
              <w:spacing w:line="360" w:lineRule="auto"/>
              <w:jc w:val="center"/>
              <w:rPr>
                <w:rFonts w:hint="eastAsia"/>
                <w:sz w:val="21"/>
                <w:szCs w:val="21"/>
              </w:rPr>
            </w:pPr>
          </w:p>
        </w:tc>
        <w:tc>
          <w:tcPr>
            <w:tcW w:w="1360" w:type="dxa"/>
            <w:noWrap w:val="0"/>
            <w:vAlign w:val="center"/>
          </w:tcPr>
          <w:p>
            <w:pPr>
              <w:spacing w:line="360" w:lineRule="auto"/>
              <w:jc w:val="center"/>
              <w:rPr>
                <w:rFonts w:hint="eastAsia"/>
                <w:sz w:val="21"/>
                <w:szCs w:val="21"/>
              </w:rPr>
            </w:pPr>
            <w:r>
              <w:rPr>
                <w:rFonts w:hint="eastAsia"/>
                <w:sz w:val="21"/>
                <w:szCs w:val="21"/>
              </w:rPr>
              <w:t>风频/风速</w:t>
            </w:r>
          </w:p>
        </w:tc>
        <w:tc>
          <w:tcPr>
            <w:tcW w:w="1316" w:type="dxa"/>
            <w:noWrap w:val="0"/>
            <w:vAlign w:val="center"/>
          </w:tcPr>
          <w:p>
            <w:pPr>
              <w:spacing w:line="360" w:lineRule="auto"/>
              <w:jc w:val="center"/>
              <w:rPr>
                <w:rFonts w:hint="eastAsia"/>
                <w:sz w:val="21"/>
                <w:szCs w:val="21"/>
              </w:rPr>
            </w:pPr>
            <w:r>
              <w:rPr>
                <w:rFonts w:hint="eastAsia"/>
                <w:sz w:val="21"/>
                <w:szCs w:val="21"/>
              </w:rPr>
              <w:t>风频/风速</w:t>
            </w:r>
          </w:p>
        </w:tc>
        <w:tc>
          <w:tcPr>
            <w:tcW w:w="1460" w:type="dxa"/>
            <w:noWrap w:val="0"/>
            <w:vAlign w:val="center"/>
          </w:tcPr>
          <w:p>
            <w:pPr>
              <w:spacing w:line="360" w:lineRule="auto"/>
              <w:jc w:val="center"/>
              <w:rPr>
                <w:rFonts w:hint="eastAsia"/>
                <w:sz w:val="21"/>
                <w:szCs w:val="21"/>
              </w:rPr>
            </w:pPr>
            <w:r>
              <w:rPr>
                <w:rFonts w:hint="eastAsia"/>
                <w:sz w:val="21"/>
                <w:szCs w:val="21"/>
              </w:rPr>
              <w:t>风频/风速</w:t>
            </w:r>
          </w:p>
        </w:tc>
        <w:tc>
          <w:tcPr>
            <w:tcW w:w="1509" w:type="dxa"/>
            <w:noWrap w:val="0"/>
            <w:vAlign w:val="center"/>
          </w:tcPr>
          <w:p>
            <w:pPr>
              <w:spacing w:line="360" w:lineRule="auto"/>
              <w:jc w:val="center"/>
              <w:rPr>
                <w:rFonts w:hint="eastAsia"/>
                <w:sz w:val="21"/>
                <w:szCs w:val="21"/>
              </w:rPr>
            </w:pPr>
            <w:r>
              <w:rPr>
                <w:rFonts w:hint="eastAsia"/>
                <w:sz w:val="21"/>
                <w:szCs w:val="21"/>
              </w:rPr>
              <w:t>风频/风速</w:t>
            </w:r>
          </w:p>
        </w:tc>
        <w:tc>
          <w:tcPr>
            <w:tcW w:w="1669" w:type="dxa"/>
            <w:noWrap w:val="0"/>
            <w:vAlign w:val="center"/>
          </w:tcPr>
          <w:p>
            <w:pPr>
              <w:spacing w:line="360" w:lineRule="auto"/>
              <w:jc w:val="center"/>
              <w:rPr>
                <w:rFonts w:hint="eastAsia"/>
                <w:sz w:val="21"/>
                <w:szCs w:val="21"/>
              </w:rPr>
            </w:pPr>
            <w:r>
              <w:rPr>
                <w:rFonts w:hint="eastAsia"/>
                <w:sz w:val="21"/>
                <w:szCs w:val="21"/>
              </w:rPr>
              <w:t>风频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N</w:t>
            </w:r>
          </w:p>
        </w:tc>
        <w:tc>
          <w:tcPr>
            <w:tcW w:w="1360" w:type="dxa"/>
            <w:noWrap w:val="0"/>
            <w:vAlign w:val="center"/>
          </w:tcPr>
          <w:p>
            <w:pPr>
              <w:spacing w:line="360" w:lineRule="auto"/>
              <w:jc w:val="center"/>
              <w:rPr>
                <w:rFonts w:hint="eastAsia"/>
                <w:sz w:val="21"/>
                <w:szCs w:val="21"/>
              </w:rPr>
            </w:pPr>
            <w:r>
              <w:rPr>
                <w:rFonts w:hint="eastAsia"/>
                <w:sz w:val="21"/>
                <w:szCs w:val="21"/>
              </w:rPr>
              <w:t>15.25/3.2</w:t>
            </w:r>
          </w:p>
        </w:tc>
        <w:tc>
          <w:tcPr>
            <w:tcW w:w="1316" w:type="dxa"/>
            <w:noWrap w:val="0"/>
            <w:vAlign w:val="center"/>
          </w:tcPr>
          <w:p>
            <w:pPr>
              <w:spacing w:line="360" w:lineRule="auto"/>
              <w:jc w:val="center"/>
              <w:rPr>
                <w:rFonts w:hint="eastAsia"/>
                <w:sz w:val="21"/>
                <w:szCs w:val="21"/>
              </w:rPr>
            </w:pPr>
            <w:r>
              <w:rPr>
                <w:rFonts w:hint="eastAsia"/>
                <w:sz w:val="21"/>
                <w:szCs w:val="21"/>
              </w:rPr>
              <w:t>11.7/3</w:t>
            </w:r>
          </w:p>
        </w:tc>
        <w:tc>
          <w:tcPr>
            <w:tcW w:w="1460" w:type="dxa"/>
            <w:noWrap w:val="0"/>
            <w:vAlign w:val="center"/>
          </w:tcPr>
          <w:p>
            <w:pPr>
              <w:spacing w:line="360" w:lineRule="auto"/>
              <w:jc w:val="center"/>
              <w:rPr>
                <w:rFonts w:hint="eastAsia"/>
                <w:sz w:val="21"/>
                <w:szCs w:val="21"/>
              </w:rPr>
            </w:pPr>
            <w:r>
              <w:rPr>
                <w:rFonts w:hint="eastAsia"/>
                <w:sz w:val="21"/>
                <w:szCs w:val="21"/>
              </w:rPr>
              <w:t>5.9/2.8</w:t>
            </w:r>
          </w:p>
        </w:tc>
        <w:tc>
          <w:tcPr>
            <w:tcW w:w="1509" w:type="dxa"/>
            <w:noWrap w:val="0"/>
            <w:vAlign w:val="center"/>
          </w:tcPr>
          <w:p>
            <w:pPr>
              <w:spacing w:line="360" w:lineRule="auto"/>
              <w:jc w:val="center"/>
              <w:rPr>
                <w:rFonts w:hint="eastAsia"/>
                <w:sz w:val="21"/>
                <w:szCs w:val="21"/>
              </w:rPr>
            </w:pPr>
            <w:r>
              <w:rPr>
                <w:rFonts w:hint="eastAsia"/>
                <w:sz w:val="21"/>
                <w:szCs w:val="21"/>
              </w:rPr>
              <w:t>12.9/2.9</w:t>
            </w:r>
          </w:p>
        </w:tc>
        <w:tc>
          <w:tcPr>
            <w:tcW w:w="1669" w:type="dxa"/>
            <w:noWrap w:val="0"/>
            <w:vAlign w:val="center"/>
          </w:tcPr>
          <w:p>
            <w:pPr>
              <w:spacing w:line="360" w:lineRule="auto"/>
              <w:jc w:val="center"/>
              <w:rPr>
                <w:rFonts w:hint="eastAsia"/>
                <w:sz w:val="21"/>
                <w:szCs w:val="21"/>
              </w:rPr>
            </w:pPr>
            <w:r>
              <w:rPr>
                <w:rFonts w:hint="eastAsia"/>
                <w:sz w:val="21"/>
                <w:szCs w:val="21"/>
              </w:rPr>
              <w:t>11.6/3.03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NNE</w:t>
            </w:r>
          </w:p>
        </w:tc>
        <w:tc>
          <w:tcPr>
            <w:tcW w:w="1360" w:type="dxa"/>
            <w:noWrap w:val="0"/>
            <w:vAlign w:val="center"/>
          </w:tcPr>
          <w:p>
            <w:pPr>
              <w:spacing w:line="360" w:lineRule="auto"/>
              <w:jc w:val="center"/>
              <w:rPr>
                <w:rFonts w:hint="eastAsia"/>
                <w:sz w:val="21"/>
                <w:szCs w:val="21"/>
              </w:rPr>
            </w:pPr>
            <w:r>
              <w:rPr>
                <w:rFonts w:hint="eastAsia"/>
                <w:sz w:val="21"/>
                <w:szCs w:val="21"/>
              </w:rPr>
              <w:t>4.80/3</w:t>
            </w:r>
          </w:p>
        </w:tc>
        <w:tc>
          <w:tcPr>
            <w:tcW w:w="1316" w:type="dxa"/>
            <w:noWrap w:val="0"/>
            <w:vAlign w:val="center"/>
          </w:tcPr>
          <w:p>
            <w:pPr>
              <w:spacing w:line="360" w:lineRule="auto"/>
              <w:jc w:val="center"/>
              <w:rPr>
                <w:rFonts w:hint="eastAsia"/>
                <w:sz w:val="21"/>
                <w:szCs w:val="21"/>
              </w:rPr>
            </w:pPr>
            <w:r>
              <w:rPr>
                <w:rFonts w:hint="eastAsia"/>
                <w:sz w:val="21"/>
                <w:szCs w:val="21"/>
              </w:rPr>
              <w:t>2.6/2.7</w:t>
            </w:r>
          </w:p>
        </w:tc>
        <w:tc>
          <w:tcPr>
            <w:tcW w:w="1460" w:type="dxa"/>
            <w:noWrap w:val="0"/>
            <w:vAlign w:val="center"/>
          </w:tcPr>
          <w:p>
            <w:pPr>
              <w:spacing w:line="360" w:lineRule="auto"/>
              <w:jc w:val="center"/>
              <w:rPr>
                <w:rFonts w:hint="eastAsia"/>
                <w:sz w:val="21"/>
                <w:szCs w:val="21"/>
              </w:rPr>
            </w:pPr>
            <w:r>
              <w:rPr>
                <w:rFonts w:hint="eastAsia"/>
                <w:sz w:val="21"/>
                <w:szCs w:val="21"/>
              </w:rPr>
              <w:t>2.6/2.2</w:t>
            </w:r>
          </w:p>
        </w:tc>
        <w:tc>
          <w:tcPr>
            <w:tcW w:w="1509" w:type="dxa"/>
            <w:noWrap w:val="0"/>
            <w:vAlign w:val="center"/>
          </w:tcPr>
          <w:p>
            <w:pPr>
              <w:spacing w:line="360" w:lineRule="auto"/>
              <w:jc w:val="center"/>
              <w:rPr>
                <w:rFonts w:hint="eastAsia"/>
                <w:sz w:val="21"/>
                <w:szCs w:val="21"/>
              </w:rPr>
            </w:pPr>
            <w:r>
              <w:rPr>
                <w:rFonts w:hint="eastAsia"/>
                <w:sz w:val="21"/>
                <w:szCs w:val="21"/>
              </w:rPr>
              <w:t>2.8/2.7</w:t>
            </w:r>
          </w:p>
        </w:tc>
        <w:tc>
          <w:tcPr>
            <w:tcW w:w="1669" w:type="dxa"/>
            <w:noWrap w:val="0"/>
            <w:vAlign w:val="center"/>
          </w:tcPr>
          <w:p>
            <w:pPr>
              <w:spacing w:line="360" w:lineRule="auto"/>
              <w:jc w:val="center"/>
              <w:rPr>
                <w:rFonts w:hint="eastAsia"/>
                <w:sz w:val="21"/>
                <w:szCs w:val="21"/>
              </w:rPr>
            </w:pPr>
            <w:r>
              <w:rPr>
                <w:rFonts w:hint="eastAsia"/>
                <w:sz w:val="21"/>
                <w:szCs w:val="21"/>
              </w:rPr>
              <w:t>3.2/2.71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NE</w:t>
            </w:r>
          </w:p>
        </w:tc>
        <w:tc>
          <w:tcPr>
            <w:tcW w:w="1360" w:type="dxa"/>
            <w:noWrap w:val="0"/>
            <w:vAlign w:val="center"/>
          </w:tcPr>
          <w:p>
            <w:pPr>
              <w:spacing w:line="360" w:lineRule="auto"/>
              <w:jc w:val="center"/>
              <w:rPr>
                <w:rFonts w:hint="eastAsia"/>
                <w:sz w:val="21"/>
                <w:szCs w:val="21"/>
              </w:rPr>
            </w:pPr>
            <w:r>
              <w:rPr>
                <w:rFonts w:hint="eastAsia"/>
                <w:sz w:val="21"/>
                <w:szCs w:val="21"/>
              </w:rPr>
              <w:t>3.75/2.5</w:t>
            </w:r>
          </w:p>
        </w:tc>
        <w:tc>
          <w:tcPr>
            <w:tcW w:w="1316" w:type="dxa"/>
            <w:noWrap w:val="0"/>
            <w:vAlign w:val="center"/>
          </w:tcPr>
          <w:p>
            <w:pPr>
              <w:spacing w:line="360" w:lineRule="auto"/>
              <w:jc w:val="center"/>
              <w:rPr>
                <w:rFonts w:hint="eastAsia"/>
                <w:sz w:val="21"/>
                <w:szCs w:val="21"/>
              </w:rPr>
            </w:pPr>
            <w:r>
              <w:rPr>
                <w:rFonts w:hint="eastAsia"/>
                <w:sz w:val="21"/>
                <w:szCs w:val="21"/>
              </w:rPr>
              <w:t>2.6/3.4</w:t>
            </w:r>
          </w:p>
        </w:tc>
        <w:tc>
          <w:tcPr>
            <w:tcW w:w="1460" w:type="dxa"/>
            <w:noWrap w:val="0"/>
            <w:vAlign w:val="center"/>
          </w:tcPr>
          <w:p>
            <w:pPr>
              <w:spacing w:line="360" w:lineRule="auto"/>
              <w:jc w:val="center"/>
              <w:rPr>
                <w:rFonts w:hint="eastAsia"/>
                <w:sz w:val="21"/>
                <w:szCs w:val="21"/>
              </w:rPr>
            </w:pPr>
            <w:r>
              <w:rPr>
                <w:rFonts w:hint="eastAsia"/>
                <w:sz w:val="21"/>
                <w:szCs w:val="21"/>
              </w:rPr>
              <w:t>1.8/2.3</w:t>
            </w:r>
          </w:p>
        </w:tc>
        <w:tc>
          <w:tcPr>
            <w:tcW w:w="1509" w:type="dxa"/>
            <w:noWrap w:val="0"/>
            <w:vAlign w:val="center"/>
          </w:tcPr>
          <w:p>
            <w:pPr>
              <w:spacing w:line="360" w:lineRule="auto"/>
              <w:jc w:val="center"/>
              <w:rPr>
                <w:rFonts w:hint="eastAsia"/>
                <w:sz w:val="21"/>
                <w:szCs w:val="21"/>
              </w:rPr>
            </w:pPr>
            <w:r>
              <w:rPr>
                <w:rFonts w:hint="eastAsia"/>
                <w:sz w:val="21"/>
                <w:szCs w:val="21"/>
              </w:rPr>
              <w:t>1.05/3</w:t>
            </w:r>
          </w:p>
        </w:tc>
        <w:tc>
          <w:tcPr>
            <w:tcW w:w="1669" w:type="dxa"/>
            <w:noWrap w:val="0"/>
            <w:vAlign w:val="center"/>
          </w:tcPr>
          <w:p>
            <w:pPr>
              <w:spacing w:line="360" w:lineRule="auto"/>
              <w:jc w:val="center"/>
              <w:rPr>
                <w:rFonts w:hint="eastAsia"/>
                <w:sz w:val="21"/>
                <w:szCs w:val="21"/>
              </w:rPr>
            </w:pPr>
            <w:r>
              <w:rPr>
                <w:rFonts w:hint="eastAsia"/>
                <w:sz w:val="21"/>
                <w:szCs w:val="21"/>
              </w:rPr>
              <w:t>3.0/2.83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ENE</w:t>
            </w:r>
          </w:p>
        </w:tc>
        <w:tc>
          <w:tcPr>
            <w:tcW w:w="1360" w:type="dxa"/>
            <w:noWrap w:val="0"/>
            <w:vAlign w:val="center"/>
          </w:tcPr>
          <w:p>
            <w:pPr>
              <w:spacing w:line="360" w:lineRule="auto"/>
              <w:jc w:val="center"/>
              <w:rPr>
                <w:rFonts w:hint="eastAsia"/>
                <w:sz w:val="21"/>
                <w:szCs w:val="21"/>
              </w:rPr>
            </w:pPr>
            <w:r>
              <w:rPr>
                <w:rFonts w:hint="eastAsia"/>
                <w:sz w:val="21"/>
                <w:szCs w:val="21"/>
              </w:rPr>
              <w:t>0/0</w:t>
            </w:r>
          </w:p>
        </w:tc>
        <w:tc>
          <w:tcPr>
            <w:tcW w:w="1316" w:type="dxa"/>
            <w:noWrap w:val="0"/>
            <w:vAlign w:val="center"/>
          </w:tcPr>
          <w:p>
            <w:pPr>
              <w:spacing w:line="360" w:lineRule="auto"/>
              <w:jc w:val="center"/>
              <w:rPr>
                <w:rFonts w:hint="eastAsia"/>
                <w:sz w:val="21"/>
                <w:szCs w:val="21"/>
              </w:rPr>
            </w:pPr>
            <w:r>
              <w:rPr>
                <w:rFonts w:hint="eastAsia"/>
                <w:sz w:val="21"/>
                <w:szCs w:val="21"/>
              </w:rPr>
              <w:t>0.4/2</w:t>
            </w:r>
          </w:p>
        </w:tc>
        <w:tc>
          <w:tcPr>
            <w:tcW w:w="1460" w:type="dxa"/>
            <w:noWrap w:val="0"/>
            <w:vAlign w:val="center"/>
          </w:tcPr>
          <w:p>
            <w:pPr>
              <w:spacing w:line="360" w:lineRule="auto"/>
              <w:jc w:val="center"/>
              <w:rPr>
                <w:rFonts w:hint="eastAsia"/>
                <w:sz w:val="21"/>
                <w:szCs w:val="21"/>
              </w:rPr>
            </w:pPr>
            <w:r>
              <w:rPr>
                <w:rFonts w:hint="eastAsia"/>
                <w:sz w:val="21"/>
                <w:szCs w:val="21"/>
              </w:rPr>
              <w:t>0/0</w:t>
            </w:r>
          </w:p>
        </w:tc>
        <w:tc>
          <w:tcPr>
            <w:tcW w:w="1509" w:type="dxa"/>
            <w:noWrap w:val="0"/>
            <w:vAlign w:val="center"/>
          </w:tcPr>
          <w:p>
            <w:pPr>
              <w:spacing w:line="360" w:lineRule="auto"/>
              <w:jc w:val="center"/>
              <w:rPr>
                <w:rFonts w:hint="eastAsia"/>
                <w:sz w:val="21"/>
                <w:szCs w:val="21"/>
              </w:rPr>
            </w:pPr>
            <w:r>
              <w:rPr>
                <w:rFonts w:hint="eastAsia"/>
                <w:sz w:val="21"/>
                <w:szCs w:val="21"/>
              </w:rPr>
              <w:t>1.6/2.9</w:t>
            </w:r>
          </w:p>
        </w:tc>
        <w:tc>
          <w:tcPr>
            <w:tcW w:w="1669" w:type="dxa"/>
            <w:noWrap w:val="0"/>
            <w:vAlign w:val="center"/>
          </w:tcPr>
          <w:p>
            <w:pPr>
              <w:spacing w:line="360" w:lineRule="auto"/>
              <w:jc w:val="center"/>
              <w:rPr>
                <w:rFonts w:hint="eastAsia"/>
                <w:sz w:val="21"/>
                <w:szCs w:val="21"/>
              </w:rPr>
            </w:pPr>
            <w:r>
              <w:rPr>
                <w:rFonts w:hint="eastAsia"/>
                <w:sz w:val="21"/>
                <w:szCs w:val="21"/>
              </w:rPr>
              <w:t>0.5/2.7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E</w:t>
            </w:r>
          </w:p>
        </w:tc>
        <w:tc>
          <w:tcPr>
            <w:tcW w:w="1360" w:type="dxa"/>
            <w:noWrap w:val="0"/>
            <w:vAlign w:val="center"/>
          </w:tcPr>
          <w:p>
            <w:pPr>
              <w:spacing w:line="360" w:lineRule="auto"/>
              <w:jc w:val="center"/>
              <w:rPr>
                <w:rFonts w:hint="eastAsia"/>
                <w:sz w:val="21"/>
                <w:szCs w:val="21"/>
              </w:rPr>
            </w:pPr>
            <w:r>
              <w:rPr>
                <w:rFonts w:hint="eastAsia"/>
                <w:sz w:val="21"/>
                <w:szCs w:val="21"/>
              </w:rPr>
              <w:t>3.75/3.3</w:t>
            </w:r>
          </w:p>
        </w:tc>
        <w:tc>
          <w:tcPr>
            <w:tcW w:w="1316" w:type="dxa"/>
            <w:noWrap w:val="0"/>
            <w:vAlign w:val="center"/>
          </w:tcPr>
          <w:p>
            <w:pPr>
              <w:spacing w:line="360" w:lineRule="auto"/>
              <w:jc w:val="center"/>
              <w:rPr>
                <w:rFonts w:hint="eastAsia"/>
                <w:sz w:val="21"/>
                <w:szCs w:val="21"/>
              </w:rPr>
            </w:pPr>
            <w:r>
              <w:rPr>
                <w:rFonts w:hint="eastAsia"/>
                <w:sz w:val="21"/>
                <w:szCs w:val="21"/>
              </w:rPr>
              <w:t>2.6/2.8</w:t>
            </w:r>
          </w:p>
        </w:tc>
        <w:tc>
          <w:tcPr>
            <w:tcW w:w="1460" w:type="dxa"/>
            <w:noWrap w:val="0"/>
            <w:vAlign w:val="center"/>
          </w:tcPr>
          <w:p>
            <w:pPr>
              <w:spacing w:line="360" w:lineRule="auto"/>
              <w:jc w:val="center"/>
              <w:rPr>
                <w:rFonts w:hint="eastAsia"/>
                <w:sz w:val="21"/>
                <w:szCs w:val="21"/>
              </w:rPr>
            </w:pPr>
            <w:r>
              <w:rPr>
                <w:rFonts w:hint="eastAsia"/>
                <w:sz w:val="21"/>
                <w:szCs w:val="21"/>
              </w:rPr>
              <w:t>0.5/3.3</w:t>
            </w:r>
          </w:p>
        </w:tc>
        <w:tc>
          <w:tcPr>
            <w:tcW w:w="1509" w:type="dxa"/>
            <w:noWrap w:val="0"/>
            <w:vAlign w:val="center"/>
          </w:tcPr>
          <w:p>
            <w:pPr>
              <w:spacing w:line="360" w:lineRule="auto"/>
              <w:jc w:val="center"/>
              <w:rPr>
                <w:rFonts w:hint="eastAsia"/>
                <w:sz w:val="21"/>
                <w:szCs w:val="21"/>
              </w:rPr>
            </w:pPr>
            <w:r>
              <w:rPr>
                <w:rFonts w:hint="eastAsia"/>
                <w:sz w:val="21"/>
                <w:szCs w:val="21"/>
              </w:rPr>
              <w:t>1.4/3.3</w:t>
            </w:r>
          </w:p>
        </w:tc>
        <w:tc>
          <w:tcPr>
            <w:tcW w:w="1669" w:type="dxa"/>
            <w:noWrap w:val="0"/>
            <w:vAlign w:val="center"/>
          </w:tcPr>
          <w:p>
            <w:pPr>
              <w:spacing w:line="360" w:lineRule="auto"/>
              <w:jc w:val="center"/>
              <w:rPr>
                <w:rFonts w:hint="eastAsia"/>
                <w:sz w:val="21"/>
                <w:szCs w:val="21"/>
              </w:rPr>
            </w:pPr>
            <w:r>
              <w:rPr>
                <w:rFonts w:hint="eastAsia"/>
                <w:sz w:val="21"/>
                <w:szCs w:val="21"/>
              </w:rPr>
              <w:t>2.1/3.15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ESE</w:t>
            </w:r>
          </w:p>
        </w:tc>
        <w:tc>
          <w:tcPr>
            <w:tcW w:w="1360" w:type="dxa"/>
            <w:noWrap w:val="0"/>
            <w:vAlign w:val="center"/>
          </w:tcPr>
          <w:p>
            <w:pPr>
              <w:spacing w:line="360" w:lineRule="auto"/>
              <w:jc w:val="center"/>
              <w:rPr>
                <w:rFonts w:hint="eastAsia"/>
                <w:sz w:val="21"/>
                <w:szCs w:val="21"/>
              </w:rPr>
            </w:pPr>
            <w:r>
              <w:rPr>
                <w:rFonts w:hint="eastAsia"/>
                <w:sz w:val="21"/>
                <w:szCs w:val="21"/>
              </w:rPr>
              <w:t>0.40/2</w:t>
            </w:r>
          </w:p>
        </w:tc>
        <w:tc>
          <w:tcPr>
            <w:tcW w:w="1316" w:type="dxa"/>
            <w:noWrap w:val="0"/>
            <w:vAlign w:val="center"/>
          </w:tcPr>
          <w:p>
            <w:pPr>
              <w:spacing w:line="360" w:lineRule="auto"/>
              <w:jc w:val="center"/>
              <w:rPr>
                <w:rFonts w:hint="eastAsia"/>
                <w:sz w:val="21"/>
                <w:szCs w:val="21"/>
              </w:rPr>
            </w:pPr>
            <w:r>
              <w:rPr>
                <w:rFonts w:hint="eastAsia"/>
                <w:sz w:val="21"/>
                <w:szCs w:val="21"/>
              </w:rPr>
              <w:t>1.8/3.4</w:t>
            </w:r>
          </w:p>
        </w:tc>
        <w:tc>
          <w:tcPr>
            <w:tcW w:w="1460" w:type="dxa"/>
            <w:noWrap w:val="0"/>
            <w:vAlign w:val="center"/>
          </w:tcPr>
          <w:p>
            <w:pPr>
              <w:spacing w:line="360" w:lineRule="auto"/>
              <w:jc w:val="center"/>
              <w:rPr>
                <w:rFonts w:hint="eastAsia"/>
                <w:sz w:val="21"/>
                <w:szCs w:val="21"/>
              </w:rPr>
            </w:pPr>
            <w:r>
              <w:rPr>
                <w:rFonts w:hint="eastAsia"/>
                <w:sz w:val="21"/>
                <w:szCs w:val="21"/>
              </w:rPr>
              <w:t>0.2/2</w:t>
            </w:r>
          </w:p>
        </w:tc>
        <w:tc>
          <w:tcPr>
            <w:tcW w:w="1509" w:type="dxa"/>
            <w:noWrap w:val="0"/>
            <w:vAlign w:val="center"/>
          </w:tcPr>
          <w:p>
            <w:pPr>
              <w:spacing w:line="360" w:lineRule="auto"/>
              <w:jc w:val="center"/>
              <w:rPr>
                <w:rFonts w:hint="eastAsia"/>
                <w:sz w:val="21"/>
                <w:szCs w:val="21"/>
              </w:rPr>
            </w:pPr>
            <w:r>
              <w:rPr>
                <w:rFonts w:hint="eastAsia"/>
                <w:sz w:val="21"/>
                <w:szCs w:val="21"/>
              </w:rPr>
              <w:t>0/0</w:t>
            </w:r>
          </w:p>
        </w:tc>
        <w:tc>
          <w:tcPr>
            <w:tcW w:w="1669" w:type="dxa"/>
            <w:noWrap w:val="0"/>
            <w:vAlign w:val="center"/>
          </w:tcPr>
          <w:p>
            <w:pPr>
              <w:spacing w:line="360" w:lineRule="auto"/>
              <w:jc w:val="center"/>
              <w:rPr>
                <w:rFonts w:hint="eastAsia"/>
                <w:sz w:val="21"/>
                <w:szCs w:val="21"/>
              </w:rPr>
            </w:pPr>
            <w:r>
              <w:rPr>
                <w:rFonts w:hint="eastAsia"/>
                <w:sz w:val="21"/>
                <w:szCs w:val="21"/>
              </w:rPr>
              <w:t>0.6/3.08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SE</w:t>
            </w:r>
          </w:p>
        </w:tc>
        <w:tc>
          <w:tcPr>
            <w:tcW w:w="1360" w:type="dxa"/>
            <w:noWrap w:val="0"/>
            <w:vAlign w:val="center"/>
          </w:tcPr>
          <w:p>
            <w:pPr>
              <w:spacing w:line="360" w:lineRule="auto"/>
              <w:jc w:val="center"/>
              <w:rPr>
                <w:rFonts w:hint="eastAsia"/>
                <w:sz w:val="21"/>
                <w:szCs w:val="21"/>
              </w:rPr>
            </w:pPr>
            <w:r>
              <w:rPr>
                <w:rFonts w:hint="eastAsia"/>
                <w:sz w:val="21"/>
                <w:szCs w:val="21"/>
              </w:rPr>
              <w:t>1.50/2.7</w:t>
            </w:r>
          </w:p>
        </w:tc>
        <w:tc>
          <w:tcPr>
            <w:tcW w:w="1316" w:type="dxa"/>
            <w:noWrap w:val="0"/>
            <w:vAlign w:val="center"/>
          </w:tcPr>
          <w:p>
            <w:pPr>
              <w:spacing w:line="360" w:lineRule="auto"/>
              <w:jc w:val="center"/>
              <w:rPr>
                <w:rFonts w:hint="eastAsia"/>
                <w:sz w:val="21"/>
                <w:szCs w:val="21"/>
              </w:rPr>
            </w:pPr>
            <w:r>
              <w:rPr>
                <w:rFonts w:hint="eastAsia"/>
                <w:sz w:val="21"/>
                <w:szCs w:val="21"/>
              </w:rPr>
              <w:t>2.8/3.2</w:t>
            </w:r>
          </w:p>
        </w:tc>
        <w:tc>
          <w:tcPr>
            <w:tcW w:w="1460" w:type="dxa"/>
            <w:noWrap w:val="0"/>
            <w:vAlign w:val="center"/>
          </w:tcPr>
          <w:p>
            <w:pPr>
              <w:spacing w:line="360" w:lineRule="auto"/>
              <w:jc w:val="center"/>
              <w:rPr>
                <w:rFonts w:hint="eastAsia"/>
                <w:sz w:val="21"/>
                <w:szCs w:val="21"/>
              </w:rPr>
            </w:pPr>
            <w:r>
              <w:rPr>
                <w:rFonts w:hint="eastAsia"/>
                <w:sz w:val="21"/>
                <w:szCs w:val="21"/>
              </w:rPr>
              <w:t>0.4/3</w:t>
            </w:r>
          </w:p>
        </w:tc>
        <w:tc>
          <w:tcPr>
            <w:tcW w:w="1509" w:type="dxa"/>
            <w:noWrap w:val="0"/>
            <w:vAlign w:val="center"/>
          </w:tcPr>
          <w:p>
            <w:pPr>
              <w:spacing w:line="360" w:lineRule="auto"/>
              <w:jc w:val="center"/>
              <w:rPr>
                <w:rFonts w:hint="eastAsia"/>
                <w:sz w:val="21"/>
                <w:szCs w:val="21"/>
              </w:rPr>
            </w:pPr>
            <w:r>
              <w:rPr>
                <w:rFonts w:hint="eastAsia"/>
                <w:sz w:val="21"/>
                <w:szCs w:val="21"/>
              </w:rPr>
              <w:t>0.6/2</w:t>
            </w:r>
          </w:p>
        </w:tc>
        <w:tc>
          <w:tcPr>
            <w:tcW w:w="1669" w:type="dxa"/>
            <w:noWrap w:val="0"/>
            <w:vAlign w:val="center"/>
          </w:tcPr>
          <w:p>
            <w:pPr>
              <w:spacing w:line="360" w:lineRule="auto"/>
              <w:jc w:val="center"/>
              <w:rPr>
                <w:rFonts w:hint="eastAsia"/>
                <w:sz w:val="21"/>
                <w:szCs w:val="21"/>
              </w:rPr>
            </w:pPr>
            <w:r>
              <w:rPr>
                <w:rFonts w:hint="eastAsia"/>
                <w:sz w:val="21"/>
                <w:szCs w:val="21"/>
              </w:rPr>
              <w:t>1.3/2.92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SSE</w:t>
            </w:r>
          </w:p>
        </w:tc>
        <w:tc>
          <w:tcPr>
            <w:tcW w:w="1360" w:type="dxa"/>
            <w:noWrap w:val="0"/>
            <w:vAlign w:val="center"/>
          </w:tcPr>
          <w:p>
            <w:pPr>
              <w:spacing w:line="360" w:lineRule="auto"/>
              <w:jc w:val="center"/>
              <w:rPr>
                <w:rFonts w:hint="eastAsia"/>
                <w:sz w:val="21"/>
                <w:szCs w:val="21"/>
              </w:rPr>
            </w:pPr>
            <w:r>
              <w:rPr>
                <w:rFonts w:hint="eastAsia"/>
                <w:sz w:val="21"/>
                <w:szCs w:val="21"/>
              </w:rPr>
              <w:t>0/0</w:t>
            </w:r>
          </w:p>
        </w:tc>
        <w:tc>
          <w:tcPr>
            <w:tcW w:w="1316" w:type="dxa"/>
            <w:noWrap w:val="0"/>
            <w:vAlign w:val="center"/>
          </w:tcPr>
          <w:p>
            <w:pPr>
              <w:spacing w:line="360" w:lineRule="auto"/>
              <w:jc w:val="center"/>
              <w:rPr>
                <w:rFonts w:hint="eastAsia"/>
                <w:sz w:val="21"/>
                <w:szCs w:val="21"/>
              </w:rPr>
            </w:pPr>
            <w:r>
              <w:rPr>
                <w:rFonts w:hint="eastAsia"/>
                <w:sz w:val="21"/>
                <w:szCs w:val="21"/>
              </w:rPr>
              <w:t>0.6/2.7</w:t>
            </w:r>
          </w:p>
        </w:tc>
        <w:tc>
          <w:tcPr>
            <w:tcW w:w="1460" w:type="dxa"/>
            <w:noWrap w:val="0"/>
            <w:vAlign w:val="center"/>
          </w:tcPr>
          <w:p>
            <w:pPr>
              <w:spacing w:line="360" w:lineRule="auto"/>
              <w:jc w:val="center"/>
              <w:rPr>
                <w:rFonts w:hint="eastAsia"/>
                <w:sz w:val="21"/>
                <w:szCs w:val="21"/>
              </w:rPr>
            </w:pPr>
            <w:r>
              <w:rPr>
                <w:rFonts w:hint="eastAsia"/>
                <w:sz w:val="21"/>
                <w:szCs w:val="21"/>
              </w:rPr>
              <w:t>1.0/2.8</w:t>
            </w:r>
          </w:p>
        </w:tc>
        <w:tc>
          <w:tcPr>
            <w:tcW w:w="1509" w:type="dxa"/>
            <w:noWrap w:val="0"/>
            <w:vAlign w:val="center"/>
          </w:tcPr>
          <w:p>
            <w:pPr>
              <w:spacing w:line="360" w:lineRule="auto"/>
              <w:jc w:val="center"/>
              <w:rPr>
                <w:rFonts w:hint="eastAsia"/>
                <w:sz w:val="21"/>
                <w:szCs w:val="21"/>
              </w:rPr>
            </w:pPr>
            <w:r>
              <w:rPr>
                <w:rFonts w:hint="eastAsia"/>
                <w:sz w:val="21"/>
                <w:szCs w:val="21"/>
              </w:rPr>
              <w:t>0/0</w:t>
            </w:r>
          </w:p>
        </w:tc>
        <w:tc>
          <w:tcPr>
            <w:tcW w:w="1669" w:type="dxa"/>
            <w:noWrap w:val="0"/>
            <w:vAlign w:val="center"/>
          </w:tcPr>
          <w:p>
            <w:pPr>
              <w:spacing w:line="360" w:lineRule="auto"/>
              <w:jc w:val="center"/>
              <w:rPr>
                <w:rFonts w:hint="eastAsia"/>
                <w:sz w:val="21"/>
                <w:szCs w:val="21"/>
              </w:rPr>
            </w:pPr>
            <w:r>
              <w:rPr>
                <w:rFonts w:hint="eastAsia"/>
                <w:sz w:val="21"/>
                <w:szCs w:val="21"/>
              </w:rPr>
              <w:t>0.4/2.75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S</w:t>
            </w:r>
          </w:p>
        </w:tc>
        <w:tc>
          <w:tcPr>
            <w:tcW w:w="1360" w:type="dxa"/>
            <w:noWrap w:val="0"/>
            <w:vAlign w:val="center"/>
          </w:tcPr>
          <w:p>
            <w:pPr>
              <w:spacing w:line="360" w:lineRule="auto"/>
              <w:jc w:val="center"/>
              <w:rPr>
                <w:rFonts w:hint="eastAsia"/>
                <w:sz w:val="21"/>
                <w:szCs w:val="21"/>
              </w:rPr>
            </w:pPr>
            <w:r>
              <w:rPr>
                <w:rFonts w:hint="eastAsia"/>
                <w:sz w:val="21"/>
                <w:szCs w:val="21"/>
              </w:rPr>
              <w:t>3.30/2.2</w:t>
            </w:r>
          </w:p>
        </w:tc>
        <w:tc>
          <w:tcPr>
            <w:tcW w:w="1316" w:type="dxa"/>
            <w:noWrap w:val="0"/>
            <w:vAlign w:val="center"/>
          </w:tcPr>
          <w:p>
            <w:pPr>
              <w:spacing w:line="360" w:lineRule="auto"/>
              <w:jc w:val="center"/>
              <w:rPr>
                <w:rFonts w:hint="eastAsia"/>
                <w:sz w:val="21"/>
                <w:szCs w:val="21"/>
              </w:rPr>
            </w:pPr>
            <w:r>
              <w:rPr>
                <w:rFonts w:hint="eastAsia"/>
                <w:sz w:val="21"/>
                <w:szCs w:val="21"/>
              </w:rPr>
              <w:t>7.9/2.5</w:t>
            </w:r>
          </w:p>
        </w:tc>
        <w:tc>
          <w:tcPr>
            <w:tcW w:w="1460" w:type="dxa"/>
            <w:noWrap w:val="0"/>
            <w:vAlign w:val="center"/>
          </w:tcPr>
          <w:p>
            <w:pPr>
              <w:spacing w:line="360" w:lineRule="auto"/>
              <w:jc w:val="center"/>
              <w:rPr>
                <w:rFonts w:hint="eastAsia"/>
                <w:sz w:val="21"/>
                <w:szCs w:val="21"/>
              </w:rPr>
            </w:pPr>
            <w:r>
              <w:rPr>
                <w:rFonts w:hint="eastAsia"/>
                <w:sz w:val="21"/>
                <w:szCs w:val="21"/>
              </w:rPr>
              <w:t>5.7/2.1</w:t>
            </w:r>
          </w:p>
        </w:tc>
        <w:tc>
          <w:tcPr>
            <w:tcW w:w="1509" w:type="dxa"/>
            <w:noWrap w:val="0"/>
            <w:vAlign w:val="center"/>
          </w:tcPr>
          <w:p>
            <w:pPr>
              <w:spacing w:line="360" w:lineRule="auto"/>
              <w:jc w:val="center"/>
              <w:rPr>
                <w:rFonts w:hint="eastAsia"/>
                <w:sz w:val="21"/>
                <w:szCs w:val="21"/>
              </w:rPr>
            </w:pPr>
            <w:r>
              <w:rPr>
                <w:rFonts w:hint="eastAsia"/>
                <w:sz w:val="21"/>
                <w:szCs w:val="21"/>
              </w:rPr>
              <w:t>4.05/2</w:t>
            </w:r>
          </w:p>
        </w:tc>
        <w:tc>
          <w:tcPr>
            <w:tcW w:w="1669" w:type="dxa"/>
            <w:noWrap w:val="0"/>
            <w:vAlign w:val="center"/>
          </w:tcPr>
          <w:p>
            <w:pPr>
              <w:spacing w:line="360" w:lineRule="auto"/>
              <w:jc w:val="center"/>
              <w:rPr>
                <w:rFonts w:hint="eastAsia"/>
                <w:sz w:val="21"/>
                <w:szCs w:val="21"/>
              </w:rPr>
            </w:pPr>
            <w:r>
              <w:rPr>
                <w:rFonts w:hint="eastAsia"/>
                <w:sz w:val="21"/>
                <w:szCs w:val="21"/>
              </w:rPr>
              <w:t>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SSW</w:t>
            </w:r>
          </w:p>
        </w:tc>
        <w:tc>
          <w:tcPr>
            <w:tcW w:w="1360" w:type="dxa"/>
            <w:noWrap w:val="0"/>
            <w:vAlign w:val="center"/>
          </w:tcPr>
          <w:p>
            <w:pPr>
              <w:spacing w:line="360" w:lineRule="auto"/>
              <w:jc w:val="center"/>
              <w:rPr>
                <w:rFonts w:hint="eastAsia"/>
                <w:sz w:val="21"/>
                <w:szCs w:val="21"/>
              </w:rPr>
            </w:pPr>
            <w:r>
              <w:rPr>
                <w:rFonts w:hint="eastAsia"/>
                <w:sz w:val="21"/>
                <w:szCs w:val="21"/>
              </w:rPr>
              <w:t>1.00/2.6</w:t>
            </w:r>
          </w:p>
        </w:tc>
        <w:tc>
          <w:tcPr>
            <w:tcW w:w="1316" w:type="dxa"/>
            <w:noWrap w:val="0"/>
            <w:vAlign w:val="center"/>
          </w:tcPr>
          <w:p>
            <w:pPr>
              <w:spacing w:line="360" w:lineRule="auto"/>
              <w:jc w:val="center"/>
              <w:rPr>
                <w:rFonts w:hint="eastAsia"/>
                <w:sz w:val="21"/>
                <w:szCs w:val="21"/>
              </w:rPr>
            </w:pPr>
            <w:r>
              <w:rPr>
                <w:rFonts w:hint="eastAsia"/>
                <w:sz w:val="21"/>
                <w:szCs w:val="21"/>
              </w:rPr>
              <w:t>0.2/3</w:t>
            </w:r>
          </w:p>
        </w:tc>
        <w:tc>
          <w:tcPr>
            <w:tcW w:w="1460" w:type="dxa"/>
            <w:noWrap w:val="0"/>
            <w:vAlign w:val="center"/>
          </w:tcPr>
          <w:p>
            <w:pPr>
              <w:spacing w:line="360" w:lineRule="auto"/>
              <w:jc w:val="center"/>
              <w:rPr>
                <w:rFonts w:hint="eastAsia"/>
                <w:sz w:val="21"/>
                <w:szCs w:val="21"/>
              </w:rPr>
            </w:pPr>
            <w:r>
              <w:rPr>
                <w:rFonts w:hint="eastAsia"/>
                <w:sz w:val="21"/>
                <w:szCs w:val="21"/>
              </w:rPr>
              <w:t>0/0</w:t>
            </w:r>
          </w:p>
        </w:tc>
        <w:tc>
          <w:tcPr>
            <w:tcW w:w="1509" w:type="dxa"/>
            <w:noWrap w:val="0"/>
            <w:vAlign w:val="center"/>
          </w:tcPr>
          <w:p>
            <w:pPr>
              <w:spacing w:line="360" w:lineRule="auto"/>
              <w:jc w:val="center"/>
              <w:rPr>
                <w:rFonts w:hint="eastAsia"/>
                <w:sz w:val="21"/>
                <w:szCs w:val="21"/>
              </w:rPr>
            </w:pPr>
            <w:r>
              <w:rPr>
                <w:rFonts w:hint="eastAsia"/>
                <w:sz w:val="21"/>
                <w:szCs w:val="21"/>
              </w:rPr>
              <w:t>0.2/2</w:t>
            </w:r>
          </w:p>
        </w:tc>
        <w:tc>
          <w:tcPr>
            <w:tcW w:w="1669" w:type="dxa"/>
            <w:noWrap w:val="0"/>
            <w:vAlign w:val="center"/>
          </w:tcPr>
          <w:p>
            <w:pPr>
              <w:spacing w:line="360" w:lineRule="auto"/>
              <w:jc w:val="center"/>
              <w:rPr>
                <w:rFonts w:hint="eastAsia"/>
                <w:sz w:val="21"/>
                <w:szCs w:val="21"/>
              </w:rPr>
            </w:pPr>
            <w:r>
              <w:rPr>
                <w:rFonts w:hint="eastAsia"/>
                <w:sz w:val="21"/>
                <w:szCs w:val="21"/>
              </w:rPr>
              <w:t>0.4/2.57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SW</w:t>
            </w:r>
          </w:p>
        </w:tc>
        <w:tc>
          <w:tcPr>
            <w:tcW w:w="1360" w:type="dxa"/>
            <w:noWrap w:val="0"/>
            <w:vAlign w:val="center"/>
          </w:tcPr>
          <w:p>
            <w:pPr>
              <w:spacing w:line="360" w:lineRule="auto"/>
              <w:jc w:val="center"/>
              <w:rPr>
                <w:rFonts w:hint="eastAsia"/>
                <w:sz w:val="21"/>
                <w:szCs w:val="21"/>
              </w:rPr>
            </w:pPr>
            <w:r>
              <w:rPr>
                <w:rFonts w:hint="eastAsia"/>
                <w:sz w:val="21"/>
                <w:szCs w:val="21"/>
              </w:rPr>
              <w:t>0.63/2.3</w:t>
            </w:r>
          </w:p>
        </w:tc>
        <w:tc>
          <w:tcPr>
            <w:tcW w:w="1316" w:type="dxa"/>
            <w:noWrap w:val="0"/>
            <w:vAlign w:val="center"/>
          </w:tcPr>
          <w:p>
            <w:pPr>
              <w:spacing w:line="360" w:lineRule="auto"/>
              <w:jc w:val="center"/>
              <w:rPr>
                <w:rFonts w:hint="eastAsia"/>
                <w:sz w:val="21"/>
                <w:szCs w:val="21"/>
              </w:rPr>
            </w:pPr>
            <w:r>
              <w:rPr>
                <w:rFonts w:hint="eastAsia"/>
                <w:sz w:val="21"/>
                <w:szCs w:val="21"/>
              </w:rPr>
              <w:t>3.05/2.5</w:t>
            </w:r>
          </w:p>
        </w:tc>
        <w:tc>
          <w:tcPr>
            <w:tcW w:w="1460" w:type="dxa"/>
            <w:noWrap w:val="0"/>
            <w:vAlign w:val="center"/>
          </w:tcPr>
          <w:p>
            <w:pPr>
              <w:spacing w:line="360" w:lineRule="auto"/>
              <w:jc w:val="center"/>
              <w:rPr>
                <w:rFonts w:hint="eastAsia"/>
                <w:sz w:val="21"/>
                <w:szCs w:val="21"/>
              </w:rPr>
            </w:pPr>
            <w:r>
              <w:rPr>
                <w:rFonts w:hint="eastAsia"/>
                <w:sz w:val="21"/>
                <w:szCs w:val="21"/>
              </w:rPr>
              <w:t>1.4/2.1</w:t>
            </w:r>
          </w:p>
        </w:tc>
        <w:tc>
          <w:tcPr>
            <w:tcW w:w="1509" w:type="dxa"/>
            <w:noWrap w:val="0"/>
            <w:vAlign w:val="center"/>
          </w:tcPr>
          <w:p>
            <w:pPr>
              <w:spacing w:line="360" w:lineRule="auto"/>
              <w:jc w:val="center"/>
              <w:rPr>
                <w:rFonts w:hint="eastAsia"/>
                <w:sz w:val="21"/>
                <w:szCs w:val="21"/>
              </w:rPr>
            </w:pPr>
            <w:r>
              <w:rPr>
                <w:rFonts w:hint="eastAsia"/>
                <w:sz w:val="21"/>
                <w:szCs w:val="21"/>
              </w:rPr>
              <w:t>0.2/3</w:t>
            </w:r>
          </w:p>
        </w:tc>
        <w:tc>
          <w:tcPr>
            <w:tcW w:w="1669" w:type="dxa"/>
            <w:noWrap w:val="0"/>
            <w:vAlign w:val="center"/>
          </w:tcPr>
          <w:p>
            <w:pPr>
              <w:spacing w:line="360" w:lineRule="auto"/>
              <w:jc w:val="center"/>
              <w:rPr>
                <w:rFonts w:hint="eastAsia"/>
                <w:sz w:val="21"/>
                <w:szCs w:val="21"/>
              </w:rPr>
            </w:pPr>
            <w:r>
              <w:rPr>
                <w:rFonts w:hint="eastAsia"/>
                <w:sz w:val="21"/>
                <w:szCs w:val="21"/>
              </w:rPr>
              <w:t>1.3/2.38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WSW</w:t>
            </w:r>
          </w:p>
        </w:tc>
        <w:tc>
          <w:tcPr>
            <w:tcW w:w="1360" w:type="dxa"/>
            <w:noWrap w:val="0"/>
            <w:vAlign w:val="center"/>
          </w:tcPr>
          <w:p>
            <w:pPr>
              <w:spacing w:line="360" w:lineRule="auto"/>
              <w:jc w:val="center"/>
              <w:rPr>
                <w:rFonts w:hint="eastAsia"/>
                <w:sz w:val="21"/>
                <w:szCs w:val="21"/>
              </w:rPr>
            </w:pPr>
            <w:r>
              <w:rPr>
                <w:rFonts w:hint="eastAsia"/>
                <w:sz w:val="21"/>
                <w:szCs w:val="21"/>
              </w:rPr>
              <w:t>0/0</w:t>
            </w:r>
          </w:p>
        </w:tc>
        <w:tc>
          <w:tcPr>
            <w:tcW w:w="1316" w:type="dxa"/>
            <w:noWrap w:val="0"/>
            <w:vAlign w:val="center"/>
          </w:tcPr>
          <w:p>
            <w:pPr>
              <w:spacing w:line="360" w:lineRule="auto"/>
              <w:jc w:val="center"/>
              <w:rPr>
                <w:rFonts w:hint="eastAsia"/>
                <w:sz w:val="21"/>
                <w:szCs w:val="21"/>
              </w:rPr>
            </w:pPr>
            <w:r>
              <w:rPr>
                <w:rFonts w:hint="eastAsia"/>
                <w:sz w:val="21"/>
                <w:szCs w:val="21"/>
              </w:rPr>
              <w:t>0.2/3</w:t>
            </w:r>
          </w:p>
        </w:tc>
        <w:tc>
          <w:tcPr>
            <w:tcW w:w="1460" w:type="dxa"/>
            <w:noWrap w:val="0"/>
            <w:vAlign w:val="center"/>
          </w:tcPr>
          <w:p>
            <w:pPr>
              <w:spacing w:line="360" w:lineRule="auto"/>
              <w:jc w:val="center"/>
              <w:rPr>
                <w:rFonts w:hint="eastAsia"/>
                <w:sz w:val="21"/>
                <w:szCs w:val="21"/>
              </w:rPr>
            </w:pPr>
            <w:r>
              <w:rPr>
                <w:rFonts w:hint="eastAsia"/>
                <w:sz w:val="21"/>
                <w:szCs w:val="21"/>
              </w:rPr>
              <w:t>0.2/1</w:t>
            </w:r>
          </w:p>
        </w:tc>
        <w:tc>
          <w:tcPr>
            <w:tcW w:w="1509" w:type="dxa"/>
            <w:noWrap w:val="0"/>
            <w:vAlign w:val="center"/>
          </w:tcPr>
          <w:p>
            <w:pPr>
              <w:spacing w:line="360" w:lineRule="auto"/>
              <w:jc w:val="center"/>
              <w:rPr>
                <w:rFonts w:hint="eastAsia"/>
                <w:sz w:val="21"/>
                <w:szCs w:val="21"/>
              </w:rPr>
            </w:pPr>
            <w:r>
              <w:rPr>
                <w:rFonts w:hint="eastAsia"/>
                <w:sz w:val="21"/>
                <w:szCs w:val="21"/>
              </w:rPr>
              <w:t>0.2/2</w:t>
            </w:r>
          </w:p>
        </w:tc>
        <w:tc>
          <w:tcPr>
            <w:tcW w:w="1669" w:type="dxa"/>
            <w:noWrap w:val="0"/>
            <w:vAlign w:val="center"/>
          </w:tcPr>
          <w:p>
            <w:pPr>
              <w:spacing w:line="360" w:lineRule="auto"/>
              <w:jc w:val="center"/>
              <w:rPr>
                <w:rFonts w:hint="eastAsia"/>
                <w:sz w:val="21"/>
                <w:szCs w:val="21"/>
              </w:rPr>
            </w:pPr>
            <w:r>
              <w:rPr>
                <w:rFonts w:hint="eastAsia"/>
                <w:sz w:val="21"/>
                <w:szCs w:val="21"/>
              </w:rPr>
              <w:t>0.2/2.0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W</w:t>
            </w:r>
          </w:p>
        </w:tc>
        <w:tc>
          <w:tcPr>
            <w:tcW w:w="1360" w:type="dxa"/>
            <w:noWrap w:val="0"/>
            <w:vAlign w:val="center"/>
          </w:tcPr>
          <w:p>
            <w:pPr>
              <w:spacing w:line="360" w:lineRule="auto"/>
              <w:jc w:val="center"/>
              <w:rPr>
                <w:rFonts w:hint="eastAsia"/>
                <w:sz w:val="21"/>
                <w:szCs w:val="21"/>
              </w:rPr>
            </w:pPr>
            <w:r>
              <w:rPr>
                <w:rFonts w:hint="eastAsia"/>
                <w:sz w:val="21"/>
                <w:szCs w:val="21"/>
              </w:rPr>
              <w:t>1.50/2.9</w:t>
            </w:r>
          </w:p>
        </w:tc>
        <w:tc>
          <w:tcPr>
            <w:tcW w:w="1316" w:type="dxa"/>
            <w:noWrap w:val="0"/>
            <w:vAlign w:val="center"/>
          </w:tcPr>
          <w:p>
            <w:pPr>
              <w:spacing w:line="360" w:lineRule="auto"/>
              <w:jc w:val="center"/>
              <w:rPr>
                <w:rFonts w:hint="eastAsia"/>
                <w:sz w:val="21"/>
                <w:szCs w:val="21"/>
              </w:rPr>
            </w:pPr>
            <w:r>
              <w:rPr>
                <w:rFonts w:hint="eastAsia"/>
                <w:sz w:val="21"/>
                <w:szCs w:val="21"/>
              </w:rPr>
              <w:t>3.25/2.4</w:t>
            </w:r>
          </w:p>
        </w:tc>
        <w:tc>
          <w:tcPr>
            <w:tcW w:w="1460" w:type="dxa"/>
            <w:noWrap w:val="0"/>
            <w:vAlign w:val="center"/>
          </w:tcPr>
          <w:p>
            <w:pPr>
              <w:spacing w:line="360" w:lineRule="auto"/>
              <w:jc w:val="center"/>
              <w:rPr>
                <w:rFonts w:hint="eastAsia"/>
                <w:sz w:val="21"/>
                <w:szCs w:val="21"/>
              </w:rPr>
            </w:pPr>
            <w:r>
              <w:rPr>
                <w:rFonts w:hint="eastAsia"/>
                <w:sz w:val="21"/>
                <w:szCs w:val="21"/>
              </w:rPr>
              <w:t>0.8/2.3</w:t>
            </w:r>
          </w:p>
        </w:tc>
        <w:tc>
          <w:tcPr>
            <w:tcW w:w="1509" w:type="dxa"/>
            <w:noWrap w:val="0"/>
            <w:vAlign w:val="center"/>
          </w:tcPr>
          <w:p>
            <w:pPr>
              <w:spacing w:line="360" w:lineRule="auto"/>
              <w:jc w:val="center"/>
              <w:rPr>
                <w:rFonts w:hint="eastAsia"/>
                <w:sz w:val="21"/>
                <w:szCs w:val="21"/>
              </w:rPr>
            </w:pPr>
            <w:r>
              <w:rPr>
                <w:rFonts w:hint="eastAsia"/>
                <w:sz w:val="21"/>
                <w:szCs w:val="21"/>
              </w:rPr>
              <w:t>0.2/2</w:t>
            </w:r>
          </w:p>
        </w:tc>
        <w:tc>
          <w:tcPr>
            <w:tcW w:w="1669" w:type="dxa"/>
            <w:noWrap w:val="0"/>
            <w:vAlign w:val="center"/>
          </w:tcPr>
          <w:p>
            <w:pPr>
              <w:spacing w:line="360" w:lineRule="auto"/>
              <w:jc w:val="center"/>
              <w:rPr>
                <w:rFonts w:hint="eastAsia"/>
                <w:sz w:val="21"/>
                <w:szCs w:val="21"/>
              </w:rPr>
            </w:pPr>
            <w:r>
              <w:rPr>
                <w:rFonts w:hint="eastAsia"/>
                <w:sz w:val="21"/>
                <w:szCs w:val="21"/>
              </w:rPr>
              <w:t>1.4/2.46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WNW</w:t>
            </w:r>
          </w:p>
        </w:tc>
        <w:tc>
          <w:tcPr>
            <w:tcW w:w="1360" w:type="dxa"/>
            <w:noWrap w:val="0"/>
            <w:vAlign w:val="center"/>
          </w:tcPr>
          <w:p>
            <w:pPr>
              <w:spacing w:line="360" w:lineRule="auto"/>
              <w:jc w:val="center"/>
              <w:rPr>
                <w:rFonts w:hint="eastAsia"/>
                <w:sz w:val="21"/>
                <w:szCs w:val="21"/>
              </w:rPr>
            </w:pPr>
            <w:r>
              <w:rPr>
                <w:rFonts w:hint="eastAsia"/>
                <w:sz w:val="21"/>
                <w:szCs w:val="21"/>
              </w:rPr>
              <w:t>0.63/2.3</w:t>
            </w:r>
          </w:p>
        </w:tc>
        <w:tc>
          <w:tcPr>
            <w:tcW w:w="1316" w:type="dxa"/>
            <w:noWrap w:val="0"/>
            <w:vAlign w:val="center"/>
          </w:tcPr>
          <w:p>
            <w:pPr>
              <w:spacing w:line="360" w:lineRule="auto"/>
              <w:jc w:val="center"/>
              <w:rPr>
                <w:rFonts w:hint="eastAsia"/>
                <w:sz w:val="21"/>
                <w:szCs w:val="21"/>
              </w:rPr>
            </w:pPr>
            <w:r>
              <w:rPr>
                <w:rFonts w:hint="eastAsia"/>
                <w:sz w:val="21"/>
                <w:szCs w:val="21"/>
              </w:rPr>
              <w:t>0.4/2.5</w:t>
            </w:r>
          </w:p>
        </w:tc>
        <w:tc>
          <w:tcPr>
            <w:tcW w:w="1460" w:type="dxa"/>
            <w:noWrap w:val="0"/>
            <w:vAlign w:val="center"/>
          </w:tcPr>
          <w:p>
            <w:pPr>
              <w:spacing w:line="360" w:lineRule="auto"/>
              <w:jc w:val="center"/>
              <w:rPr>
                <w:rFonts w:hint="eastAsia"/>
                <w:sz w:val="21"/>
                <w:szCs w:val="21"/>
              </w:rPr>
            </w:pPr>
            <w:r>
              <w:rPr>
                <w:rFonts w:hint="eastAsia"/>
                <w:sz w:val="21"/>
                <w:szCs w:val="21"/>
              </w:rPr>
              <w:t>0.2/2</w:t>
            </w:r>
          </w:p>
        </w:tc>
        <w:tc>
          <w:tcPr>
            <w:tcW w:w="1509" w:type="dxa"/>
            <w:noWrap w:val="0"/>
            <w:vAlign w:val="center"/>
          </w:tcPr>
          <w:p>
            <w:pPr>
              <w:spacing w:line="360" w:lineRule="auto"/>
              <w:jc w:val="center"/>
              <w:rPr>
                <w:rFonts w:hint="eastAsia"/>
                <w:sz w:val="21"/>
                <w:szCs w:val="21"/>
              </w:rPr>
            </w:pPr>
            <w:r>
              <w:rPr>
                <w:rFonts w:hint="eastAsia"/>
                <w:sz w:val="21"/>
                <w:szCs w:val="21"/>
              </w:rPr>
              <w:t>0.2/3</w:t>
            </w:r>
          </w:p>
        </w:tc>
        <w:tc>
          <w:tcPr>
            <w:tcW w:w="1669" w:type="dxa"/>
            <w:noWrap w:val="0"/>
            <w:vAlign w:val="center"/>
          </w:tcPr>
          <w:p>
            <w:pPr>
              <w:spacing w:line="360" w:lineRule="auto"/>
              <w:jc w:val="center"/>
              <w:rPr>
                <w:rFonts w:hint="eastAsia"/>
                <w:sz w:val="21"/>
                <w:szCs w:val="21"/>
              </w:rPr>
            </w:pPr>
            <w:r>
              <w:rPr>
                <w:rFonts w:hint="eastAsia"/>
                <w:sz w:val="21"/>
                <w:szCs w:val="21"/>
              </w:rPr>
              <w:t>0.4/2.43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NW</w:t>
            </w:r>
          </w:p>
        </w:tc>
        <w:tc>
          <w:tcPr>
            <w:tcW w:w="1360" w:type="dxa"/>
            <w:noWrap w:val="0"/>
            <w:vAlign w:val="center"/>
          </w:tcPr>
          <w:p>
            <w:pPr>
              <w:spacing w:line="360" w:lineRule="auto"/>
              <w:jc w:val="center"/>
              <w:rPr>
                <w:rFonts w:hint="eastAsia"/>
                <w:sz w:val="21"/>
                <w:szCs w:val="21"/>
              </w:rPr>
            </w:pPr>
            <w:r>
              <w:rPr>
                <w:rFonts w:hint="eastAsia"/>
                <w:sz w:val="21"/>
                <w:szCs w:val="21"/>
              </w:rPr>
              <w:t>1.70/3.1</w:t>
            </w:r>
          </w:p>
        </w:tc>
        <w:tc>
          <w:tcPr>
            <w:tcW w:w="1316" w:type="dxa"/>
            <w:noWrap w:val="0"/>
            <w:vAlign w:val="center"/>
          </w:tcPr>
          <w:p>
            <w:pPr>
              <w:spacing w:line="360" w:lineRule="auto"/>
              <w:jc w:val="center"/>
              <w:rPr>
                <w:rFonts w:hint="eastAsia"/>
                <w:sz w:val="21"/>
                <w:szCs w:val="21"/>
              </w:rPr>
            </w:pPr>
            <w:r>
              <w:rPr>
                <w:rFonts w:hint="eastAsia"/>
                <w:sz w:val="21"/>
                <w:szCs w:val="21"/>
              </w:rPr>
              <w:t>2.4/2.7</w:t>
            </w:r>
          </w:p>
        </w:tc>
        <w:tc>
          <w:tcPr>
            <w:tcW w:w="1460" w:type="dxa"/>
            <w:noWrap w:val="0"/>
            <w:vAlign w:val="center"/>
          </w:tcPr>
          <w:p>
            <w:pPr>
              <w:spacing w:line="360" w:lineRule="auto"/>
              <w:jc w:val="center"/>
              <w:rPr>
                <w:rFonts w:hint="eastAsia"/>
                <w:sz w:val="21"/>
                <w:szCs w:val="21"/>
              </w:rPr>
            </w:pPr>
            <w:r>
              <w:rPr>
                <w:rFonts w:hint="eastAsia"/>
                <w:sz w:val="21"/>
                <w:szCs w:val="21"/>
              </w:rPr>
              <w:t>1.4/2.6</w:t>
            </w:r>
          </w:p>
        </w:tc>
        <w:tc>
          <w:tcPr>
            <w:tcW w:w="1509" w:type="dxa"/>
            <w:noWrap w:val="0"/>
            <w:vAlign w:val="center"/>
          </w:tcPr>
          <w:p>
            <w:pPr>
              <w:spacing w:line="360" w:lineRule="auto"/>
              <w:jc w:val="center"/>
              <w:rPr>
                <w:rFonts w:hint="eastAsia"/>
                <w:sz w:val="21"/>
                <w:szCs w:val="21"/>
              </w:rPr>
            </w:pPr>
            <w:r>
              <w:rPr>
                <w:rFonts w:hint="eastAsia"/>
                <w:sz w:val="21"/>
                <w:szCs w:val="21"/>
              </w:rPr>
              <w:t>0.8/3.8</w:t>
            </w:r>
          </w:p>
        </w:tc>
        <w:tc>
          <w:tcPr>
            <w:tcW w:w="1669" w:type="dxa"/>
            <w:noWrap w:val="0"/>
            <w:vAlign w:val="center"/>
          </w:tcPr>
          <w:p>
            <w:pPr>
              <w:spacing w:line="360" w:lineRule="auto"/>
              <w:jc w:val="center"/>
              <w:rPr>
                <w:rFonts w:hint="eastAsia"/>
                <w:sz w:val="21"/>
                <w:szCs w:val="21"/>
              </w:rPr>
            </w:pPr>
            <w:r>
              <w:rPr>
                <w:rFonts w:hint="eastAsia"/>
                <w:sz w:val="21"/>
                <w:szCs w:val="21"/>
              </w:rPr>
              <w:t>1.6/2.90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NNW</w:t>
            </w:r>
          </w:p>
        </w:tc>
        <w:tc>
          <w:tcPr>
            <w:tcW w:w="1360" w:type="dxa"/>
            <w:noWrap w:val="0"/>
            <w:vAlign w:val="center"/>
          </w:tcPr>
          <w:p>
            <w:pPr>
              <w:spacing w:line="360" w:lineRule="auto"/>
              <w:jc w:val="center"/>
              <w:rPr>
                <w:rFonts w:hint="eastAsia"/>
                <w:sz w:val="21"/>
                <w:szCs w:val="21"/>
              </w:rPr>
            </w:pPr>
            <w:r>
              <w:rPr>
                <w:rFonts w:hint="eastAsia"/>
                <w:sz w:val="21"/>
                <w:szCs w:val="21"/>
              </w:rPr>
              <w:t>1.00/2.8</w:t>
            </w:r>
          </w:p>
        </w:tc>
        <w:tc>
          <w:tcPr>
            <w:tcW w:w="1316" w:type="dxa"/>
            <w:noWrap w:val="0"/>
            <w:vAlign w:val="center"/>
          </w:tcPr>
          <w:p>
            <w:pPr>
              <w:spacing w:line="360" w:lineRule="auto"/>
              <w:jc w:val="center"/>
              <w:rPr>
                <w:rFonts w:hint="eastAsia"/>
                <w:sz w:val="21"/>
                <w:szCs w:val="21"/>
              </w:rPr>
            </w:pPr>
            <w:r>
              <w:rPr>
                <w:rFonts w:hint="eastAsia"/>
                <w:sz w:val="21"/>
                <w:szCs w:val="21"/>
              </w:rPr>
              <w:t>0/0</w:t>
            </w:r>
          </w:p>
        </w:tc>
        <w:tc>
          <w:tcPr>
            <w:tcW w:w="1460" w:type="dxa"/>
            <w:noWrap w:val="0"/>
            <w:vAlign w:val="center"/>
          </w:tcPr>
          <w:p>
            <w:pPr>
              <w:spacing w:line="360" w:lineRule="auto"/>
              <w:jc w:val="center"/>
              <w:rPr>
                <w:rFonts w:hint="eastAsia"/>
                <w:sz w:val="21"/>
                <w:szCs w:val="21"/>
              </w:rPr>
            </w:pPr>
            <w:r>
              <w:rPr>
                <w:rFonts w:hint="eastAsia"/>
                <w:sz w:val="21"/>
                <w:szCs w:val="21"/>
              </w:rPr>
              <w:t>1.2/4</w:t>
            </w:r>
          </w:p>
        </w:tc>
        <w:tc>
          <w:tcPr>
            <w:tcW w:w="1509" w:type="dxa"/>
            <w:noWrap w:val="0"/>
            <w:vAlign w:val="center"/>
          </w:tcPr>
          <w:p>
            <w:pPr>
              <w:spacing w:line="360" w:lineRule="auto"/>
              <w:jc w:val="center"/>
              <w:rPr>
                <w:rFonts w:hint="eastAsia"/>
                <w:sz w:val="21"/>
                <w:szCs w:val="21"/>
              </w:rPr>
            </w:pPr>
            <w:r>
              <w:rPr>
                <w:rFonts w:hint="eastAsia"/>
                <w:sz w:val="21"/>
                <w:szCs w:val="21"/>
              </w:rPr>
              <w:t>0.6/3</w:t>
            </w:r>
          </w:p>
        </w:tc>
        <w:tc>
          <w:tcPr>
            <w:tcW w:w="1669" w:type="dxa"/>
            <w:noWrap w:val="0"/>
            <w:vAlign w:val="center"/>
          </w:tcPr>
          <w:p>
            <w:pPr>
              <w:spacing w:line="360" w:lineRule="auto"/>
              <w:jc w:val="center"/>
              <w:rPr>
                <w:rFonts w:hint="eastAsia"/>
                <w:sz w:val="21"/>
                <w:szCs w:val="21"/>
              </w:rPr>
            </w:pPr>
            <w:r>
              <w:rPr>
                <w:rFonts w:hint="eastAsia"/>
                <w:sz w:val="21"/>
                <w:szCs w:val="21"/>
              </w:rPr>
              <w:t>0.5/3.0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65" w:type="dxa"/>
            <w:noWrap w:val="0"/>
            <w:vAlign w:val="center"/>
          </w:tcPr>
          <w:p>
            <w:pPr>
              <w:spacing w:line="360" w:lineRule="auto"/>
              <w:jc w:val="center"/>
              <w:rPr>
                <w:rFonts w:hint="eastAsia"/>
                <w:sz w:val="21"/>
                <w:szCs w:val="21"/>
              </w:rPr>
            </w:pPr>
            <w:r>
              <w:rPr>
                <w:rFonts w:hint="eastAsia"/>
                <w:sz w:val="21"/>
                <w:szCs w:val="21"/>
              </w:rPr>
              <w:t>C</w:t>
            </w:r>
          </w:p>
        </w:tc>
        <w:tc>
          <w:tcPr>
            <w:tcW w:w="1360" w:type="dxa"/>
            <w:noWrap w:val="0"/>
            <w:vAlign w:val="center"/>
          </w:tcPr>
          <w:p>
            <w:pPr>
              <w:spacing w:line="360" w:lineRule="auto"/>
              <w:jc w:val="center"/>
              <w:rPr>
                <w:rFonts w:hint="eastAsia"/>
                <w:sz w:val="21"/>
                <w:szCs w:val="21"/>
              </w:rPr>
            </w:pPr>
            <w:r>
              <w:rPr>
                <w:rFonts w:hint="eastAsia"/>
                <w:sz w:val="21"/>
                <w:szCs w:val="21"/>
              </w:rPr>
              <w:t>59.80/0</w:t>
            </w:r>
          </w:p>
        </w:tc>
        <w:tc>
          <w:tcPr>
            <w:tcW w:w="1316" w:type="dxa"/>
            <w:noWrap w:val="0"/>
            <w:vAlign w:val="center"/>
          </w:tcPr>
          <w:p>
            <w:pPr>
              <w:spacing w:line="360" w:lineRule="auto"/>
              <w:jc w:val="center"/>
              <w:rPr>
                <w:rFonts w:hint="eastAsia"/>
                <w:sz w:val="21"/>
                <w:szCs w:val="21"/>
              </w:rPr>
            </w:pPr>
            <w:r>
              <w:rPr>
                <w:rFonts w:hint="eastAsia"/>
                <w:sz w:val="21"/>
                <w:szCs w:val="21"/>
              </w:rPr>
              <w:t>57.5/0</w:t>
            </w:r>
          </w:p>
        </w:tc>
        <w:tc>
          <w:tcPr>
            <w:tcW w:w="1460" w:type="dxa"/>
            <w:noWrap w:val="0"/>
            <w:vAlign w:val="center"/>
          </w:tcPr>
          <w:p>
            <w:pPr>
              <w:spacing w:line="360" w:lineRule="auto"/>
              <w:jc w:val="center"/>
              <w:rPr>
                <w:rFonts w:hint="eastAsia"/>
                <w:sz w:val="21"/>
                <w:szCs w:val="21"/>
              </w:rPr>
            </w:pPr>
            <w:r>
              <w:rPr>
                <w:rFonts w:hint="eastAsia"/>
                <w:sz w:val="21"/>
                <w:szCs w:val="21"/>
              </w:rPr>
              <w:t>77.6/0</w:t>
            </w:r>
          </w:p>
        </w:tc>
        <w:tc>
          <w:tcPr>
            <w:tcW w:w="1509" w:type="dxa"/>
            <w:noWrap w:val="0"/>
            <w:vAlign w:val="center"/>
          </w:tcPr>
          <w:p>
            <w:pPr>
              <w:spacing w:line="360" w:lineRule="auto"/>
              <w:jc w:val="center"/>
              <w:rPr>
                <w:rFonts w:hint="eastAsia"/>
                <w:sz w:val="21"/>
                <w:szCs w:val="21"/>
              </w:rPr>
            </w:pPr>
            <w:r>
              <w:rPr>
                <w:rFonts w:hint="eastAsia"/>
                <w:sz w:val="21"/>
                <w:szCs w:val="21"/>
              </w:rPr>
              <w:t>70.2/0</w:t>
            </w:r>
          </w:p>
        </w:tc>
        <w:tc>
          <w:tcPr>
            <w:tcW w:w="1669" w:type="dxa"/>
            <w:noWrap w:val="0"/>
            <w:vAlign w:val="center"/>
          </w:tcPr>
          <w:p>
            <w:pPr>
              <w:spacing w:line="360" w:lineRule="auto"/>
              <w:jc w:val="center"/>
              <w:rPr>
                <w:rFonts w:hint="eastAsia"/>
                <w:sz w:val="21"/>
                <w:szCs w:val="21"/>
              </w:rPr>
            </w:pPr>
            <w:r>
              <w:rPr>
                <w:rFonts w:hint="eastAsia"/>
                <w:sz w:val="21"/>
                <w:szCs w:val="21"/>
              </w:rPr>
              <w:t>66.3/0</w:t>
            </w:r>
          </w:p>
        </w:tc>
      </w:tr>
    </w:tbl>
    <w:p>
      <w:pPr>
        <w:adjustRightInd w:val="0"/>
        <w:snapToGrid w:val="0"/>
        <w:spacing w:line="360" w:lineRule="auto"/>
        <w:ind w:firstLine="562" w:firstLineChars="200"/>
        <w:rPr>
          <w:rFonts w:hint="eastAsia"/>
          <w:b/>
          <w:sz w:val="28"/>
          <w:szCs w:val="28"/>
        </w:rPr>
      </w:pPr>
    </w:p>
    <w:p>
      <w:pPr>
        <w:spacing w:line="360" w:lineRule="auto"/>
        <w:rPr>
          <w:b/>
        </w:rPr>
      </w:pPr>
      <w:r>
        <w:rPr>
          <w:rFonts w:hint="eastAsia"/>
          <w:b/>
        </w:rPr>
        <w:t>8</w:t>
      </w:r>
      <w:r>
        <w:rPr>
          <w:b/>
        </w:rPr>
        <w:t>.1.2营运期大气环境影响预测与评价</w:t>
      </w:r>
    </w:p>
    <w:p>
      <w:pPr>
        <w:adjustRightInd w:val="0"/>
        <w:snapToGrid w:val="0"/>
        <w:spacing w:line="360" w:lineRule="auto"/>
        <w:ind w:firstLine="315" w:firstLineChars="150"/>
      </w:pPr>
      <w:r>
        <w:t>（1）污染源计算清单</w:t>
      </w:r>
    </w:p>
    <w:p>
      <w:pPr>
        <w:adjustRightInd w:val="0"/>
        <w:snapToGrid w:val="0"/>
        <w:spacing w:line="360" w:lineRule="auto"/>
        <w:ind w:firstLine="480"/>
      </w:pPr>
      <w:r>
        <w:t>对技改项目点源进行调查核算，结果见表</w:t>
      </w:r>
      <w:r>
        <w:rPr>
          <w:rFonts w:hint="eastAsia"/>
        </w:rPr>
        <w:t>8</w:t>
      </w:r>
      <w:r>
        <w:t>-</w:t>
      </w:r>
      <w:r>
        <w:rPr>
          <w:rFonts w:hint="eastAsia"/>
        </w:rPr>
        <w:t>4</w:t>
      </w:r>
      <w:r>
        <w:t>。</w:t>
      </w:r>
    </w:p>
    <w:p>
      <w:pPr>
        <w:adjustRightInd w:val="0"/>
        <w:snapToGrid w:val="0"/>
        <w:spacing w:line="360" w:lineRule="auto"/>
        <w:ind w:firstLine="420" w:firstLineChars="200"/>
      </w:pPr>
      <w:r>
        <w:t>（2）计算点的确定</w:t>
      </w:r>
    </w:p>
    <w:p>
      <w:pPr>
        <w:adjustRightInd w:val="0"/>
        <w:snapToGrid w:val="0"/>
        <w:spacing w:line="360" w:lineRule="auto"/>
        <w:ind w:firstLine="480"/>
      </w:pPr>
      <w:r>
        <w:rPr>
          <w:rFonts w:hint="eastAsia" w:ascii="宋体" w:hAnsi="宋体" w:cs="宋体"/>
        </w:rPr>
        <w:t>◆</w:t>
      </w:r>
      <w:r>
        <w:t>环境保护目标点</w:t>
      </w:r>
    </w:p>
    <w:p>
      <w:pPr>
        <w:adjustRightInd w:val="0"/>
        <w:snapToGrid w:val="0"/>
        <w:spacing w:line="360" w:lineRule="auto"/>
        <w:ind w:firstLine="480"/>
      </w:pPr>
      <w:r>
        <w:t>根据现状调查，确定的环境影响预测点坐标见表</w:t>
      </w:r>
      <w:r>
        <w:rPr>
          <w:rFonts w:hint="eastAsia"/>
        </w:rPr>
        <w:t>8</w:t>
      </w:r>
      <w:r>
        <w:t>-</w:t>
      </w:r>
      <w:r>
        <w:rPr>
          <w:rFonts w:hint="eastAsia"/>
        </w:rPr>
        <w:t>5</w:t>
      </w:r>
      <w:r>
        <w:t>。</w:t>
      </w:r>
    </w:p>
    <w:p>
      <w:pPr>
        <w:adjustRightInd w:val="0"/>
        <w:snapToGrid w:val="0"/>
        <w:spacing w:line="360" w:lineRule="auto"/>
        <w:ind w:firstLine="480"/>
      </w:pPr>
      <w:r>
        <w:rPr>
          <w:rFonts w:hint="eastAsia" w:ascii="宋体" w:hAnsi="宋体" w:cs="宋体"/>
        </w:rPr>
        <w:t>◆</w:t>
      </w:r>
      <w:r>
        <w:t>计算网格点</w:t>
      </w:r>
    </w:p>
    <w:p>
      <w:pPr>
        <w:adjustRightInd w:val="0"/>
        <w:snapToGrid w:val="0"/>
        <w:spacing w:line="360" w:lineRule="auto"/>
        <w:ind w:firstLine="480"/>
      </w:pPr>
      <w:r>
        <w:t>采用直角从标网格，</w:t>
      </w:r>
      <w:r>
        <w:rPr>
          <w:rFonts w:hint="eastAsia"/>
        </w:rPr>
        <w:t>考虑到评价范围较大，</w:t>
      </w:r>
      <w:r>
        <w:t>根据导则要求，预测网格点采用</w:t>
      </w:r>
      <w:r>
        <w:rPr>
          <w:rFonts w:hint="eastAsia"/>
        </w:rPr>
        <w:t>网格等间距法</w:t>
      </w:r>
      <w:r>
        <w:t>布置，</w:t>
      </w:r>
      <w:r>
        <w:rPr>
          <w:rFonts w:hint="eastAsia"/>
        </w:rPr>
        <w:t>距离源中心≤1000m，网格间距为50m；距离源中心＞1000m，</w:t>
      </w:r>
      <w:r>
        <w:t>网格间距</w:t>
      </w:r>
      <w:r>
        <w:rPr>
          <w:rFonts w:hint="eastAsia"/>
        </w:rPr>
        <w:t>X轴</w:t>
      </w:r>
      <w:r>
        <w:t>为1</w:t>
      </w:r>
      <w:r>
        <w:rPr>
          <w:rFonts w:hint="eastAsia"/>
        </w:rPr>
        <w:t>4</w:t>
      </w:r>
      <w:r>
        <w:t>0m，</w:t>
      </w:r>
      <w:r>
        <w:rPr>
          <w:rFonts w:hint="eastAsia"/>
        </w:rPr>
        <w:t>Y轴为170m</w:t>
      </w:r>
      <w:r>
        <w:t>。计算网格见图</w:t>
      </w:r>
      <w:r>
        <w:rPr>
          <w:rFonts w:hint="eastAsia"/>
        </w:rPr>
        <w:t>8</w:t>
      </w:r>
      <w:r>
        <w:t>.</w:t>
      </w:r>
      <w:r>
        <w:rPr>
          <w:rFonts w:hint="eastAsia"/>
        </w:rPr>
        <w:t>4</w:t>
      </w:r>
      <w:r>
        <w:t>。</w:t>
      </w:r>
    </w:p>
    <w:p>
      <w:pPr>
        <w:adjustRightInd w:val="0"/>
        <w:snapToGrid w:val="0"/>
        <w:spacing w:line="360" w:lineRule="auto"/>
        <w:ind w:firstLine="420" w:firstLineChars="200"/>
      </w:pPr>
      <w:r>
        <w:t>（3）气象条件</w:t>
      </w:r>
    </w:p>
    <w:p>
      <w:pPr>
        <w:adjustRightInd w:val="0"/>
        <w:snapToGrid w:val="0"/>
        <w:spacing w:line="360" w:lineRule="auto"/>
        <w:ind w:firstLine="420" w:firstLineChars="200"/>
        <w:rPr>
          <w:rFonts w:hint="eastAsia"/>
          <w:b/>
          <w:sz w:val="28"/>
          <w:szCs w:val="28"/>
        </w:rPr>
        <w:sectPr>
          <w:pgSz w:w="11906" w:h="16838"/>
          <w:pgMar w:top="1440" w:right="1418" w:bottom="1440" w:left="1418" w:header="851" w:footer="992" w:gutter="0"/>
          <w:paperSrc w:first="20070" w:other="20070"/>
          <w:cols w:space="425" w:num="1"/>
          <w:docGrid w:linePitch="312" w:charSpace="0"/>
        </w:sectPr>
      </w:pPr>
      <w:r>
        <w:t>利用沙坪坝区气象站200</w:t>
      </w:r>
      <w:r>
        <w:rPr>
          <w:rFonts w:hint="eastAsia"/>
        </w:rPr>
        <w:t>7</w:t>
      </w:r>
      <w:r>
        <w:t>年</w:t>
      </w:r>
      <w:r>
        <w:rPr>
          <w:rFonts w:hint="eastAsia"/>
        </w:rPr>
        <w:t>全年</w:t>
      </w:r>
      <w:r>
        <w:t>的逐日逐时风向、风速统计出的风玫瑰图见图</w:t>
      </w:r>
      <w:r>
        <w:rPr>
          <w:rFonts w:hint="eastAsia"/>
        </w:rPr>
        <w:t>8</w:t>
      </w:r>
      <w:r>
        <w:t>.</w:t>
      </w:r>
      <w:r>
        <w:rPr>
          <w:rFonts w:hint="eastAsia"/>
        </w:rPr>
        <w:t>5</w:t>
      </w:r>
      <w:r>
        <w:t>。</w:t>
      </w:r>
    </w:p>
    <w:p>
      <w:pPr>
        <w:adjustRightInd w:val="0"/>
        <w:snapToGrid w:val="0"/>
        <w:spacing w:line="348" w:lineRule="auto"/>
        <w:jc w:val="center"/>
        <w:rPr>
          <w:rFonts w:hint="eastAsia"/>
          <w:b/>
          <w:sz w:val="28"/>
          <w:szCs w:val="28"/>
        </w:rPr>
      </w:pPr>
      <w:r>
        <w:rPr>
          <w:rFonts w:hint="eastAsia"/>
          <w:b/>
          <w:sz w:val="28"/>
          <w:szCs w:val="28"/>
        </w:rPr>
        <w:drawing>
          <wp:anchor distT="0" distB="0" distL="114300" distR="114300" simplePos="0" relativeHeight="251859968" behindDoc="0" locked="0" layoutInCell="1" allowOverlap="1">
            <wp:simplePos x="0" y="0"/>
            <wp:positionH relativeFrom="column">
              <wp:posOffset>100330</wp:posOffset>
            </wp:positionH>
            <wp:positionV relativeFrom="paragraph">
              <wp:posOffset>-283210</wp:posOffset>
            </wp:positionV>
            <wp:extent cx="8467725" cy="5447030"/>
            <wp:effectExtent l="0" t="0" r="9525" b="1270"/>
            <wp:wrapNone/>
            <wp:docPr id="376" name="图片 361" descr="风向玫瑰图（白市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61" descr="风向玫瑰图（白市驿）"/>
                    <pic:cNvPicPr>
                      <a:picLocks noChangeAspect="1"/>
                    </pic:cNvPicPr>
                  </pic:nvPicPr>
                  <pic:blipFill>
                    <a:blip r:embed="rId47"/>
                    <a:stretch>
                      <a:fillRect/>
                    </a:stretch>
                  </pic:blipFill>
                  <pic:spPr>
                    <a:xfrm>
                      <a:off x="0" y="0"/>
                      <a:ext cx="8467725" cy="5447030"/>
                    </a:xfrm>
                    <a:prstGeom prst="rect">
                      <a:avLst/>
                    </a:prstGeom>
                    <a:noFill/>
                    <a:ln>
                      <a:noFill/>
                    </a:ln>
                  </pic:spPr>
                </pic:pic>
              </a:graphicData>
            </a:graphic>
          </wp:anchor>
        </w:drawing>
      </w:r>
    </w:p>
    <w:p>
      <w:pPr>
        <w:adjustRightInd w:val="0"/>
        <w:snapToGrid w:val="0"/>
        <w:spacing w:line="348" w:lineRule="auto"/>
        <w:jc w:val="center"/>
        <w:rPr>
          <w:rFonts w:hint="eastAsia"/>
          <w:b/>
          <w:sz w:val="28"/>
          <w:szCs w:val="28"/>
        </w:rPr>
      </w:pPr>
    </w:p>
    <w:p>
      <w:pPr>
        <w:adjustRightInd w:val="0"/>
        <w:snapToGrid w:val="0"/>
        <w:spacing w:line="348" w:lineRule="auto"/>
        <w:jc w:val="center"/>
        <w:rPr>
          <w:rFonts w:hint="eastAsia"/>
          <w:b/>
          <w:sz w:val="28"/>
          <w:szCs w:val="28"/>
        </w:rPr>
      </w:pPr>
    </w:p>
    <w:p>
      <w:pPr>
        <w:adjustRightInd w:val="0"/>
        <w:snapToGrid w:val="0"/>
        <w:spacing w:line="348" w:lineRule="auto"/>
        <w:jc w:val="center"/>
        <w:rPr>
          <w:rFonts w:hint="eastAsia"/>
          <w:b/>
          <w:sz w:val="28"/>
          <w:szCs w:val="28"/>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outlineLvl w:val="0"/>
        <w:rPr>
          <w:rFonts w:hint="eastAsia"/>
          <w:b/>
          <w:snapToGrid w:val="0"/>
          <w:kern w:val="0"/>
        </w:rPr>
      </w:pPr>
    </w:p>
    <w:p>
      <w:pPr>
        <w:spacing w:line="360" w:lineRule="auto"/>
        <w:jc w:val="center"/>
      </w:pPr>
      <w:r>
        <w:rPr>
          <w:b/>
          <w:snapToGrid w:val="0"/>
          <w:kern w:val="0"/>
        </w:rPr>
        <w:t>图</w:t>
      </w:r>
      <w:r>
        <w:rPr>
          <w:rFonts w:hint="eastAsia"/>
          <w:b/>
          <w:snapToGrid w:val="0"/>
          <w:kern w:val="0"/>
        </w:rPr>
        <w:t>8</w:t>
      </w:r>
      <w:r>
        <w:rPr>
          <w:b/>
          <w:snapToGrid w:val="0"/>
          <w:kern w:val="0"/>
        </w:rPr>
        <w:t>.</w:t>
      </w:r>
      <w:r>
        <w:rPr>
          <w:rFonts w:hint="eastAsia"/>
          <w:b/>
          <w:snapToGrid w:val="0"/>
          <w:kern w:val="0"/>
        </w:rPr>
        <w:t>3</w:t>
      </w:r>
      <w:r>
        <w:rPr>
          <w:b/>
          <w:snapToGrid w:val="0"/>
          <w:kern w:val="0"/>
        </w:rPr>
        <w:t xml:space="preserve">  沙坪坝区</w:t>
      </w:r>
      <w:r>
        <w:rPr>
          <w:rFonts w:hint="eastAsia"/>
          <w:b/>
          <w:snapToGrid w:val="0"/>
          <w:kern w:val="0"/>
        </w:rPr>
        <w:t>白市驿</w:t>
      </w:r>
      <w:r>
        <w:rPr>
          <w:b/>
          <w:snapToGrid w:val="0"/>
          <w:kern w:val="0"/>
        </w:rPr>
        <w:t>各季及全年风频玫瑰图</w:t>
      </w:r>
    </w:p>
    <w:p>
      <w:pPr>
        <w:pStyle w:val="29"/>
        <w:rPr>
          <w:rFonts w:eastAsia="宋体"/>
          <w:b/>
          <w:sz w:val="24"/>
          <w:szCs w:val="24"/>
        </w:rPr>
      </w:pPr>
      <w:r>
        <w:rPr>
          <w:rFonts w:eastAsia="宋体"/>
          <w:b/>
          <w:sz w:val="24"/>
          <w:szCs w:val="24"/>
        </w:rPr>
        <w:t>表</w:t>
      </w:r>
      <w:r>
        <w:rPr>
          <w:rFonts w:hint="eastAsia" w:eastAsia="宋体"/>
          <w:b/>
          <w:sz w:val="24"/>
          <w:szCs w:val="24"/>
        </w:rPr>
        <w:t>8</w:t>
      </w:r>
      <w:r>
        <w:rPr>
          <w:rFonts w:eastAsia="宋体"/>
          <w:b/>
          <w:sz w:val="24"/>
          <w:szCs w:val="24"/>
        </w:rPr>
        <w:t>-</w:t>
      </w:r>
      <w:r>
        <w:rPr>
          <w:rFonts w:hint="eastAsia" w:eastAsia="宋体"/>
          <w:b/>
          <w:sz w:val="24"/>
          <w:szCs w:val="24"/>
        </w:rPr>
        <w:t>4</w:t>
      </w:r>
      <w:r>
        <w:rPr>
          <w:rFonts w:eastAsia="宋体"/>
          <w:b/>
          <w:sz w:val="24"/>
          <w:szCs w:val="24"/>
        </w:rPr>
        <w:t xml:space="preserve">  正常条件下有组织排放的废气源强参数</w:t>
      </w:r>
    </w:p>
    <w:tbl>
      <w:tblPr>
        <w:tblStyle w:val="20"/>
        <w:tblW w:w="13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076"/>
        <w:gridCol w:w="900"/>
        <w:gridCol w:w="1080"/>
        <w:gridCol w:w="1440"/>
        <w:gridCol w:w="900"/>
        <w:gridCol w:w="900"/>
        <w:gridCol w:w="1080"/>
        <w:gridCol w:w="1080"/>
        <w:gridCol w:w="1080"/>
        <w:gridCol w:w="710"/>
        <w:gridCol w:w="72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814" w:type="dxa"/>
            <w:noWrap w:val="0"/>
            <w:vAlign w:val="center"/>
          </w:tcPr>
          <w:p>
            <w:pPr>
              <w:snapToGrid w:val="0"/>
              <w:spacing w:line="360" w:lineRule="exact"/>
              <w:jc w:val="center"/>
              <w:rPr>
                <w:snapToGrid w:val="0"/>
                <w:kern w:val="0"/>
                <w:sz w:val="21"/>
                <w:szCs w:val="21"/>
              </w:rPr>
            </w:pPr>
            <w:r>
              <w:rPr>
                <w:snapToGrid w:val="0"/>
                <w:kern w:val="0"/>
                <w:sz w:val="21"/>
                <w:szCs w:val="21"/>
              </w:rPr>
              <w:t>序号</w:t>
            </w:r>
          </w:p>
        </w:tc>
        <w:tc>
          <w:tcPr>
            <w:tcW w:w="2076"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污染源名称</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X坐标m</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Y坐标</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m</w:t>
            </w:r>
          </w:p>
        </w:tc>
        <w:tc>
          <w:tcPr>
            <w:tcW w:w="144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排气筒底部</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海拔高度m</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高度m</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排气筒</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内径m</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烟气出口</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速度m/s</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烟气出口</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温度</w:t>
            </w:r>
            <w:r>
              <w:rPr>
                <w:rFonts w:ascii="Times New Roman" w:hAnsi="宋体"/>
                <w:sz w:val="21"/>
                <w:szCs w:val="21"/>
              </w:rPr>
              <w:t>℃</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年排放</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小时数h</w:t>
            </w:r>
          </w:p>
        </w:tc>
        <w:tc>
          <w:tcPr>
            <w:tcW w:w="71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排放</w:t>
            </w:r>
          </w:p>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因子</w:t>
            </w:r>
          </w:p>
        </w:tc>
        <w:tc>
          <w:tcPr>
            <w:tcW w:w="1630" w:type="dxa"/>
            <w:gridSpan w:val="2"/>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源强g/s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814" w:type="dxa"/>
            <w:noWrap w:val="0"/>
            <w:vAlign w:val="center"/>
          </w:tcPr>
          <w:p>
            <w:pPr>
              <w:jc w:val="center"/>
              <w:rPr>
                <w:sz w:val="21"/>
                <w:szCs w:val="21"/>
              </w:rPr>
            </w:pPr>
            <w:r>
              <w:rPr>
                <w:sz w:val="21"/>
                <w:szCs w:val="21"/>
              </w:rPr>
              <w:t>1</w:t>
            </w:r>
          </w:p>
        </w:tc>
        <w:tc>
          <w:tcPr>
            <w:tcW w:w="2076" w:type="dxa"/>
            <w:noWrap w:val="0"/>
            <w:vAlign w:val="center"/>
          </w:tcPr>
          <w:p>
            <w:pPr>
              <w:jc w:val="center"/>
              <w:rPr>
                <w:sz w:val="21"/>
                <w:szCs w:val="21"/>
              </w:rPr>
            </w:pPr>
            <w:r>
              <w:rPr>
                <w:sz w:val="21"/>
                <w:szCs w:val="21"/>
              </w:rPr>
              <w:t>石灰石破碎</w:t>
            </w:r>
          </w:p>
        </w:tc>
        <w:tc>
          <w:tcPr>
            <w:tcW w:w="900" w:type="dxa"/>
            <w:noWrap w:val="0"/>
            <w:vAlign w:val="center"/>
          </w:tcPr>
          <w:p>
            <w:pPr>
              <w:jc w:val="center"/>
              <w:rPr>
                <w:sz w:val="21"/>
                <w:szCs w:val="21"/>
              </w:rPr>
            </w:pPr>
            <w:r>
              <w:rPr>
                <w:sz w:val="21"/>
                <w:szCs w:val="21"/>
              </w:rPr>
              <w:t>624069</w:t>
            </w:r>
          </w:p>
        </w:tc>
        <w:tc>
          <w:tcPr>
            <w:tcW w:w="1080" w:type="dxa"/>
            <w:noWrap w:val="0"/>
            <w:vAlign w:val="center"/>
          </w:tcPr>
          <w:p>
            <w:pPr>
              <w:jc w:val="center"/>
              <w:rPr>
                <w:sz w:val="21"/>
                <w:szCs w:val="21"/>
              </w:rPr>
            </w:pPr>
            <w:r>
              <w:rPr>
                <w:sz w:val="21"/>
                <w:szCs w:val="21"/>
              </w:rPr>
              <w:t>3283035</w:t>
            </w:r>
          </w:p>
        </w:tc>
        <w:tc>
          <w:tcPr>
            <w:tcW w:w="1440" w:type="dxa"/>
            <w:noWrap w:val="0"/>
            <w:vAlign w:val="center"/>
          </w:tcPr>
          <w:p>
            <w:pPr>
              <w:pStyle w:val="28"/>
              <w:spacing w:line="240" w:lineRule="exact"/>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35</w:t>
            </w:r>
          </w:p>
        </w:tc>
        <w:tc>
          <w:tcPr>
            <w:tcW w:w="900" w:type="dxa"/>
            <w:noWrap w:val="0"/>
            <w:vAlign w:val="center"/>
          </w:tcPr>
          <w:p>
            <w:pPr>
              <w:pStyle w:val="28"/>
              <w:spacing w:line="240" w:lineRule="exact"/>
              <w:jc w:val="center"/>
              <w:rPr>
                <w:sz w:val="21"/>
                <w:szCs w:val="21"/>
              </w:rPr>
            </w:pPr>
            <w:r>
              <w:rPr>
                <w:sz w:val="21"/>
                <w:szCs w:val="21"/>
              </w:rPr>
              <w:t>0.85</w:t>
            </w:r>
          </w:p>
        </w:tc>
        <w:tc>
          <w:tcPr>
            <w:tcW w:w="1080" w:type="dxa"/>
            <w:noWrap w:val="0"/>
            <w:vAlign w:val="center"/>
          </w:tcPr>
          <w:p>
            <w:pPr>
              <w:pStyle w:val="28"/>
              <w:spacing w:line="240" w:lineRule="exact"/>
              <w:jc w:val="center"/>
              <w:rPr>
                <w:sz w:val="21"/>
                <w:szCs w:val="21"/>
              </w:rPr>
            </w:pPr>
            <w:r>
              <w:rPr>
                <w:sz w:val="21"/>
                <w:szCs w:val="21"/>
              </w:rPr>
              <w:t>10.285</w:t>
            </w:r>
          </w:p>
        </w:tc>
        <w:tc>
          <w:tcPr>
            <w:tcW w:w="1080" w:type="dxa"/>
            <w:noWrap w:val="0"/>
            <w:vAlign w:val="center"/>
          </w:tcPr>
          <w:p>
            <w:pPr>
              <w:pStyle w:val="28"/>
              <w:spacing w:line="240" w:lineRule="exact"/>
              <w:jc w:val="center"/>
              <w:rPr>
                <w:sz w:val="21"/>
                <w:szCs w:val="21"/>
              </w:rPr>
            </w:pPr>
            <w:r>
              <w:rPr>
                <w:sz w:val="21"/>
                <w:szCs w:val="21"/>
              </w:rPr>
              <w:t>20</w:t>
            </w:r>
          </w:p>
        </w:tc>
        <w:tc>
          <w:tcPr>
            <w:tcW w:w="1080" w:type="dxa"/>
            <w:noWrap w:val="0"/>
            <w:vAlign w:val="center"/>
          </w:tcPr>
          <w:p>
            <w:pPr>
              <w:pStyle w:val="28"/>
              <w:spacing w:line="240" w:lineRule="exact"/>
              <w:jc w:val="center"/>
              <w:rPr>
                <w:sz w:val="21"/>
                <w:szCs w:val="21"/>
              </w:rPr>
            </w:pPr>
            <w:r>
              <w:rPr>
                <w:sz w:val="21"/>
                <w:szCs w:val="21"/>
              </w:rPr>
              <w:t>2188</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sz w:val="21"/>
                <w:szCs w:val="21"/>
              </w:rPr>
            </w:pPr>
            <w:r>
              <w:rPr>
                <w:sz w:val="21"/>
                <w:szCs w:val="21"/>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814" w:type="dxa"/>
            <w:noWrap w:val="0"/>
            <w:vAlign w:val="center"/>
          </w:tcPr>
          <w:p>
            <w:pPr>
              <w:jc w:val="center"/>
              <w:rPr>
                <w:sz w:val="21"/>
                <w:szCs w:val="21"/>
              </w:rPr>
            </w:pPr>
            <w:r>
              <w:rPr>
                <w:sz w:val="21"/>
                <w:szCs w:val="21"/>
              </w:rPr>
              <w:t>2</w:t>
            </w:r>
          </w:p>
        </w:tc>
        <w:tc>
          <w:tcPr>
            <w:tcW w:w="2076" w:type="dxa"/>
            <w:noWrap w:val="0"/>
            <w:vAlign w:val="center"/>
          </w:tcPr>
          <w:p>
            <w:pPr>
              <w:jc w:val="center"/>
              <w:rPr>
                <w:sz w:val="21"/>
                <w:szCs w:val="21"/>
              </w:rPr>
            </w:pPr>
            <w:r>
              <w:rPr>
                <w:sz w:val="21"/>
                <w:szCs w:val="21"/>
              </w:rPr>
              <w:t>石灰石均化</w:t>
            </w:r>
          </w:p>
        </w:tc>
        <w:tc>
          <w:tcPr>
            <w:tcW w:w="900" w:type="dxa"/>
            <w:noWrap w:val="0"/>
            <w:vAlign w:val="center"/>
          </w:tcPr>
          <w:p>
            <w:pPr>
              <w:jc w:val="center"/>
              <w:rPr>
                <w:rFonts w:hint="eastAsia"/>
                <w:sz w:val="21"/>
                <w:szCs w:val="21"/>
              </w:rPr>
            </w:pPr>
            <w:r>
              <w:rPr>
                <w:rFonts w:hint="eastAsia"/>
                <w:sz w:val="21"/>
                <w:szCs w:val="21"/>
              </w:rPr>
              <w:t>624089</w:t>
            </w:r>
          </w:p>
        </w:tc>
        <w:tc>
          <w:tcPr>
            <w:tcW w:w="1080" w:type="dxa"/>
            <w:noWrap w:val="0"/>
            <w:vAlign w:val="center"/>
          </w:tcPr>
          <w:p>
            <w:pPr>
              <w:jc w:val="center"/>
              <w:rPr>
                <w:rFonts w:hint="eastAsia"/>
                <w:sz w:val="21"/>
                <w:szCs w:val="21"/>
              </w:rPr>
            </w:pPr>
            <w:r>
              <w:rPr>
                <w:rFonts w:hint="eastAsia"/>
                <w:sz w:val="21"/>
                <w:szCs w:val="21"/>
              </w:rPr>
              <w:t>3283038</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rFonts w:hint="eastAsia"/>
                <w:sz w:val="21"/>
                <w:szCs w:val="21"/>
              </w:rPr>
            </w:pPr>
            <w:r>
              <w:rPr>
                <w:rFonts w:hint="eastAsia"/>
                <w:sz w:val="21"/>
                <w:szCs w:val="21"/>
              </w:rPr>
              <w:t>0.86</w:t>
            </w:r>
          </w:p>
        </w:tc>
        <w:tc>
          <w:tcPr>
            <w:tcW w:w="1080" w:type="dxa"/>
            <w:noWrap w:val="0"/>
            <w:vAlign w:val="center"/>
          </w:tcPr>
          <w:p>
            <w:pPr>
              <w:pStyle w:val="28"/>
              <w:spacing w:line="240" w:lineRule="exact"/>
              <w:jc w:val="center"/>
              <w:rPr>
                <w:sz w:val="21"/>
                <w:szCs w:val="21"/>
              </w:rPr>
            </w:pPr>
            <w:r>
              <w:rPr>
                <w:sz w:val="21"/>
                <w:szCs w:val="21"/>
              </w:rPr>
              <w:t>12.144</w:t>
            </w:r>
          </w:p>
        </w:tc>
        <w:tc>
          <w:tcPr>
            <w:tcW w:w="1080" w:type="dxa"/>
            <w:noWrap w:val="0"/>
            <w:vAlign w:val="center"/>
          </w:tcPr>
          <w:p>
            <w:pPr>
              <w:pStyle w:val="28"/>
              <w:spacing w:line="240" w:lineRule="exact"/>
              <w:jc w:val="center"/>
              <w:rPr>
                <w:sz w:val="21"/>
                <w:szCs w:val="21"/>
              </w:rPr>
            </w:pPr>
            <w:r>
              <w:rPr>
                <w:sz w:val="21"/>
                <w:szCs w:val="21"/>
              </w:rPr>
              <w:t>20</w:t>
            </w:r>
          </w:p>
        </w:tc>
        <w:tc>
          <w:tcPr>
            <w:tcW w:w="1080" w:type="dxa"/>
            <w:noWrap w:val="0"/>
            <w:vAlign w:val="center"/>
          </w:tcPr>
          <w:p>
            <w:pPr>
              <w:jc w:val="center"/>
              <w:rPr>
                <w:sz w:val="21"/>
                <w:szCs w:val="21"/>
              </w:rPr>
            </w:pPr>
            <w:r>
              <w:rPr>
                <w:sz w:val="21"/>
                <w:szCs w:val="21"/>
              </w:rPr>
              <w:t>3047</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814" w:type="dxa"/>
            <w:noWrap w:val="0"/>
            <w:vAlign w:val="center"/>
          </w:tcPr>
          <w:p>
            <w:pPr>
              <w:jc w:val="center"/>
              <w:rPr>
                <w:sz w:val="21"/>
                <w:szCs w:val="21"/>
              </w:rPr>
            </w:pPr>
            <w:r>
              <w:rPr>
                <w:sz w:val="21"/>
                <w:szCs w:val="21"/>
              </w:rPr>
              <w:t>3</w:t>
            </w:r>
          </w:p>
        </w:tc>
        <w:tc>
          <w:tcPr>
            <w:tcW w:w="2076" w:type="dxa"/>
            <w:noWrap w:val="0"/>
            <w:vAlign w:val="center"/>
          </w:tcPr>
          <w:p>
            <w:pPr>
              <w:jc w:val="center"/>
              <w:rPr>
                <w:sz w:val="21"/>
                <w:szCs w:val="21"/>
              </w:rPr>
            </w:pPr>
            <w:r>
              <w:rPr>
                <w:sz w:val="21"/>
                <w:szCs w:val="21"/>
              </w:rPr>
              <w:t>原煤均化及输送</w:t>
            </w:r>
          </w:p>
        </w:tc>
        <w:tc>
          <w:tcPr>
            <w:tcW w:w="900" w:type="dxa"/>
            <w:noWrap w:val="0"/>
            <w:vAlign w:val="center"/>
          </w:tcPr>
          <w:p>
            <w:pPr>
              <w:jc w:val="center"/>
              <w:rPr>
                <w:rFonts w:hint="eastAsia"/>
                <w:sz w:val="21"/>
                <w:szCs w:val="21"/>
              </w:rPr>
            </w:pPr>
            <w:r>
              <w:rPr>
                <w:rFonts w:hint="eastAsia"/>
                <w:sz w:val="21"/>
                <w:szCs w:val="21"/>
              </w:rPr>
              <w:t>624127</w:t>
            </w:r>
          </w:p>
        </w:tc>
        <w:tc>
          <w:tcPr>
            <w:tcW w:w="1080" w:type="dxa"/>
            <w:noWrap w:val="0"/>
            <w:vAlign w:val="center"/>
          </w:tcPr>
          <w:p>
            <w:pPr>
              <w:jc w:val="center"/>
              <w:rPr>
                <w:rFonts w:hint="eastAsia"/>
                <w:sz w:val="21"/>
                <w:szCs w:val="21"/>
              </w:rPr>
            </w:pPr>
            <w:r>
              <w:rPr>
                <w:rFonts w:hint="eastAsia"/>
                <w:sz w:val="21"/>
                <w:szCs w:val="21"/>
              </w:rPr>
              <w:t>3283193</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sz w:val="21"/>
                <w:szCs w:val="21"/>
              </w:rPr>
            </w:pPr>
            <w:r>
              <w:rPr>
                <w:rFonts w:hint="eastAsia"/>
                <w:sz w:val="21"/>
                <w:szCs w:val="21"/>
              </w:rPr>
              <w:t>0.86</w:t>
            </w:r>
          </w:p>
        </w:tc>
        <w:tc>
          <w:tcPr>
            <w:tcW w:w="1080" w:type="dxa"/>
            <w:noWrap w:val="0"/>
            <w:vAlign w:val="center"/>
          </w:tcPr>
          <w:p>
            <w:pPr>
              <w:pStyle w:val="28"/>
              <w:spacing w:line="240" w:lineRule="exact"/>
              <w:jc w:val="center"/>
              <w:rPr>
                <w:sz w:val="21"/>
                <w:szCs w:val="21"/>
              </w:rPr>
            </w:pPr>
            <w:r>
              <w:rPr>
                <w:sz w:val="21"/>
                <w:szCs w:val="21"/>
              </w:rPr>
              <w:t>12.144</w:t>
            </w:r>
          </w:p>
        </w:tc>
        <w:tc>
          <w:tcPr>
            <w:tcW w:w="1080" w:type="dxa"/>
            <w:noWrap w:val="0"/>
            <w:vAlign w:val="center"/>
          </w:tcPr>
          <w:p>
            <w:pPr>
              <w:pStyle w:val="18"/>
              <w:snapToGrid w:val="0"/>
              <w:spacing w:line="240" w:lineRule="exact"/>
              <w:jc w:val="center"/>
              <w:rPr>
                <w:sz w:val="21"/>
                <w:szCs w:val="21"/>
              </w:rPr>
            </w:pPr>
            <w:r>
              <w:rPr>
                <w:sz w:val="21"/>
                <w:szCs w:val="21"/>
              </w:rPr>
              <w:t>20</w:t>
            </w:r>
          </w:p>
        </w:tc>
        <w:tc>
          <w:tcPr>
            <w:tcW w:w="1080" w:type="dxa"/>
            <w:noWrap w:val="0"/>
            <w:vAlign w:val="center"/>
          </w:tcPr>
          <w:p>
            <w:pPr>
              <w:jc w:val="center"/>
              <w:rPr>
                <w:sz w:val="21"/>
                <w:szCs w:val="21"/>
              </w:rPr>
            </w:pPr>
            <w:r>
              <w:rPr>
                <w:sz w:val="21"/>
                <w:szCs w:val="21"/>
              </w:rPr>
              <w:t>1623</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814" w:type="dxa"/>
            <w:noWrap w:val="0"/>
            <w:vAlign w:val="center"/>
          </w:tcPr>
          <w:p>
            <w:pPr>
              <w:jc w:val="center"/>
              <w:rPr>
                <w:sz w:val="21"/>
                <w:szCs w:val="21"/>
              </w:rPr>
            </w:pPr>
            <w:r>
              <w:rPr>
                <w:sz w:val="21"/>
                <w:szCs w:val="21"/>
              </w:rPr>
              <w:t>4</w:t>
            </w:r>
          </w:p>
        </w:tc>
        <w:tc>
          <w:tcPr>
            <w:tcW w:w="2076" w:type="dxa"/>
            <w:noWrap w:val="0"/>
            <w:vAlign w:val="center"/>
          </w:tcPr>
          <w:p>
            <w:pPr>
              <w:jc w:val="center"/>
              <w:rPr>
                <w:sz w:val="21"/>
                <w:szCs w:val="21"/>
              </w:rPr>
            </w:pPr>
            <w:r>
              <w:rPr>
                <w:sz w:val="21"/>
                <w:szCs w:val="21"/>
              </w:rPr>
              <w:t>辅料均化及输送</w:t>
            </w:r>
          </w:p>
        </w:tc>
        <w:tc>
          <w:tcPr>
            <w:tcW w:w="900" w:type="dxa"/>
            <w:noWrap w:val="0"/>
            <w:vAlign w:val="center"/>
          </w:tcPr>
          <w:p>
            <w:pPr>
              <w:jc w:val="center"/>
              <w:rPr>
                <w:rFonts w:hint="eastAsia"/>
                <w:sz w:val="21"/>
                <w:szCs w:val="21"/>
              </w:rPr>
            </w:pPr>
            <w:r>
              <w:rPr>
                <w:rFonts w:hint="eastAsia"/>
                <w:sz w:val="21"/>
                <w:szCs w:val="21"/>
              </w:rPr>
              <w:t>624125</w:t>
            </w:r>
          </w:p>
        </w:tc>
        <w:tc>
          <w:tcPr>
            <w:tcW w:w="1080" w:type="dxa"/>
            <w:noWrap w:val="0"/>
            <w:vAlign w:val="center"/>
          </w:tcPr>
          <w:p>
            <w:pPr>
              <w:jc w:val="center"/>
              <w:rPr>
                <w:rFonts w:hint="eastAsia"/>
                <w:sz w:val="21"/>
                <w:szCs w:val="21"/>
              </w:rPr>
            </w:pPr>
            <w:r>
              <w:rPr>
                <w:rFonts w:hint="eastAsia"/>
                <w:sz w:val="21"/>
                <w:szCs w:val="21"/>
              </w:rPr>
              <w:t>3283094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sz w:val="21"/>
                <w:szCs w:val="21"/>
              </w:rPr>
            </w:pPr>
            <w:r>
              <w:rPr>
                <w:rFonts w:hint="eastAsia"/>
                <w:sz w:val="21"/>
                <w:szCs w:val="21"/>
              </w:rPr>
              <w:t>0.86</w:t>
            </w:r>
          </w:p>
        </w:tc>
        <w:tc>
          <w:tcPr>
            <w:tcW w:w="1080" w:type="dxa"/>
            <w:noWrap w:val="0"/>
            <w:vAlign w:val="center"/>
          </w:tcPr>
          <w:p>
            <w:pPr>
              <w:pStyle w:val="28"/>
              <w:spacing w:line="240" w:lineRule="exact"/>
              <w:jc w:val="center"/>
              <w:rPr>
                <w:sz w:val="21"/>
                <w:szCs w:val="21"/>
              </w:rPr>
            </w:pPr>
            <w:r>
              <w:rPr>
                <w:sz w:val="21"/>
                <w:szCs w:val="21"/>
              </w:rPr>
              <w:t>12.144</w:t>
            </w:r>
          </w:p>
        </w:tc>
        <w:tc>
          <w:tcPr>
            <w:tcW w:w="1080" w:type="dxa"/>
            <w:noWrap w:val="0"/>
            <w:vAlign w:val="center"/>
          </w:tcPr>
          <w:p>
            <w:pPr>
              <w:pStyle w:val="18"/>
              <w:snapToGrid w:val="0"/>
              <w:spacing w:line="240" w:lineRule="exact"/>
              <w:jc w:val="center"/>
              <w:rPr>
                <w:sz w:val="21"/>
                <w:szCs w:val="21"/>
              </w:rPr>
            </w:pPr>
            <w:r>
              <w:rPr>
                <w:sz w:val="21"/>
                <w:szCs w:val="21"/>
              </w:rPr>
              <w:t>20</w:t>
            </w:r>
          </w:p>
        </w:tc>
        <w:tc>
          <w:tcPr>
            <w:tcW w:w="1080" w:type="dxa"/>
            <w:noWrap w:val="0"/>
            <w:vAlign w:val="center"/>
          </w:tcPr>
          <w:p>
            <w:pPr>
              <w:jc w:val="center"/>
              <w:rPr>
                <w:sz w:val="21"/>
                <w:szCs w:val="21"/>
              </w:rPr>
            </w:pPr>
            <w:r>
              <w:rPr>
                <w:sz w:val="21"/>
                <w:szCs w:val="21"/>
              </w:rPr>
              <w:t>1649</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814" w:type="dxa"/>
            <w:noWrap w:val="0"/>
            <w:vAlign w:val="center"/>
          </w:tcPr>
          <w:p>
            <w:pPr>
              <w:jc w:val="center"/>
              <w:rPr>
                <w:sz w:val="21"/>
                <w:szCs w:val="21"/>
              </w:rPr>
            </w:pPr>
            <w:r>
              <w:rPr>
                <w:sz w:val="21"/>
                <w:szCs w:val="21"/>
              </w:rPr>
              <w:t>5</w:t>
            </w:r>
          </w:p>
        </w:tc>
        <w:tc>
          <w:tcPr>
            <w:tcW w:w="2076" w:type="dxa"/>
            <w:noWrap w:val="0"/>
            <w:vAlign w:val="center"/>
          </w:tcPr>
          <w:p>
            <w:pPr>
              <w:jc w:val="center"/>
              <w:rPr>
                <w:sz w:val="21"/>
                <w:szCs w:val="21"/>
              </w:rPr>
            </w:pPr>
            <w:r>
              <w:rPr>
                <w:sz w:val="21"/>
                <w:szCs w:val="21"/>
              </w:rPr>
              <w:t>原料配料库顶</w:t>
            </w:r>
          </w:p>
        </w:tc>
        <w:tc>
          <w:tcPr>
            <w:tcW w:w="900" w:type="dxa"/>
            <w:noWrap w:val="0"/>
            <w:vAlign w:val="center"/>
          </w:tcPr>
          <w:p>
            <w:pPr>
              <w:jc w:val="center"/>
              <w:rPr>
                <w:rFonts w:hint="eastAsia"/>
                <w:sz w:val="21"/>
                <w:szCs w:val="21"/>
              </w:rPr>
            </w:pPr>
            <w:r>
              <w:rPr>
                <w:rFonts w:hint="eastAsia"/>
                <w:sz w:val="21"/>
                <w:szCs w:val="21"/>
              </w:rPr>
              <w:t>624133</w:t>
            </w:r>
          </w:p>
        </w:tc>
        <w:tc>
          <w:tcPr>
            <w:tcW w:w="1080" w:type="dxa"/>
            <w:noWrap w:val="0"/>
            <w:vAlign w:val="center"/>
          </w:tcPr>
          <w:p>
            <w:pPr>
              <w:jc w:val="center"/>
              <w:rPr>
                <w:rFonts w:hint="eastAsia"/>
                <w:sz w:val="21"/>
                <w:szCs w:val="21"/>
              </w:rPr>
            </w:pPr>
            <w:r>
              <w:rPr>
                <w:rFonts w:hint="eastAsia"/>
                <w:sz w:val="21"/>
                <w:szCs w:val="21"/>
              </w:rPr>
              <w:t>3283074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30</w:t>
            </w:r>
          </w:p>
        </w:tc>
        <w:tc>
          <w:tcPr>
            <w:tcW w:w="900" w:type="dxa"/>
            <w:noWrap w:val="0"/>
            <w:vAlign w:val="center"/>
          </w:tcPr>
          <w:p>
            <w:pPr>
              <w:pStyle w:val="28"/>
              <w:spacing w:line="240" w:lineRule="exact"/>
              <w:jc w:val="center"/>
              <w:rPr>
                <w:rFonts w:hint="eastAsia"/>
                <w:sz w:val="21"/>
                <w:szCs w:val="21"/>
              </w:rPr>
            </w:pPr>
            <w:r>
              <w:rPr>
                <w:rFonts w:hint="eastAsia"/>
                <w:sz w:val="21"/>
                <w:szCs w:val="21"/>
              </w:rPr>
              <w:t>0.9</w:t>
            </w:r>
          </w:p>
        </w:tc>
        <w:tc>
          <w:tcPr>
            <w:tcW w:w="1080" w:type="dxa"/>
            <w:noWrap w:val="0"/>
            <w:vAlign w:val="center"/>
          </w:tcPr>
          <w:p>
            <w:pPr>
              <w:pStyle w:val="28"/>
              <w:spacing w:line="240" w:lineRule="exact"/>
              <w:jc w:val="center"/>
              <w:rPr>
                <w:sz w:val="21"/>
                <w:szCs w:val="21"/>
              </w:rPr>
            </w:pPr>
            <w:r>
              <w:rPr>
                <w:sz w:val="21"/>
                <w:szCs w:val="21"/>
              </w:rPr>
              <w:t>11.708</w:t>
            </w:r>
          </w:p>
        </w:tc>
        <w:tc>
          <w:tcPr>
            <w:tcW w:w="1080" w:type="dxa"/>
            <w:noWrap w:val="0"/>
            <w:vAlign w:val="center"/>
          </w:tcPr>
          <w:p>
            <w:pPr>
              <w:pStyle w:val="18"/>
              <w:snapToGrid w:val="0"/>
              <w:spacing w:line="240" w:lineRule="exact"/>
              <w:jc w:val="center"/>
              <w:rPr>
                <w:sz w:val="21"/>
                <w:szCs w:val="21"/>
              </w:rPr>
            </w:pPr>
            <w:r>
              <w:rPr>
                <w:sz w:val="21"/>
                <w:szCs w:val="21"/>
              </w:rPr>
              <w:t>20</w:t>
            </w:r>
          </w:p>
        </w:tc>
        <w:tc>
          <w:tcPr>
            <w:tcW w:w="1080" w:type="dxa"/>
            <w:noWrap w:val="0"/>
            <w:vAlign w:val="center"/>
          </w:tcPr>
          <w:p>
            <w:pPr>
              <w:jc w:val="center"/>
              <w:rPr>
                <w:sz w:val="21"/>
                <w:szCs w:val="21"/>
              </w:rPr>
            </w:pPr>
            <w:r>
              <w:rPr>
                <w:sz w:val="21"/>
                <w:szCs w:val="21"/>
              </w:rPr>
              <w:t>5583</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814" w:type="dxa"/>
            <w:noWrap w:val="0"/>
            <w:vAlign w:val="center"/>
          </w:tcPr>
          <w:p>
            <w:pPr>
              <w:jc w:val="center"/>
              <w:rPr>
                <w:sz w:val="21"/>
                <w:szCs w:val="21"/>
              </w:rPr>
            </w:pPr>
            <w:r>
              <w:rPr>
                <w:sz w:val="21"/>
                <w:szCs w:val="21"/>
              </w:rPr>
              <w:t>6</w:t>
            </w:r>
          </w:p>
        </w:tc>
        <w:tc>
          <w:tcPr>
            <w:tcW w:w="2076" w:type="dxa"/>
            <w:noWrap w:val="0"/>
            <w:vAlign w:val="center"/>
          </w:tcPr>
          <w:p>
            <w:pPr>
              <w:jc w:val="center"/>
              <w:rPr>
                <w:sz w:val="21"/>
                <w:szCs w:val="21"/>
              </w:rPr>
            </w:pPr>
            <w:r>
              <w:rPr>
                <w:sz w:val="21"/>
                <w:szCs w:val="21"/>
              </w:rPr>
              <w:t>原料配料库底</w:t>
            </w:r>
          </w:p>
        </w:tc>
        <w:tc>
          <w:tcPr>
            <w:tcW w:w="900" w:type="dxa"/>
            <w:noWrap w:val="0"/>
            <w:vAlign w:val="center"/>
          </w:tcPr>
          <w:p>
            <w:pPr>
              <w:jc w:val="center"/>
              <w:rPr>
                <w:rFonts w:hint="eastAsia"/>
                <w:sz w:val="21"/>
                <w:szCs w:val="21"/>
              </w:rPr>
            </w:pPr>
            <w:r>
              <w:rPr>
                <w:rFonts w:hint="eastAsia"/>
                <w:sz w:val="21"/>
                <w:szCs w:val="21"/>
              </w:rPr>
              <w:t>624119</w:t>
            </w:r>
          </w:p>
        </w:tc>
        <w:tc>
          <w:tcPr>
            <w:tcW w:w="1080" w:type="dxa"/>
            <w:noWrap w:val="0"/>
            <w:vAlign w:val="center"/>
          </w:tcPr>
          <w:p>
            <w:pPr>
              <w:jc w:val="center"/>
              <w:rPr>
                <w:rFonts w:hint="eastAsia"/>
                <w:sz w:val="21"/>
                <w:szCs w:val="21"/>
              </w:rPr>
            </w:pPr>
            <w:r>
              <w:rPr>
                <w:rFonts w:hint="eastAsia"/>
                <w:sz w:val="21"/>
                <w:szCs w:val="21"/>
              </w:rPr>
              <w:t>3283074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rFonts w:hint="eastAsia"/>
                <w:sz w:val="21"/>
                <w:szCs w:val="21"/>
              </w:rPr>
            </w:pPr>
            <w:r>
              <w:rPr>
                <w:rFonts w:hint="eastAsia"/>
                <w:sz w:val="21"/>
                <w:szCs w:val="21"/>
              </w:rPr>
              <w:t>0.9</w:t>
            </w:r>
          </w:p>
        </w:tc>
        <w:tc>
          <w:tcPr>
            <w:tcW w:w="1080" w:type="dxa"/>
            <w:noWrap w:val="0"/>
            <w:vAlign w:val="center"/>
          </w:tcPr>
          <w:p>
            <w:pPr>
              <w:pStyle w:val="28"/>
              <w:spacing w:line="240" w:lineRule="exact"/>
              <w:jc w:val="center"/>
              <w:rPr>
                <w:sz w:val="21"/>
                <w:szCs w:val="21"/>
              </w:rPr>
            </w:pPr>
            <w:r>
              <w:rPr>
                <w:sz w:val="21"/>
                <w:szCs w:val="21"/>
              </w:rPr>
              <w:t>11.708</w:t>
            </w:r>
          </w:p>
        </w:tc>
        <w:tc>
          <w:tcPr>
            <w:tcW w:w="1080" w:type="dxa"/>
            <w:noWrap w:val="0"/>
            <w:vAlign w:val="center"/>
          </w:tcPr>
          <w:p>
            <w:pPr>
              <w:pStyle w:val="18"/>
              <w:snapToGrid w:val="0"/>
              <w:spacing w:line="240" w:lineRule="exact"/>
              <w:jc w:val="center"/>
              <w:rPr>
                <w:sz w:val="21"/>
                <w:szCs w:val="21"/>
              </w:rPr>
            </w:pPr>
            <w:r>
              <w:rPr>
                <w:sz w:val="21"/>
                <w:szCs w:val="21"/>
              </w:rPr>
              <w:t>20</w:t>
            </w:r>
          </w:p>
        </w:tc>
        <w:tc>
          <w:tcPr>
            <w:tcW w:w="1080" w:type="dxa"/>
            <w:noWrap w:val="0"/>
            <w:vAlign w:val="center"/>
          </w:tcPr>
          <w:p>
            <w:pPr>
              <w:jc w:val="center"/>
              <w:rPr>
                <w:sz w:val="21"/>
                <w:szCs w:val="21"/>
              </w:rPr>
            </w:pPr>
            <w:r>
              <w:rPr>
                <w:sz w:val="21"/>
                <w:szCs w:val="21"/>
              </w:rPr>
              <w:t>5583</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814" w:type="dxa"/>
            <w:vMerge w:val="restart"/>
            <w:noWrap w:val="0"/>
            <w:vAlign w:val="center"/>
          </w:tcPr>
          <w:p>
            <w:pPr>
              <w:jc w:val="center"/>
              <w:rPr>
                <w:sz w:val="21"/>
                <w:szCs w:val="21"/>
              </w:rPr>
            </w:pPr>
            <w:r>
              <w:rPr>
                <w:sz w:val="21"/>
                <w:szCs w:val="21"/>
              </w:rPr>
              <w:t>7</w:t>
            </w:r>
          </w:p>
        </w:tc>
        <w:tc>
          <w:tcPr>
            <w:tcW w:w="2076" w:type="dxa"/>
            <w:vMerge w:val="restart"/>
            <w:noWrap w:val="0"/>
            <w:vAlign w:val="center"/>
          </w:tcPr>
          <w:p>
            <w:pPr>
              <w:jc w:val="center"/>
              <w:rPr>
                <w:sz w:val="21"/>
                <w:szCs w:val="21"/>
              </w:rPr>
            </w:pPr>
            <w:r>
              <w:rPr>
                <w:sz w:val="21"/>
                <w:szCs w:val="21"/>
              </w:rPr>
              <w:t>窑尾</w:t>
            </w:r>
          </w:p>
        </w:tc>
        <w:tc>
          <w:tcPr>
            <w:tcW w:w="900" w:type="dxa"/>
            <w:vMerge w:val="restart"/>
            <w:noWrap w:val="0"/>
            <w:vAlign w:val="center"/>
          </w:tcPr>
          <w:p>
            <w:pPr>
              <w:jc w:val="center"/>
              <w:rPr>
                <w:rFonts w:hint="eastAsia"/>
                <w:sz w:val="21"/>
                <w:szCs w:val="21"/>
              </w:rPr>
            </w:pPr>
            <w:r>
              <w:rPr>
                <w:rFonts w:hint="eastAsia"/>
                <w:sz w:val="21"/>
                <w:szCs w:val="21"/>
              </w:rPr>
              <w:t>624082</w:t>
            </w:r>
          </w:p>
        </w:tc>
        <w:tc>
          <w:tcPr>
            <w:tcW w:w="1080" w:type="dxa"/>
            <w:vMerge w:val="restart"/>
            <w:noWrap w:val="0"/>
            <w:vAlign w:val="center"/>
          </w:tcPr>
          <w:p>
            <w:pPr>
              <w:jc w:val="center"/>
              <w:rPr>
                <w:rFonts w:hint="eastAsia"/>
                <w:sz w:val="21"/>
                <w:szCs w:val="21"/>
              </w:rPr>
            </w:pPr>
            <w:r>
              <w:rPr>
                <w:rFonts w:hint="eastAsia"/>
                <w:sz w:val="21"/>
                <w:szCs w:val="21"/>
              </w:rPr>
              <w:t>3283104</w:t>
            </w:r>
          </w:p>
        </w:tc>
        <w:tc>
          <w:tcPr>
            <w:tcW w:w="1440" w:type="dxa"/>
            <w:vMerge w:val="restart"/>
            <w:noWrap w:val="0"/>
            <w:vAlign w:val="center"/>
          </w:tcPr>
          <w:p>
            <w:pPr>
              <w:jc w:val="center"/>
              <w:rPr>
                <w:sz w:val="21"/>
                <w:szCs w:val="21"/>
              </w:rPr>
            </w:pPr>
            <w:r>
              <w:rPr>
                <w:sz w:val="21"/>
                <w:szCs w:val="21"/>
              </w:rPr>
              <w:t>339</w:t>
            </w:r>
          </w:p>
        </w:tc>
        <w:tc>
          <w:tcPr>
            <w:tcW w:w="900" w:type="dxa"/>
            <w:vMerge w:val="restart"/>
            <w:noWrap w:val="0"/>
            <w:vAlign w:val="center"/>
          </w:tcPr>
          <w:p>
            <w:pPr>
              <w:pStyle w:val="28"/>
              <w:spacing w:line="240" w:lineRule="exact"/>
              <w:jc w:val="center"/>
              <w:rPr>
                <w:sz w:val="21"/>
                <w:szCs w:val="21"/>
              </w:rPr>
            </w:pPr>
            <w:r>
              <w:rPr>
                <w:sz w:val="21"/>
                <w:szCs w:val="21"/>
              </w:rPr>
              <w:t>110</w:t>
            </w:r>
          </w:p>
        </w:tc>
        <w:tc>
          <w:tcPr>
            <w:tcW w:w="900" w:type="dxa"/>
            <w:vMerge w:val="restart"/>
            <w:noWrap w:val="0"/>
            <w:vAlign w:val="center"/>
          </w:tcPr>
          <w:p>
            <w:pPr>
              <w:pStyle w:val="28"/>
              <w:spacing w:line="240" w:lineRule="exact"/>
              <w:jc w:val="center"/>
              <w:rPr>
                <w:sz w:val="21"/>
                <w:szCs w:val="21"/>
              </w:rPr>
            </w:pPr>
            <w:r>
              <w:rPr>
                <w:sz w:val="21"/>
                <w:szCs w:val="21"/>
              </w:rPr>
              <w:t>3.0</w:t>
            </w:r>
          </w:p>
        </w:tc>
        <w:tc>
          <w:tcPr>
            <w:tcW w:w="1080" w:type="dxa"/>
            <w:vMerge w:val="restart"/>
            <w:noWrap w:val="0"/>
            <w:vAlign w:val="center"/>
          </w:tcPr>
          <w:p>
            <w:pPr>
              <w:pStyle w:val="28"/>
              <w:spacing w:line="240" w:lineRule="exact"/>
              <w:jc w:val="center"/>
              <w:rPr>
                <w:sz w:val="21"/>
                <w:szCs w:val="21"/>
              </w:rPr>
            </w:pPr>
            <w:r>
              <w:rPr>
                <w:sz w:val="21"/>
                <w:szCs w:val="21"/>
              </w:rPr>
              <w:t>13.588</w:t>
            </w:r>
          </w:p>
        </w:tc>
        <w:tc>
          <w:tcPr>
            <w:tcW w:w="1080" w:type="dxa"/>
            <w:vMerge w:val="restart"/>
            <w:noWrap w:val="0"/>
            <w:vAlign w:val="center"/>
          </w:tcPr>
          <w:p>
            <w:pPr>
              <w:pStyle w:val="18"/>
              <w:snapToGrid w:val="0"/>
              <w:spacing w:line="240" w:lineRule="exact"/>
              <w:jc w:val="center"/>
              <w:rPr>
                <w:sz w:val="21"/>
                <w:szCs w:val="21"/>
              </w:rPr>
            </w:pPr>
            <w:r>
              <w:rPr>
                <w:sz w:val="21"/>
                <w:szCs w:val="21"/>
              </w:rPr>
              <w:t>120</w:t>
            </w:r>
          </w:p>
        </w:tc>
        <w:tc>
          <w:tcPr>
            <w:tcW w:w="1080" w:type="dxa"/>
            <w:vMerge w:val="restart"/>
            <w:noWrap w:val="0"/>
            <w:vAlign w:val="center"/>
          </w:tcPr>
          <w:p>
            <w:pPr>
              <w:jc w:val="center"/>
              <w:rPr>
                <w:sz w:val="21"/>
                <w:szCs w:val="21"/>
              </w:rPr>
            </w:pPr>
            <w:r>
              <w:rPr>
                <w:sz w:val="21"/>
                <w:szCs w:val="21"/>
              </w:rPr>
              <w:t>7440</w:t>
            </w:r>
          </w:p>
        </w:tc>
        <w:tc>
          <w:tcPr>
            <w:tcW w:w="710" w:type="dxa"/>
            <w:noWrap w:val="0"/>
            <w:vAlign w:val="center"/>
          </w:tcPr>
          <w:p>
            <w:pPr>
              <w:pStyle w:val="28"/>
              <w:spacing w:line="240" w:lineRule="exact"/>
              <w:jc w:val="center"/>
              <w:rPr>
                <w:sz w:val="21"/>
                <w:szCs w:val="21"/>
              </w:rPr>
            </w:pPr>
            <w:r>
              <w:rPr>
                <w:sz w:val="21"/>
                <w:szCs w:val="21"/>
              </w:rPr>
              <w:t>烟尘</w:t>
            </w:r>
          </w:p>
        </w:tc>
        <w:tc>
          <w:tcPr>
            <w:tcW w:w="1630" w:type="dxa"/>
            <w:gridSpan w:val="2"/>
            <w:noWrap w:val="0"/>
            <w:vAlign w:val="center"/>
          </w:tcPr>
          <w:p>
            <w:pPr>
              <w:pStyle w:val="28"/>
              <w:spacing w:line="240" w:lineRule="exact"/>
              <w:jc w:val="center"/>
              <w:rPr>
                <w:sz w:val="21"/>
                <w:szCs w:val="21"/>
              </w:rPr>
            </w:pPr>
            <w:r>
              <w:rPr>
                <w:sz w:val="21"/>
                <w:szCs w:val="21"/>
              </w:rPr>
              <w:t>2.881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814" w:type="dxa"/>
            <w:vMerge w:val="continue"/>
            <w:noWrap w:val="0"/>
            <w:vAlign w:val="center"/>
          </w:tcPr>
          <w:p>
            <w:pPr>
              <w:jc w:val="center"/>
              <w:rPr>
                <w:sz w:val="21"/>
                <w:szCs w:val="21"/>
              </w:rPr>
            </w:pPr>
          </w:p>
        </w:tc>
        <w:tc>
          <w:tcPr>
            <w:tcW w:w="2076" w:type="dxa"/>
            <w:vMerge w:val="continue"/>
            <w:noWrap w:val="0"/>
            <w:vAlign w:val="center"/>
          </w:tcPr>
          <w:p>
            <w:pPr>
              <w:jc w:val="center"/>
              <w:rPr>
                <w:sz w:val="21"/>
                <w:szCs w:val="21"/>
              </w:rPr>
            </w:pPr>
          </w:p>
        </w:tc>
        <w:tc>
          <w:tcPr>
            <w:tcW w:w="900" w:type="dxa"/>
            <w:vMerge w:val="continue"/>
            <w:noWrap w:val="0"/>
            <w:vAlign w:val="center"/>
          </w:tcPr>
          <w:p>
            <w:pPr>
              <w:jc w:val="center"/>
              <w:rPr>
                <w:sz w:val="21"/>
                <w:szCs w:val="21"/>
              </w:rPr>
            </w:pPr>
          </w:p>
        </w:tc>
        <w:tc>
          <w:tcPr>
            <w:tcW w:w="1080" w:type="dxa"/>
            <w:vMerge w:val="continue"/>
            <w:noWrap w:val="0"/>
            <w:vAlign w:val="center"/>
          </w:tcPr>
          <w:p>
            <w:pPr>
              <w:jc w:val="center"/>
              <w:rPr>
                <w:sz w:val="21"/>
                <w:szCs w:val="21"/>
              </w:rPr>
            </w:pPr>
          </w:p>
        </w:tc>
        <w:tc>
          <w:tcPr>
            <w:tcW w:w="1440" w:type="dxa"/>
            <w:vMerge w:val="continue"/>
            <w:noWrap w:val="0"/>
            <w:vAlign w:val="center"/>
          </w:tcPr>
          <w:p>
            <w:pPr>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18"/>
              <w:snapToGrid w:val="0"/>
              <w:spacing w:line="240" w:lineRule="exact"/>
              <w:jc w:val="center"/>
              <w:rPr>
                <w:sz w:val="21"/>
                <w:szCs w:val="21"/>
              </w:rPr>
            </w:pPr>
          </w:p>
        </w:tc>
        <w:tc>
          <w:tcPr>
            <w:tcW w:w="1080" w:type="dxa"/>
            <w:vMerge w:val="continue"/>
            <w:noWrap w:val="0"/>
            <w:vAlign w:val="center"/>
          </w:tcPr>
          <w:p>
            <w:pPr>
              <w:jc w:val="center"/>
              <w:rPr>
                <w:sz w:val="21"/>
                <w:szCs w:val="21"/>
              </w:rPr>
            </w:pPr>
          </w:p>
        </w:tc>
        <w:tc>
          <w:tcPr>
            <w:tcW w:w="710" w:type="dxa"/>
            <w:noWrap w:val="0"/>
            <w:vAlign w:val="center"/>
          </w:tcPr>
          <w:p>
            <w:pPr>
              <w:pStyle w:val="28"/>
              <w:spacing w:line="240" w:lineRule="exact"/>
              <w:jc w:val="center"/>
              <w:rPr>
                <w:sz w:val="21"/>
                <w:szCs w:val="21"/>
              </w:rPr>
            </w:pPr>
            <w:r>
              <w:rPr>
                <w:sz w:val="21"/>
                <w:szCs w:val="21"/>
              </w:rPr>
              <w:t>SO</w:t>
            </w:r>
            <w:r>
              <w:rPr>
                <w:sz w:val="21"/>
                <w:szCs w:val="21"/>
                <w:vertAlign w:val="subscript"/>
              </w:rPr>
              <w:t>2</w:t>
            </w:r>
          </w:p>
        </w:tc>
        <w:tc>
          <w:tcPr>
            <w:tcW w:w="1630" w:type="dxa"/>
            <w:gridSpan w:val="2"/>
            <w:noWrap w:val="0"/>
            <w:vAlign w:val="center"/>
          </w:tcPr>
          <w:p>
            <w:pPr>
              <w:pStyle w:val="28"/>
              <w:spacing w:line="240" w:lineRule="exact"/>
              <w:jc w:val="center"/>
              <w:rPr>
                <w:rFonts w:hint="eastAsia"/>
                <w:sz w:val="21"/>
                <w:szCs w:val="21"/>
              </w:rPr>
            </w:pPr>
            <w:r>
              <w:rPr>
                <w:sz w:val="21"/>
                <w:szCs w:val="21"/>
              </w:rPr>
              <w:t>8.</w:t>
            </w: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814" w:type="dxa"/>
            <w:vMerge w:val="continue"/>
            <w:noWrap w:val="0"/>
            <w:vAlign w:val="center"/>
          </w:tcPr>
          <w:p>
            <w:pPr>
              <w:jc w:val="center"/>
              <w:rPr>
                <w:sz w:val="21"/>
                <w:szCs w:val="21"/>
              </w:rPr>
            </w:pPr>
          </w:p>
        </w:tc>
        <w:tc>
          <w:tcPr>
            <w:tcW w:w="2076" w:type="dxa"/>
            <w:vMerge w:val="continue"/>
            <w:noWrap w:val="0"/>
            <w:vAlign w:val="center"/>
          </w:tcPr>
          <w:p>
            <w:pPr>
              <w:jc w:val="center"/>
              <w:rPr>
                <w:sz w:val="21"/>
                <w:szCs w:val="21"/>
              </w:rPr>
            </w:pPr>
          </w:p>
        </w:tc>
        <w:tc>
          <w:tcPr>
            <w:tcW w:w="900" w:type="dxa"/>
            <w:vMerge w:val="continue"/>
            <w:noWrap w:val="0"/>
            <w:vAlign w:val="center"/>
          </w:tcPr>
          <w:p>
            <w:pPr>
              <w:jc w:val="center"/>
              <w:rPr>
                <w:sz w:val="21"/>
                <w:szCs w:val="21"/>
              </w:rPr>
            </w:pPr>
          </w:p>
        </w:tc>
        <w:tc>
          <w:tcPr>
            <w:tcW w:w="1080" w:type="dxa"/>
            <w:vMerge w:val="continue"/>
            <w:noWrap w:val="0"/>
            <w:vAlign w:val="center"/>
          </w:tcPr>
          <w:p>
            <w:pPr>
              <w:jc w:val="center"/>
              <w:rPr>
                <w:sz w:val="21"/>
                <w:szCs w:val="21"/>
              </w:rPr>
            </w:pPr>
          </w:p>
        </w:tc>
        <w:tc>
          <w:tcPr>
            <w:tcW w:w="1440" w:type="dxa"/>
            <w:vMerge w:val="continue"/>
            <w:noWrap w:val="0"/>
            <w:vAlign w:val="center"/>
          </w:tcPr>
          <w:p>
            <w:pPr>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18"/>
              <w:snapToGrid w:val="0"/>
              <w:spacing w:line="240" w:lineRule="exact"/>
              <w:jc w:val="center"/>
              <w:rPr>
                <w:sz w:val="21"/>
                <w:szCs w:val="21"/>
              </w:rPr>
            </w:pPr>
          </w:p>
        </w:tc>
        <w:tc>
          <w:tcPr>
            <w:tcW w:w="1080" w:type="dxa"/>
            <w:vMerge w:val="continue"/>
            <w:noWrap w:val="0"/>
            <w:vAlign w:val="center"/>
          </w:tcPr>
          <w:p>
            <w:pPr>
              <w:jc w:val="center"/>
              <w:rPr>
                <w:sz w:val="21"/>
                <w:szCs w:val="21"/>
              </w:rPr>
            </w:pPr>
          </w:p>
        </w:tc>
        <w:tc>
          <w:tcPr>
            <w:tcW w:w="710" w:type="dxa"/>
            <w:vMerge w:val="restart"/>
            <w:noWrap w:val="0"/>
            <w:vAlign w:val="center"/>
          </w:tcPr>
          <w:p>
            <w:pPr>
              <w:pStyle w:val="28"/>
              <w:spacing w:line="240" w:lineRule="exact"/>
              <w:jc w:val="center"/>
              <w:rPr>
                <w:sz w:val="21"/>
                <w:szCs w:val="21"/>
              </w:rPr>
            </w:pPr>
            <w:r>
              <w:rPr>
                <w:sz w:val="21"/>
                <w:szCs w:val="21"/>
              </w:rPr>
              <w:t>NO</w:t>
            </w:r>
            <w:r>
              <w:rPr>
                <w:sz w:val="21"/>
                <w:szCs w:val="21"/>
                <w:vertAlign w:val="subscript"/>
              </w:rPr>
              <w:t>X</w:t>
            </w:r>
          </w:p>
        </w:tc>
        <w:tc>
          <w:tcPr>
            <w:tcW w:w="720" w:type="dxa"/>
            <w:noWrap w:val="0"/>
            <w:vAlign w:val="center"/>
          </w:tcPr>
          <w:p>
            <w:pPr>
              <w:pStyle w:val="28"/>
              <w:spacing w:line="240" w:lineRule="exact"/>
              <w:jc w:val="center"/>
              <w:rPr>
                <w:sz w:val="21"/>
                <w:szCs w:val="21"/>
              </w:rPr>
            </w:pPr>
            <w:r>
              <w:rPr>
                <w:sz w:val="21"/>
                <w:szCs w:val="21"/>
              </w:rPr>
              <w:t>小时</w:t>
            </w:r>
          </w:p>
        </w:tc>
        <w:tc>
          <w:tcPr>
            <w:tcW w:w="910" w:type="dxa"/>
            <w:noWrap w:val="0"/>
            <w:vAlign w:val="center"/>
          </w:tcPr>
          <w:p>
            <w:pPr>
              <w:pStyle w:val="28"/>
              <w:spacing w:line="240" w:lineRule="exact"/>
              <w:jc w:val="center"/>
              <w:rPr>
                <w:sz w:val="21"/>
                <w:szCs w:val="21"/>
              </w:rPr>
            </w:pPr>
            <w:r>
              <w:rPr>
                <w:sz w:val="21"/>
                <w:szCs w:val="21"/>
              </w:rPr>
              <w:t>60.48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814" w:type="dxa"/>
            <w:vMerge w:val="continue"/>
            <w:noWrap w:val="0"/>
            <w:vAlign w:val="center"/>
          </w:tcPr>
          <w:p>
            <w:pPr>
              <w:jc w:val="center"/>
              <w:rPr>
                <w:sz w:val="21"/>
                <w:szCs w:val="21"/>
              </w:rPr>
            </w:pPr>
          </w:p>
        </w:tc>
        <w:tc>
          <w:tcPr>
            <w:tcW w:w="2076" w:type="dxa"/>
            <w:vMerge w:val="continue"/>
            <w:noWrap w:val="0"/>
            <w:vAlign w:val="center"/>
          </w:tcPr>
          <w:p>
            <w:pPr>
              <w:jc w:val="center"/>
              <w:rPr>
                <w:sz w:val="21"/>
                <w:szCs w:val="21"/>
              </w:rPr>
            </w:pPr>
          </w:p>
        </w:tc>
        <w:tc>
          <w:tcPr>
            <w:tcW w:w="900" w:type="dxa"/>
            <w:vMerge w:val="continue"/>
            <w:noWrap w:val="0"/>
            <w:vAlign w:val="center"/>
          </w:tcPr>
          <w:p>
            <w:pPr>
              <w:jc w:val="center"/>
              <w:rPr>
                <w:sz w:val="21"/>
                <w:szCs w:val="21"/>
              </w:rPr>
            </w:pPr>
          </w:p>
        </w:tc>
        <w:tc>
          <w:tcPr>
            <w:tcW w:w="1080" w:type="dxa"/>
            <w:vMerge w:val="continue"/>
            <w:noWrap w:val="0"/>
            <w:vAlign w:val="center"/>
          </w:tcPr>
          <w:p>
            <w:pPr>
              <w:jc w:val="center"/>
              <w:rPr>
                <w:sz w:val="21"/>
                <w:szCs w:val="21"/>
              </w:rPr>
            </w:pPr>
          </w:p>
        </w:tc>
        <w:tc>
          <w:tcPr>
            <w:tcW w:w="1440" w:type="dxa"/>
            <w:vMerge w:val="continue"/>
            <w:noWrap w:val="0"/>
            <w:vAlign w:val="center"/>
          </w:tcPr>
          <w:p>
            <w:pPr>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90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28"/>
              <w:spacing w:line="240" w:lineRule="exact"/>
              <w:jc w:val="center"/>
              <w:rPr>
                <w:sz w:val="21"/>
                <w:szCs w:val="21"/>
              </w:rPr>
            </w:pPr>
          </w:p>
        </w:tc>
        <w:tc>
          <w:tcPr>
            <w:tcW w:w="1080" w:type="dxa"/>
            <w:vMerge w:val="continue"/>
            <w:noWrap w:val="0"/>
            <w:vAlign w:val="center"/>
          </w:tcPr>
          <w:p>
            <w:pPr>
              <w:pStyle w:val="18"/>
              <w:snapToGrid w:val="0"/>
              <w:spacing w:line="240" w:lineRule="exact"/>
              <w:jc w:val="center"/>
              <w:rPr>
                <w:sz w:val="21"/>
                <w:szCs w:val="21"/>
              </w:rPr>
            </w:pPr>
          </w:p>
        </w:tc>
        <w:tc>
          <w:tcPr>
            <w:tcW w:w="1080" w:type="dxa"/>
            <w:vMerge w:val="continue"/>
            <w:noWrap w:val="0"/>
            <w:vAlign w:val="center"/>
          </w:tcPr>
          <w:p>
            <w:pPr>
              <w:jc w:val="center"/>
              <w:rPr>
                <w:sz w:val="21"/>
                <w:szCs w:val="21"/>
              </w:rPr>
            </w:pPr>
          </w:p>
        </w:tc>
        <w:tc>
          <w:tcPr>
            <w:tcW w:w="710" w:type="dxa"/>
            <w:vMerge w:val="continue"/>
            <w:noWrap w:val="0"/>
            <w:vAlign w:val="center"/>
          </w:tcPr>
          <w:p>
            <w:pPr>
              <w:pStyle w:val="28"/>
              <w:spacing w:line="240" w:lineRule="exact"/>
              <w:jc w:val="center"/>
              <w:rPr>
                <w:sz w:val="21"/>
                <w:szCs w:val="21"/>
              </w:rPr>
            </w:pPr>
          </w:p>
        </w:tc>
        <w:tc>
          <w:tcPr>
            <w:tcW w:w="720" w:type="dxa"/>
            <w:noWrap w:val="0"/>
            <w:vAlign w:val="center"/>
          </w:tcPr>
          <w:p>
            <w:pPr>
              <w:pStyle w:val="28"/>
              <w:spacing w:line="240" w:lineRule="exact"/>
              <w:jc w:val="center"/>
              <w:rPr>
                <w:sz w:val="21"/>
                <w:szCs w:val="21"/>
              </w:rPr>
            </w:pPr>
            <w:r>
              <w:rPr>
                <w:sz w:val="21"/>
                <w:szCs w:val="21"/>
              </w:rPr>
              <w:t>年</w:t>
            </w:r>
          </w:p>
        </w:tc>
        <w:tc>
          <w:tcPr>
            <w:tcW w:w="910" w:type="dxa"/>
            <w:noWrap w:val="0"/>
            <w:vAlign w:val="center"/>
          </w:tcPr>
          <w:p>
            <w:pPr>
              <w:pStyle w:val="28"/>
              <w:spacing w:line="240" w:lineRule="exact"/>
              <w:jc w:val="center"/>
              <w:rPr>
                <w:sz w:val="21"/>
                <w:szCs w:val="21"/>
              </w:rPr>
            </w:pPr>
            <w:r>
              <w:rPr>
                <w:sz w:val="21"/>
                <w:szCs w:val="21"/>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814" w:type="dxa"/>
            <w:noWrap w:val="0"/>
            <w:vAlign w:val="center"/>
          </w:tcPr>
          <w:p>
            <w:pPr>
              <w:jc w:val="center"/>
              <w:rPr>
                <w:sz w:val="21"/>
                <w:szCs w:val="21"/>
              </w:rPr>
            </w:pPr>
            <w:r>
              <w:rPr>
                <w:sz w:val="21"/>
                <w:szCs w:val="21"/>
              </w:rPr>
              <w:t>8</w:t>
            </w:r>
          </w:p>
        </w:tc>
        <w:tc>
          <w:tcPr>
            <w:tcW w:w="2076" w:type="dxa"/>
            <w:noWrap w:val="0"/>
            <w:vAlign w:val="center"/>
          </w:tcPr>
          <w:p>
            <w:pPr>
              <w:jc w:val="center"/>
              <w:rPr>
                <w:sz w:val="21"/>
                <w:szCs w:val="21"/>
              </w:rPr>
            </w:pPr>
            <w:r>
              <w:rPr>
                <w:sz w:val="21"/>
                <w:szCs w:val="21"/>
              </w:rPr>
              <w:t>生料均化库顶</w:t>
            </w:r>
          </w:p>
        </w:tc>
        <w:tc>
          <w:tcPr>
            <w:tcW w:w="900" w:type="dxa"/>
            <w:noWrap w:val="0"/>
            <w:vAlign w:val="center"/>
          </w:tcPr>
          <w:p>
            <w:pPr>
              <w:jc w:val="center"/>
              <w:rPr>
                <w:rFonts w:hint="eastAsia"/>
                <w:sz w:val="21"/>
                <w:szCs w:val="21"/>
              </w:rPr>
            </w:pPr>
            <w:r>
              <w:rPr>
                <w:rFonts w:hint="eastAsia"/>
                <w:sz w:val="21"/>
                <w:szCs w:val="21"/>
              </w:rPr>
              <w:t>624106</w:t>
            </w:r>
          </w:p>
        </w:tc>
        <w:tc>
          <w:tcPr>
            <w:tcW w:w="1080" w:type="dxa"/>
            <w:noWrap w:val="0"/>
            <w:vAlign w:val="center"/>
          </w:tcPr>
          <w:p>
            <w:pPr>
              <w:jc w:val="center"/>
              <w:rPr>
                <w:rFonts w:hint="eastAsia"/>
                <w:sz w:val="21"/>
                <w:szCs w:val="21"/>
              </w:rPr>
            </w:pPr>
            <w:r>
              <w:rPr>
                <w:rFonts w:hint="eastAsia"/>
                <w:sz w:val="21"/>
                <w:szCs w:val="21"/>
              </w:rPr>
              <w:t>3283113</w:t>
            </w:r>
          </w:p>
        </w:tc>
        <w:tc>
          <w:tcPr>
            <w:tcW w:w="1440" w:type="dxa"/>
            <w:noWrap w:val="0"/>
            <w:vAlign w:val="center"/>
          </w:tcPr>
          <w:p>
            <w:pPr>
              <w:pStyle w:val="28"/>
              <w:spacing w:line="240" w:lineRule="exact"/>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65</w:t>
            </w:r>
          </w:p>
        </w:tc>
        <w:tc>
          <w:tcPr>
            <w:tcW w:w="900" w:type="dxa"/>
            <w:noWrap w:val="0"/>
            <w:vAlign w:val="center"/>
          </w:tcPr>
          <w:p>
            <w:pPr>
              <w:pStyle w:val="28"/>
              <w:spacing w:line="240" w:lineRule="exact"/>
              <w:jc w:val="center"/>
              <w:rPr>
                <w:rFonts w:hint="eastAsia"/>
                <w:sz w:val="21"/>
                <w:szCs w:val="21"/>
              </w:rPr>
            </w:pPr>
            <w:r>
              <w:rPr>
                <w:rFonts w:hint="eastAsia"/>
                <w:sz w:val="21"/>
                <w:szCs w:val="21"/>
              </w:rPr>
              <w:t>0.98</w:t>
            </w:r>
          </w:p>
        </w:tc>
        <w:tc>
          <w:tcPr>
            <w:tcW w:w="1080" w:type="dxa"/>
            <w:noWrap w:val="0"/>
            <w:vAlign w:val="center"/>
          </w:tcPr>
          <w:p>
            <w:pPr>
              <w:pStyle w:val="28"/>
              <w:spacing w:line="240" w:lineRule="exact"/>
              <w:jc w:val="center"/>
              <w:rPr>
                <w:sz w:val="21"/>
                <w:szCs w:val="21"/>
              </w:rPr>
            </w:pPr>
            <w:r>
              <w:rPr>
                <w:sz w:val="21"/>
                <w:szCs w:val="21"/>
              </w:rPr>
              <w:t>7.944</w:t>
            </w:r>
          </w:p>
        </w:tc>
        <w:tc>
          <w:tcPr>
            <w:tcW w:w="1080" w:type="dxa"/>
            <w:noWrap w:val="0"/>
            <w:vAlign w:val="center"/>
          </w:tcPr>
          <w:p>
            <w:pPr>
              <w:pStyle w:val="28"/>
              <w:spacing w:line="240" w:lineRule="exact"/>
              <w:jc w:val="center"/>
              <w:rPr>
                <w:sz w:val="21"/>
                <w:szCs w:val="21"/>
              </w:rPr>
            </w:pPr>
            <w:r>
              <w:rPr>
                <w:sz w:val="21"/>
                <w:szCs w:val="21"/>
              </w:rPr>
              <w:t>40</w:t>
            </w:r>
          </w:p>
        </w:tc>
        <w:tc>
          <w:tcPr>
            <w:tcW w:w="1080" w:type="dxa"/>
            <w:noWrap w:val="0"/>
            <w:vAlign w:val="center"/>
          </w:tcPr>
          <w:p>
            <w:pPr>
              <w:jc w:val="center"/>
              <w:rPr>
                <w:sz w:val="21"/>
                <w:szCs w:val="21"/>
              </w:rPr>
            </w:pPr>
            <w:r>
              <w:rPr>
                <w:sz w:val="21"/>
                <w:szCs w:val="21"/>
              </w:rPr>
              <w:t>7440</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814" w:type="dxa"/>
            <w:noWrap w:val="0"/>
            <w:vAlign w:val="center"/>
          </w:tcPr>
          <w:p>
            <w:pPr>
              <w:jc w:val="center"/>
              <w:rPr>
                <w:sz w:val="21"/>
                <w:szCs w:val="21"/>
              </w:rPr>
            </w:pPr>
            <w:r>
              <w:rPr>
                <w:sz w:val="21"/>
                <w:szCs w:val="21"/>
              </w:rPr>
              <w:t>9</w:t>
            </w:r>
          </w:p>
        </w:tc>
        <w:tc>
          <w:tcPr>
            <w:tcW w:w="2076" w:type="dxa"/>
            <w:noWrap w:val="0"/>
            <w:vAlign w:val="center"/>
          </w:tcPr>
          <w:p>
            <w:pPr>
              <w:jc w:val="center"/>
              <w:rPr>
                <w:sz w:val="21"/>
                <w:szCs w:val="21"/>
              </w:rPr>
            </w:pPr>
            <w:r>
              <w:rPr>
                <w:sz w:val="21"/>
                <w:szCs w:val="21"/>
              </w:rPr>
              <w:t>生料均化库底</w:t>
            </w:r>
          </w:p>
        </w:tc>
        <w:tc>
          <w:tcPr>
            <w:tcW w:w="900" w:type="dxa"/>
            <w:noWrap w:val="0"/>
            <w:vAlign w:val="center"/>
          </w:tcPr>
          <w:p>
            <w:pPr>
              <w:jc w:val="center"/>
              <w:rPr>
                <w:rFonts w:hint="eastAsia"/>
                <w:sz w:val="21"/>
                <w:szCs w:val="21"/>
              </w:rPr>
            </w:pPr>
            <w:r>
              <w:rPr>
                <w:rFonts w:hint="eastAsia"/>
                <w:sz w:val="21"/>
                <w:szCs w:val="21"/>
              </w:rPr>
              <w:t>624105</w:t>
            </w:r>
          </w:p>
        </w:tc>
        <w:tc>
          <w:tcPr>
            <w:tcW w:w="1080" w:type="dxa"/>
            <w:noWrap w:val="0"/>
            <w:vAlign w:val="center"/>
          </w:tcPr>
          <w:p>
            <w:pPr>
              <w:jc w:val="center"/>
              <w:rPr>
                <w:rFonts w:hint="eastAsia"/>
                <w:sz w:val="21"/>
                <w:szCs w:val="21"/>
              </w:rPr>
            </w:pPr>
            <w:r>
              <w:rPr>
                <w:rFonts w:hint="eastAsia"/>
                <w:sz w:val="21"/>
                <w:szCs w:val="21"/>
              </w:rPr>
              <w:t>3283105</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rFonts w:hint="eastAsia"/>
                <w:sz w:val="21"/>
                <w:szCs w:val="21"/>
              </w:rPr>
            </w:pPr>
            <w:r>
              <w:rPr>
                <w:rFonts w:hint="eastAsia"/>
                <w:sz w:val="21"/>
                <w:szCs w:val="21"/>
              </w:rPr>
              <w:t>0.64</w:t>
            </w:r>
          </w:p>
        </w:tc>
        <w:tc>
          <w:tcPr>
            <w:tcW w:w="1080" w:type="dxa"/>
            <w:noWrap w:val="0"/>
            <w:vAlign w:val="center"/>
          </w:tcPr>
          <w:p>
            <w:pPr>
              <w:pStyle w:val="28"/>
              <w:spacing w:line="240" w:lineRule="exact"/>
              <w:jc w:val="center"/>
              <w:rPr>
                <w:sz w:val="21"/>
                <w:szCs w:val="21"/>
              </w:rPr>
            </w:pPr>
            <w:r>
              <w:rPr>
                <w:sz w:val="21"/>
                <w:szCs w:val="21"/>
              </w:rPr>
              <w:t>11.708</w:t>
            </w:r>
          </w:p>
        </w:tc>
        <w:tc>
          <w:tcPr>
            <w:tcW w:w="1080" w:type="dxa"/>
            <w:noWrap w:val="0"/>
            <w:vAlign w:val="center"/>
          </w:tcPr>
          <w:p>
            <w:pPr>
              <w:pStyle w:val="28"/>
              <w:spacing w:line="240" w:lineRule="exact"/>
              <w:jc w:val="center"/>
              <w:rPr>
                <w:sz w:val="21"/>
                <w:szCs w:val="21"/>
              </w:rPr>
            </w:pPr>
            <w:r>
              <w:rPr>
                <w:sz w:val="21"/>
                <w:szCs w:val="21"/>
              </w:rPr>
              <w:t>40</w:t>
            </w:r>
          </w:p>
        </w:tc>
        <w:tc>
          <w:tcPr>
            <w:tcW w:w="1080" w:type="dxa"/>
            <w:noWrap w:val="0"/>
            <w:vAlign w:val="center"/>
          </w:tcPr>
          <w:p>
            <w:pPr>
              <w:jc w:val="center"/>
              <w:rPr>
                <w:sz w:val="21"/>
                <w:szCs w:val="21"/>
              </w:rPr>
            </w:pPr>
            <w:r>
              <w:rPr>
                <w:sz w:val="21"/>
                <w:szCs w:val="21"/>
              </w:rPr>
              <w:t>7440</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814" w:type="dxa"/>
            <w:noWrap w:val="0"/>
            <w:vAlign w:val="center"/>
          </w:tcPr>
          <w:p>
            <w:pPr>
              <w:jc w:val="center"/>
              <w:rPr>
                <w:sz w:val="21"/>
                <w:szCs w:val="21"/>
              </w:rPr>
            </w:pPr>
            <w:r>
              <w:rPr>
                <w:sz w:val="21"/>
                <w:szCs w:val="21"/>
              </w:rPr>
              <w:t>10</w:t>
            </w:r>
          </w:p>
        </w:tc>
        <w:tc>
          <w:tcPr>
            <w:tcW w:w="2076" w:type="dxa"/>
            <w:noWrap w:val="0"/>
            <w:vAlign w:val="center"/>
          </w:tcPr>
          <w:p>
            <w:pPr>
              <w:jc w:val="center"/>
              <w:rPr>
                <w:sz w:val="21"/>
                <w:szCs w:val="21"/>
              </w:rPr>
            </w:pPr>
            <w:r>
              <w:rPr>
                <w:sz w:val="21"/>
                <w:szCs w:val="21"/>
              </w:rPr>
              <w:t>窑头</w:t>
            </w:r>
          </w:p>
        </w:tc>
        <w:tc>
          <w:tcPr>
            <w:tcW w:w="900" w:type="dxa"/>
            <w:noWrap w:val="0"/>
            <w:vAlign w:val="center"/>
          </w:tcPr>
          <w:p>
            <w:pPr>
              <w:jc w:val="center"/>
              <w:rPr>
                <w:rFonts w:hint="eastAsia"/>
                <w:sz w:val="21"/>
                <w:szCs w:val="21"/>
              </w:rPr>
            </w:pPr>
            <w:r>
              <w:rPr>
                <w:rFonts w:hint="eastAsia"/>
                <w:sz w:val="21"/>
                <w:szCs w:val="21"/>
              </w:rPr>
              <w:t>624087</w:t>
            </w:r>
          </w:p>
        </w:tc>
        <w:tc>
          <w:tcPr>
            <w:tcW w:w="1080" w:type="dxa"/>
            <w:noWrap w:val="0"/>
            <w:vAlign w:val="center"/>
          </w:tcPr>
          <w:p>
            <w:pPr>
              <w:jc w:val="center"/>
              <w:rPr>
                <w:rFonts w:hint="eastAsia"/>
                <w:sz w:val="21"/>
                <w:szCs w:val="21"/>
              </w:rPr>
            </w:pPr>
            <w:r>
              <w:rPr>
                <w:rFonts w:hint="eastAsia"/>
                <w:sz w:val="21"/>
                <w:szCs w:val="21"/>
              </w:rPr>
              <w:t>3283184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40</w:t>
            </w:r>
          </w:p>
        </w:tc>
        <w:tc>
          <w:tcPr>
            <w:tcW w:w="900" w:type="dxa"/>
            <w:noWrap w:val="0"/>
            <w:vAlign w:val="center"/>
          </w:tcPr>
          <w:p>
            <w:pPr>
              <w:pStyle w:val="28"/>
              <w:spacing w:line="240" w:lineRule="exact"/>
              <w:jc w:val="center"/>
              <w:rPr>
                <w:sz w:val="21"/>
                <w:szCs w:val="21"/>
              </w:rPr>
            </w:pPr>
            <w:r>
              <w:rPr>
                <w:sz w:val="21"/>
                <w:szCs w:val="21"/>
              </w:rPr>
              <w:t>2.5</w:t>
            </w:r>
          </w:p>
        </w:tc>
        <w:tc>
          <w:tcPr>
            <w:tcW w:w="1080" w:type="dxa"/>
            <w:noWrap w:val="0"/>
            <w:vAlign w:val="center"/>
          </w:tcPr>
          <w:p>
            <w:pPr>
              <w:pStyle w:val="28"/>
              <w:spacing w:line="240" w:lineRule="exact"/>
              <w:jc w:val="center"/>
              <w:rPr>
                <w:sz w:val="21"/>
                <w:szCs w:val="21"/>
              </w:rPr>
            </w:pPr>
            <w:r>
              <w:rPr>
                <w:sz w:val="21"/>
                <w:szCs w:val="21"/>
              </w:rPr>
              <w:t>15.853</w:t>
            </w:r>
          </w:p>
        </w:tc>
        <w:tc>
          <w:tcPr>
            <w:tcW w:w="1080" w:type="dxa"/>
            <w:noWrap w:val="0"/>
            <w:vAlign w:val="center"/>
          </w:tcPr>
          <w:p>
            <w:pPr>
              <w:pStyle w:val="28"/>
              <w:spacing w:line="240" w:lineRule="exact"/>
              <w:jc w:val="center"/>
              <w:rPr>
                <w:sz w:val="21"/>
                <w:szCs w:val="21"/>
              </w:rPr>
            </w:pPr>
            <w:r>
              <w:rPr>
                <w:sz w:val="21"/>
                <w:szCs w:val="21"/>
              </w:rPr>
              <w:t>150</w:t>
            </w:r>
          </w:p>
        </w:tc>
        <w:tc>
          <w:tcPr>
            <w:tcW w:w="1080" w:type="dxa"/>
            <w:noWrap w:val="0"/>
            <w:vAlign w:val="center"/>
          </w:tcPr>
          <w:p>
            <w:pPr>
              <w:jc w:val="center"/>
              <w:rPr>
                <w:sz w:val="21"/>
                <w:szCs w:val="21"/>
              </w:rPr>
            </w:pPr>
            <w:r>
              <w:rPr>
                <w:sz w:val="21"/>
                <w:szCs w:val="21"/>
              </w:rPr>
              <w:t>7440</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28"/>
              <w:spacing w:line="240" w:lineRule="exact"/>
              <w:jc w:val="center"/>
              <w:rPr>
                <w:sz w:val="21"/>
                <w:szCs w:val="21"/>
              </w:rPr>
            </w:pPr>
            <w:r>
              <w:rPr>
                <w:sz w:val="21"/>
                <w:szCs w:val="21"/>
              </w:rPr>
              <w:t>2.333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814" w:type="dxa"/>
            <w:noWrap w:val="0"/>
            <w:vAlign w:val="center"/>
          </w:tcPr>
          <w:p>
            <w:pPr>
              <w:jc w:val="center"/>
              <w:rPr>
                <w:sz w:val="21"/>
                <w:szCs w:val="21"/>
              </w:rPr>
            </w:pPr>
            <w:r>
              <w:rPr>
                <w:sz w:val="21"/>
                <w:szCs w:val="21"/>
              </w:rPr>
              <w:t>11</w:t>
            </w:r>
          </w:p>
        </w:tc>
        <w:tc>
          <w:tcPr>
            <w:tcW w:w="2076" w:type="dxa"/>
            <w:noWrap w:val="0"/>
            <w:vAlign w:val="center"/>
          </w:tcPr>
          <w:p>
            <w:pPr>
              <w:jc w:val="center"/>
              <w:rPr>
                <w:sz w:val="21"/>
                <w:szCs w:val="21"/>
              </w:rPr>
            </w:pPr>
            <w:r>
              <w:rPr>
                <w:sz w:val="21"/>
                <w:szCs w:val="21"/>
              </w:rPr>
              <w:t>熟料库底</w:t>
            </w:r>
          </w:p>
        </w:tc>
        <w:tc>
          <w:tcPr>
            <w:tcW w:w="900" w:type="dxa"/>
            <w:noWrap w:val="0"/>
            <w:vAlign w:val="center"/>
          </w:tcPr>
          <w:p>
            <w:pPr>
              <w:jc w:val="center"/>
              <w:rPr>
                <w:rFonts w:hint="eastAsia"/>
                <w:sz w:val="21"/>
                <w:szCs w:val="21"/>
              </w:rPr>
            </w:pPr>
            <w:r>
              <w:rPr>
                <w:rFonts w:hint="eastAsia"/>
                <w:sz w:val="21"/>
                <w:szCs w:val="21"/>
              </w:rPr>
              <w:t>624140</w:t>
            </w:r>
          </w:p>
        </w:tc>
        <w:tc>
          <w:tcPr>
            <w:tcW w:w="1080" w:type="dxa"/>
            <w:noWrap w:val="0"/>
            <w:vAlign w:val="center"/>
          </w:tcPr>
          <w:p>
            <w:pPr>
              <w:jc w:val="center"/>
              <w:rPr>
                <w:rFonts w:hint="eastAsia"/>
                <w:sz w:val="21"/>
                <w:szCs w:val="21"/>
              </w:rPr>
            </w:pPr>
            <w:r>
              <w:rPr>
                <w:rFonts w:hint="eastAsia"/>
                <w:sz w:val="21"/>
                <w:szCs w:val="21"/>
              </w:rPr>
              <w:t>3283225</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28"/>
              <w:spacing w:line="240" w:lineRule="exact"/>
              <w:jc w:val="center"/>
              <w:rPr>
                <w:sz w:val="21"/>
                <w:szCs w:val="21"/>
              </w:rPr>
            </w:pPr>
            <w:r>
              <w:rPr>
                <w:sz w:val="21"/>
                <w:szCs w:val="21"/>
              </w:rPr>
              <w:t>15</w:t>
            </w:r>
          </w:p>
        </w:tc>
        <w:tc>
          <w:tcPr>
            <w:tcW w:w="900" w:type="dxa"/>
            <w:noWrap w:val="0"/>
            <w:vAlign w:val="center"/>
          </w:tcPr>
          <w:p>
            <w:pPr>
              <w:pStyle w:val="28"/>
              <w:spacing w:line="240" w:lineRule="exact"/>
              <w:jc w:val="center"/>
              <w:rPr>
                <w:rFonts w:hint="eastAsia"/>
                <w:sz w:val="21"/>
                <w:szCs w:val="21"/>
              </w:rPr>
            </w:pPr>
            <w:r>
              <w:rPr>
                <w:rFonts w:hint="eastAsia"/>
                <w:sz w:val="21"/>
                <w:szCs w:val="21"/>
              </w:rPr>
              <w:t>0.84</w:t>
            </w:r>
          </w:p>
        </w:tc>
        <w:tc>
          <w:tcPr>
            <w:tcW w:w="1080" w:type="dxa"/>
            <w:noWrap w:val="0"/>
            <w:vAlign w:val="center"/>
          </w:tcPr>
          <w:p>
            <w:pPr>
              <w:pStyle w:val="28"/>
              <w:spacing w:line="240" w:lineRule="exact"/>
              <w:jc w:val="center"/>
              <w:rPr>
                <w:sz w:val="21"/>
                <w:szCs w:val="21"/>
              </w:rPr>
            </w:pPr>
            <w:r>
              <w:rPr>
                <w:sz w:val="21"/>
                <w:szCs w:val="21"/>
              </w:rPr>
              <w:t>11.795</w:t>
            </w:r>
          </w:p>
        </w:tc>
        <w:tc>
          <w:tcPr>
            <w:tcW w:w="1080" w:type="dxa"/>
            <w:noWrap w:val="0"/>
            <w:vAlign w:val="center"/>
          </w:tcPr>
          <w:p>
            <w:pPr>
              <w:pStyle w:val="28"/>
              <w:spacing w:line="240" w:lineRule="exact"/>
              <w:jc w:val="center"/>
              <w:rPr>
                <w:sz w:val="21"/>
                <w:szCs w:val="21"/>
              </w:rPr>
            </w:pPr>
            <w:r>
              <w:rPr>
                <w:sz w:val="21"/>
                <w:szCs w:val="21"/>
              </w:rPr>
              <w:t>40</w:t>
            </w:r>
          </w:p>
        </w:tc>
        <w:tc>
          <w:tcPr>
            <w:tcW w:w="1080" w:type="dxa"/>
            <w:noWrap w:val="0"/>
            <w:vAlign w:val="center"/>
          </w:tcPr>
          <w:p>
            <w:pPr>
              <w:jc w:val="center"/>
              <w:rPr>
                <w:sz w:val="21"/>
                <w:szCs w:val="21"/>
              </w:rPr>
            </w:pPr>
            <w:r>
              <w:rPr>
                <w:sz w:val="21"/>
                <w:szCs w:val="21"/>
              </w:rPr>
              <w:t>7440</w:t>
            </w:r>
          </w:p>
        </w:tc>
        <w:tc>
          <w:tcPr>
            <w:tcW w:w="710" w:type="dxa"/>
            <w:noWrap w:val="0"/>
            <w:vAlign w:val="center"/>
          </w:tcPr>
          <w:p>
            <w:pPr>
              <w:pStyle w:val="28"/>
              <w:spacing w:line="240" w:lineRule="exact"/>
              <w:jc w:val="center"/>
              <w:rPr>
                <w:sz w:val="21"/>
                <w:szCs w:val="21"/>
              </w:rPr>
            </w:pPr>
            <w:r>
              <w:rPr>
                <w:sz w:val="21"/>
                <w:szCs w:val="21"/>
              </w:rPr>
              <w:t>烟尘</w:t>
            </w:r>
          </w:p>
        </w:tc>
        <w:tc>
          <w:tcPr>
            <w:tcW w:w="1630" w:type="dxa"/>
            <w:gridSpan w:val="2"/>
            <w:noWrap w:val="0"/>
            <w:vAlign w:val="center"/>
          </w:tcPr>
          <w:p>
            <w:pPr>
              <w:pStyle w:val="28"/>
              <w:spacing w:line="240" w:lineRule="exact"/>
              <w:jc w:val="center"/>
              <w:rPr>
                <w:rFonts w:hint="eastAsia"/>
                <w:sz w:val="21"/>
                <w:szCs w:val="21"/>
              </w:rPr>
            </w:pPr>
            <w:r>
              <w:rPr>
                <w:rFonts w:hint="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14" w:type="dxa"/>
            <w:noWrap w:val="0"/>
            <w:vAlign w:val="center"/>
          </w:tcPr>
          <w:p>
            <w:pPr>
              <w:jc w:val="center"/>
              <w:rPr>
                <w:sz w:val="21"/>
                <w:szCs w:val="21"/>
              </w:rPr>
            </w:pPr>
            <w:r>
              <w:rPr>
                <w:sz w:val="21"/>
                <w:szCs w:val="21"/>
              </w:rPr>
              <w:t>12</w:t>
            </w:r>
          </w:p>
        </w:tc>
        <w:tc>
          <w:tcPr>
            <w:tcW w:w="2076" w:type="dxa"/>
            <w:noWrap w:val="0"/>
            <w:vAlign w:val="center"/>
          </w:tcPr>
          <w:p>
            <w:pPr>
              <w:jc w:val="center"/>
              <w:rPr>
                <w:sz w:val="21"/>
                <w:szCs w:val="21"/>
              </w:rPr>
            </w:pPr>
            <w:r>
              <w:rPr>
                <w:sz w:val="21"/>
                <w:szCs w:val="21"/>
              </w:rPr>
              <w:t>熟料库顶</w:t>
            </w:r>
          </w:p>
        </w:tc>
        <w:tc>
          <w:tcPr>
            <w:tcW w:w="900" w:type="dxa"/>
            <w:noWrap w:val="0"/>
            <w:vAlign w:val="center"/>
          </w:tcPr>
          <w:p>
            <w:pPr>
              <w:jc w:val="center"/>
              <w:rPr>
                <w:rFonts w:hint="eastAsia"/>
                <w:sz w:val="21"/>
                <w:szCs w:val="21"/>
              </w:rPr>
            </w:pPr>
            <w:r>
              <w:rPr>
                <w:rFonts w:hint="eastAsia"/>
                <w:sz w:val="21"/>
                <w:szCs w:val="21"/>
              </w:rPr>
              <w:t>624141</w:t>
            </w:r>
          </w:p>
        </w:tc>
        <w:tc>
          <w:tcPr>
            <w:tcW w:w="1080" w:type="dxa"/>
            <w:noWrap w:val="0"/>
            <w:vAlign w:val="center"/>
          </w:tcPr>
          <w:p>
            <w:pPr>
              <w:jc w:val="center"/>
              <w:rPr>
                <w:rFonts w:hint="eastAsia"/>
                <w:sz w:val="21"/>
                <w:szCs w:val="21"/>
              </w:rPr>
            </w:pPr>
            <w:r>
              <w:rPr>
                <w:rFonts w:hint="eastAsia"/>
                <w:sz w:val="21"/>
                <w:szCs w:val="21"/>
              </w:rPr>
              <w:t>3283234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50</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0.84</w:t>
            </w:r>
          </w:p>
        </w:tc>
        <w:tc>
          <w:tcPr>
            <w:tcW w:w="1080" w:type="dxa"/>
            <w:noWrap w:val="0"/>
            <w:vAlign w:val="center"/>
          </w:tcPr>
          <w:p>
            <w:pPr>
              <w:pStyle w:val="28"/>
              <w:spacing w:line="240" w:lineRule="exact"/>
              <w:jc w:val="center"/>
              <w:rPr>
                <w:sz w:val="21"/>
                <w:szCs w:val="21"/>
              </w:rPr>
            </w:pPr>
            <w:r>
              <w:rPr>
                <w:sz w:val="21"/>
                <w:szCs w:val="21"/>
              </w:rPr>
              <w:t>11.795</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noWrap w:val="0"/>
            <w:vAlign w:val="center"/>
          </w:tcPr>
          <w:p>
            <w:pPr>
              <w:jc w:val="center"/>
              <w:rPr>
                <w:sz w:val="21"/>
                <w:szCs w:val="21"/>
              </w:rPr>
            </w:pPr>
            <w:r>
              <w:rPr>
                <w:sz w:val="21"/>
                <w:szCs w:val="21"/>
              </w:rPr>
              <w:t>7440</w:t>
            </w:r>
          </w:p>
        </w:tc>
        <w:tc>
          <w:tcPr>
            <w:tcW w:w="71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814" w:type="dxa"/>
            <w:noWrap w:val="0"/>
            <w:vAlign w:val="center"/>
          </w:tcPr>
          <w:p>
            <w:pPr>
              <w:jc w:val="center"/>
              <w:rPr>
                <w:sz w:val="21"/>
                <w:szCs w:val="21"/>
              </w:rPr>
            </w:pPr>
            <w:r>
              <w:rPr>
                <w:sz w:val="21"/>
                <w:szCs w:val="21"/>
              </w:rPr>
              <w:t>13</w:t>
            </w:r>
          </w:p>
        </w:tc>
        <w:tc>
          <w:tcPr>
            <w:tcW w:w="2076" w:type="dxa"/>
            <w:noWrap w:val="0"/>
            <w:vAlign w:val="center"/>
          </w:tcPr>
          <w:p>
            <w:pPr>
              <w:jc w:val="center"/>
              <w:rPr>
                <w:sz w:val="21"/>
                <w:szCs w:val="21"/>
              </w:rPr>
            </w:pPr>
            <w:r>
              <w:rPr>
                <w:sz w:val="21"/>
                <w:szCs w:val="21"/>
              </w:rPr>
              <w:t>煤粉制备</w:t>
            </w:r>
          </w:p>
        </w:tc>
        <w:tc>
          <w:tcPr>
            <w:tcW w:w="900" w:type="dxa"/>
            <w:noWrap w:val="0"/>
            <w:vAlign w:val="center"/>
          </w:tcPr>
          <w:p>
            <w:pPr>
              <w:jc w:val="center"/>
              <w:rPr>
                <w:rFonts w:hint="eastAsia"/>
                <w:sz w:val="21"/>
                <w:szCs w:val="21"/>
              </w:rPr>
            </w:pPr>
            <w:r>
              <w:rPr>
                <w:rFonts w:hint="eastAsia"/>
                <w:sz w:val="21"/>
                <w:szCs w:val="21"/>
              </w:rPr>
              <w:t>624075</w:t>
            </w:r>
          </w:p>
        </w:tc>
        <w:tc>
          <w:tcPr>
            <w:tcW w:w="1080" w:type="dxa"/>
            <w:noWrap w:val="0"/>
            <w:vAlign w:val="center"/>
          </w:tcPr>
          <w:p>
            <w:pPr>
              <w:jc w:val="center"/>
              <w:rPr>
                <w:rFonts w:hint="eastAsia"/>
                <w:sz w:val="21"/>
                <w:szCs w:val="21"/>
              </w:rPr>
            </w:pPr>
            <w:r>
              <w:rPr>
                <w:rFonts w:hint="eastAsia"/>
                <w:sz w:val="21"/>
                <w:szCs w:val="21"/>
              </w:rPr>
              <w:t>3283194</w:t>
            </w:r>
          </w:p>
        </w:tc>
        <w:tc>
          <w:tcPr>
            <w:tcW w:w="1440" w:type="dxa"/>
            <w:noWrap w:val="0"/>
            <w:vAlign w:val="center"/>
          </w:tcPr>
          <w:p>
            <w:pPr>
              <w:pStyle w:val="28"/>
              <w:spacing w:line="240" w:lineRule="exact"/>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0.8</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23.222</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75</w:t>
            </w:r>
          </w:p>
        </w:tc>
        <w:tc>
          <w:tcPr>
            <w:tcW w:w="1080" w:type="dxa"/>
            <w:noWrap w:val="0"/>
            <w:vAlign w:val="center"/>
          </w:tcPr>
          <w:p>
            <w:pPr>
              <w:jc w:val="center"/>
              <w:rPr>
                <w:sz w:val="21"/>
                <w:szCs w:val="21"/>
              </w:rPr>
            </w:pPr>
            <w:r>
              <w:rPr>
                <w:sz w:val="21"/>
                <w:szCs w:val="21"/>
              </w:rPr>
              <w:t>5444</w:t>
            </w:r>
          </w:p>
        </w:tc>
        <w:tc>
          <w:tcPr>
            <w:tcW w:w="71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14</w:t>
            </w:r>
          </w:p>
        </w:tc>
        <w:tc>
          <w:tcPr>
            <w:tcW w:w="2076" w:type="dxa"/>
            <w:noWrap w:val="0"/>
            <w:vAlign w:val="center"/>
          </w:tcPr>
          <w:p>
            <w:pPr>
              <w:jc w:val="center"/>
              <w:rPr>
                <w:rFonts w:hint="eastAsia"/>
                <w:sz w:val="21"/>
                <w:szCs w:val="21"/>
              </w:rPr>
            </w:pPr>
            <w:r>
              <w:rPr>
                <w:sz w:val="21"/>
                <w:szCs w:val="21"/>
              </w:rPr>
              <w:t>水泥配料</w:t>
            </w:r>
            <w:r>
              <w:rPr>
                <w:rFonts w:hint="eastAsia"/>
                <w:sz w:val="21"/>
                <w:szCs w:val="21"/>
              </w:rPr>
              <w:t>1</w:t>
            </w:r>
          </w:p>
        </w:tc>
        <w:tc>
          <w:tcPr>
            <w:tcW w:w="900" w:type="dxa"/>
            <w:noWrap w:val="0"/>
            <w:vAlign w:val="center"/>
          </w:tcPr>
          <w:p>
            <w:pPr>
              <w:jc w:val="center"/>
              <w:rPr>
                <w:rFonts w:hint="eastAsia"/>
                <w:sz w:val="21"/>
                <w:szCs w:val="21"/>
              </w:rPr>
            </w:pPr>
            <w:r>
              <w:rPr>
                <w:rFonts w:hint="eastAsia"/>
                <w:sz w:val="21"/>
                <w:szCs w:val="21"/>
              </w:rPr>
              <w:t>624118</w:t>
            </w:r>
          </w:p>
        </w:tc>
        <w:tc>
          <w:tcPr>
            <w:tcW w:w="1080" w:type="dxa"/>
            <w:noWrap w:val="0"/>
            <w:vAlign w:val="center"/>
          </w:tcPr>
          <w:p>
            <w:pPr>
              <w:jc w:val="center"/>
              <w:rPr>
                <w:rFonts w:hint="eastAsia"/>
                <w:sz w:val="21"/>
                <w:szCs w:val="21"/>
              </w:rPr>
            </w:pPr>
            <w:r>
              <w:rPr>
                <w:rFonts w:hint="eastAsia"/>
                <w:sz w:val="21"/>
                <w:szCs w:val="21"/>
              </w:rPr>
              <w:t>3283246</w:t>
            </w:r>
          </w:p>
        </w:tc>
        <w:tc>
          <w:tcPr>
            <w:tcW w:w="1440" w:type="dxa"/>
            <w:noWrap w:val="0"/>
            <w:vAlign w:val="center"/>
          </w:tcPr>
          <w:p>
            <w:pPr>
              <w:pStyle w:val="28"/>
              <w:spacing w:line="240" w:lineRule="exact"/>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30</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1.0</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noWrap w:val="0"/>
            <w:vAlign w:val="center"/>
          </w:tcPr>
          <w:p>
            <w:pPr>
              <w:jc w:val="center"/>
              <w:rPr>
                <w:sz w:val="21"/>
                <w:szCs w:val="21"/>
              </w:rPr>
            </w:pPr>
            <w:r>
              <w:rPr>
                <w:sz w:val="21"/>
                <w:szCs w:val="21"/>
              </w:rPr>
              <w:t>6158</w:t>
            </w:r>
          </w:p>
        </w:tc>
        <w:tc>
          <w:tcPr>
            <w:tcW w:w="71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15</w:t>
            </w:r>
          </w:p>
        </w:tc>
        <w:tc>
          <w:tcPr>
            <w:tcW w:w="2076" w:type="dxa"/>
            <w:noWrap w:val="0"/>
            <w:vAlign w:val="center"/>
          </w:tcPr>
          <w:p>
            <w:pPr>
              <w:jc w:val="center"/>
              <w:rPr>
                <w:rFonts w:hint="eastAsia"/>
                <w:sz w:val="21"/>
                <w:szCs w:val="21"/>
              </w:rPr>
            </w:pPr>
            <w:r>
              <w:rPr>
                <w:sz w:val="21"/>
                <w:szCs w:val="21"/>
              </w:rPr>
              <w:t>水泥配料</w:t>
            </w:r>
            <w:r>
              <w:rPr>
                <w:rFonts w:hint="eastAsia"/>
                <w:sz w:val="21"/>
                <w:szCs w:val="21"/>
              </w:rPr>
              <w:t>2</w:t>
            </w:r>
          </w:p>
        </w:tc>
        <w:tc>
          <w:tcPr>
            <w:tcW w:w="900" w:type="dxa"/>
            <w:noWrap w:val="0"/>
            <w:vAlign w:val="center"/>
          </w:tcPr>
          <w:p>
            <w:pPr>
              <w:jc w:val="center"/>
              <w:rPr>
                <w:sz w:val="21"/>
                <w:szCs w:val="21"/>
              </w:rPr>
            </w:pPr>
            <w:r>
              <w:rPr>
                <w:rFonts w:hint="eastAsia"/>
                <w:sz w:val="21"/>
                <w:szCs w:val="21"/>
              </w:rPr>
              <w:t>624113</w:t>
            </w:r>
          </w:p>
        </w:tc>
        <w:tc>
          <w:tcPr>
            <w:tcW w:w="1080" w:type="dxa"/>
            <w:noWrap w:val="0"/>
            <w:vAlign w:val="center"/>
          </w:tcPr>
          <w:p>
            <w:pPr>
              <w:jc w:val="center"/>
              <w:rPr>
                <w:rFonts w:hint="eastAsia"/>
                <w:sz w:val="21"/>
                <w:szCs w:val="21"/>
              </w:rPr>
            </w:pPr>
            <w:r>
              <w:rPr>
                <w:rFonts w:hint="eastAsia"/>
                <w:sz w:val="21"/>
                <w:szCs w:val="21"/>
              </w:rPr>
              <w:t>3283239</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1.0</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noWrap w:val="0"/>
            <w:vAlign w:val="center"/>
          </w:tcPr>
          <w:p>
            <w:pPr>
              <w:jc w:val="center"/>
              <w:rPr>
                <w:sz w:val="21"/>
                <w:szCs w:val="21"/>
              </w:rPr>
            </w:pPr>
            <w:r>
              <w:rPr>
                <w:sz w:val="21"/>
                <w:szCs w:val="21"/>
              </w:rPr>
              <w:t>6158</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16</w:t>
            </w:r>
          </w:p>
        </w:tc>
        <w:tc>
          <w:tcPr>
            <w:tcW w:w="2076" w:type="dxa"/>
            <w:noWrap w:val="0"/>
            <w:vAlign w:val="center"/>
          </w:tcPr>
          <w:p>
            <w:pPr>
              <w:jc w:val="center"/>
              <w:rPr>
                <w:sz w:val="21"/>
                <w:szCs w:val="21"/>
              </w:rPr>
            </w:pPr>
            <w:r>
              <w:rPr>
                <w:sz w:val="21"/>
                <w:szCs w:val="21"/>
              </w:rPr>
              <w:t>水泥粉磨</w:t>
            </w:r>
          </w:p>
        </w:tc>
        <w:tc>
          <w:tcPr>
            <w:tcW w:w="900" w:type="dxa"/>
            <w:noWrap w:val="0"/>
            <w:vAlign w:val="center"/>
          </w:tcPr>
          <w:p>
            <w:pPr>
              <w:jc w:val="center"/>
              <w:rPr>
                <w:rFonts w:hint="eastAsia"/>
                <w:sz w:val="21"/>
                <w:szCs w:val="21"/>
              </w:rPr>
            </w:pPr>
            <w:r>
              <w:rPr>
                <w:rFonts w:hint="eastAsia"/>
                <w:sz w:val="21"/>
                <w:szCs w:val="21"/>
              </w:rPr>
              <w:t>624099</w:t>
            </w:r>
          </w:p>
        </w:tc>
        <w:tc>
          <w:tcPr>
            <w:tcW w:w="1080" w:type="dxa"/>
            <w:noWrap w:val="0"/>
            <w:vAlign w:val="center"/>
          </w:tcPr>
          <w:p>
            <w:pPr>
              <w:jc w:val="center"/>
              <w:rPr>
                <w:rFonts w:hint="eastAsia"/>
                <w:sz w:val="21"/>
                <w:szCs w:val="21"/>
              </w:rPr>
            </w:pPr>
            <w:r>
              <w:rPr>
                <w:rFonts w:hint="eastAsia"/>
                <w:sz w:val="21"/>
                <w:szCs w:val="21"/>
              </w:rPr>
              <w:t>3283250</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1.2</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51.604</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60</w:t>
            </w:r>
          </w:p>
        </w:tc>
        <w:tc>
          <w:tcPr>
            <w:tcW w:w="1080" w:type="dxa"/>
            <w:noWrap w:val="0"/>
            <w:vAlign w:val="center"/>
          </w:tcPr>
          <w:p>
            <w:pPr>
              <w:jc w:val="center"/>
              <w:rPr>
                <w:sz w:val="21"/>
                <w:szCs w:val="21"/>
              </w:rPr>
            </w:pPr>
            <w:r>
              <w:rPr>
                <w:sz w:val="21"/>
                <w:szCs w:val="21"/>
              </w:rPr>
              <w:t>6774</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17</w:t>
            </w:r>
          </w:p>
        </w:tc>
        <w:tc>
          <w:tcPr>
            <w:tcW w:w="2076" w:type="dxa"/>
            <w:noWrap w:val="0"/>
            <w:vAlign w:val="center"/>
          </w:tcPr>
          <w:p>
            <w:pPr>
              <w:jc w:val="center"/>
              <w:rPr>
                <w:sz w:val="21"/>
                <w:szCs w:val="21"/>
              </w:rPr>
            </w:pPr>
            <w:r>
              <w:rPr>
                <w:sz w:val="21"/>
                <w:szCs w:val="21"/>
              </w:rPr>
              <w:t>水泥库顶</w:t>
            </w:r>
          </w:p>
        </w:tc>
        <w:tc>
          <w:tcPr>
            <w:tcW w:w="900" w:type="dxa"/>
            <w:noWrap w:val="0"/>
            <w:vAlign w:val="center"/>
          </w:tcPr>
          <w:p>
            <w:pPr>
              <w:jc w:val="center"/>
              <w:rPr>
                <w:rFonts w:hint="eastAsia"/>
                <w:sz w:val="21"/>
                <w:szCs w:val="21"/>
              </w:rPr>
            </w:pPr>
            <w:r>
              <w:rPr>
                <w:rFonts w:hint="eastAsia"/>
                <w:sz w:val="21"/>
                <w:szCs w:val="21"/>
              </w:rPr>
              <w:t>624102</w:t>
            </w:r>
          </w:p>
        </w:tc>
        <w:tc>
          <w:tcPr>
            <w:tcW w:w="1080" w:type="dxa"/>
            <w:noWrap w:val="0"/>
            <w:vAlign w:val="center"/>
          </w:tcPr>
          <w:p>
            <w:pPr>
              <w:jc w:val="center"/>
              <w:rPr>
                <w:rFonts w:hint="eastAsia"/>
                <w:sz w:val="21"/>
                <w:szCs w:val="21"/>
              </w:rPr>
            </w:pPr>
            <w:r>
              <w:rPr>
                <w:rFonts w:hint="eastAsia"/>
                <w:sz w:val="21"/>
                <w:szCs w:val="21"/>
              </w:rPr>
              <w:t>3283303</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50</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1.22</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12.144</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noWrap w:val="0"/>
            <w:vAlign w:val="center"/>
          </w:tcPr>
          <w:p>
            <w:pPr>
              <w:jc w:val="center"/>
              <w:rPr>
                <w:sz w:val="21"/>
                <w:szCs w:val="21"/>
              </w:rPr>
            </w:pPr>
            <w:r>
              <w:rPr>
                <w:sz w:val="21"/>
                <w:szCs w:val="21"/>
              </w:rPr>
              <w:t>6875</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18</w:t>
            </w:r>
          </w:p>
        </w:tc>
        <w:tc>
          <w:tcPr>
            <w:tcW w:w="2076" w:type="dxa"/>
            <w:noWrap w:val="0"/>
            <w:vAlign w:val="center"/>
          </w:tcPr>
          <w:p>
            <w:pPr>
              <w:jc w:val="center"/>
              <w:rPr>
                <w:sz w:val="21"/>
                <w:szCs w:val="21"/>
              </w:rPr>
            </w:pPr>
            <w:r>
              <w:rPr>
                <w:sz w:val="21"/>
                <w:szCs w:val="21"/>
              </w:rPr>
              <w:t>水泥库底</w:t>
            </w:r>
          </w:p>
        </w:tc>
        <w:tc>
          <w:tcPr>
            <w:tcW w:w="900" w:type="dxa"/>
            <w:noWrap w:val="0"/>
            <w:vAlign w:val="center"/>
          </w:tcPr>
          <w:p>
            <w:pPr>
              <w:jc w:val="center"/>
              <w:rPr>
                <w:sz w:val="21"/>
                <w:szCs w:val="21"/>
              </w:rPr>
            </w:pPr>
            <w:r>
              <w:rPr>
                <w:rFonts w:hint="eastAsia"/>
                <w:sz w:val="21"/>
                <w:szCs w:val="21"/>
              </w:rPr>
              <w:t>624095</w:t>
            </w:r>
          </w:p>
        </w:tc>
        <w:tc>
          <w:tcPr>
            <w:tcW w:w="1080" w:type="dxa"/>
            <w:noWrap w:val="0"/>
            <w:vAlign w:val="center"/>
          </w:tcPr>
          <w:p>
            <w:pPr>
              <w:jc w:val="center"/>
              <w:rPr>
                <w:sz w:val="21"/>
                <w:szCs w:val="21"/>
              </w:rPr>
            </w:pPr>
            <w:r>
              <w:rPr>
                <w:rFonts w:hint="eastAsia"/>
                <w:sz w:val="21"/>
                <w:szCs w:val="21"/>
              </w:rPr>
              <w:t>3283294</w:t>
            </w:r>
          </w:p>
        </w:tc>
        <w:tc>
          <w:tcPr>
            <w:tcW w:w="1440" w:type="dxa"/>
            <w:noWrap w:val="0"/>
            <w:vAlign w:val="center"/>
          </w:tcPr>
          <w:p>
            <w:pPr>
              <w:jc w:val="center"/>
              <w:rPr>
                <w:sz w:val="21"/>
                <w:szCs w:val="21"/>
              </w:rPr>
            </w:pPr>
            <w:r>
              <w:rPr>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1.22</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12.144</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40</w:t>
            </w:r>
          </w:p>
        </w:tc>
        <w:tc>
          <w:tcPr>
            <w:tcW w:w="1080" w:type="dxa"/>
            <w:noWrap w:val="0"/>
            <w:vAlign w:val="center"/>
          </w:tcPr>
          <w:p>
            <w:pPr>
              <w:jc w:val="center"/>
              <w:rPr>
                <w:sz w:val="21"/>
                <w:szCs w:val="21"/>
              </w:rPr>
            </w:pPr>
            <w:r>
              <w:rPr>
                <w:sz w:val="21"/>
                <w:szCs w:val="21"/>
              </w:rPr>
              <w:t>6875</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19</w:t>
            </w:r>
          </w:p>
        </w:tc>
        <w:tc>
          <w:tcPr>
            <w:tcW w:w="2076" w:type="dxa"/>
            <w:noWrap w:val="0"/>
            <w:vAlign w:val="center"/>
          </w:tcPr>
          <w:p>
            <w:pPr>
              <w:jc w:val="center"/>
              <w:rPr>
                <w:sz w:val="21"/>
                <w:szCs w:val="21"/>
              </w:rPr>
            </w:pPr>
            <w:r>
              <w:rPr>
                <w:sz w:val="21"/>
                <w:szCs w:val="21"/>
              </w:rPr>
              <w:t>水泥散装</w:t>
            </w:r>
          </w:p>
        </w:tc>
        <w:tc>
          <w:tcPr>
            <w:tcW w:w="900" w:type="dxa"/>
            <w:noWrap w:val="0"/>
            <w:vAlign w:val="center"/>
          </w:tcPr>
          <w:p>
            <w:pPr>
              <w:jc w:val="center"/>
              <w:rPr>
                <w:rFonts w:hint="eastAsia"/>
                <w:sz w:val="21"/>
                <w:szCs w:val="21"/>
              </w:rPr>
            </w:pPr>
            <w:r>
              <w:rPr>
                <w:rFonts w:hint="eastAsia"/>
                <w:sz w:val="21"/>
                <w:szCs w:val="21"/>
              </w:rPr>
              <w:t>624091</w:t>
            </w:r>
          </w:p>
        </w:tc>
        <w:tc>
          <w:tcPr>
            <w:tcW w:w="1080" w:type="dxa"/>
            <w:noWrap w:val="0"/>
            <w:vAlign w:val="center"/>
          </w:tcPr>
          <w:p>
            <w:pPr>
              <w:jc w:val="center"/>
              <w:rPr>
                <w:rFonts w:hint="eastAsia"/>
                <w:sz w:val="21"/>
                <w:szCs w:val="21"/>
              </w:rPr>
            </w:pPr>
            <w:r>
              <w:rPr>
                <w:rFonts w:hint="eastAsia"/>
                <w:sz w:val="21"/>
                <w:szCs w:val="21"/>
              </w:rPr>
              <w:t>3283215</w:t>
            </w:r>
          </w:p>
        </w:tc>
        <w:tc>
          <w:tcPr>
            <w:tcW w:w="144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0.56</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3.539</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noWrap w:val="0"/>
            <w:vAlign w:val="center"/>
          </w:tcPr>
          <w:p>
            <w:pPr>
              <w:jc w:val="center"/>
              <w:rPr>
                <w:sz w:val="21"/>
                <w:szCs w:val="21"/>
              </w:rPr>
            </w:pPr>
            <w:r>
              <w:rPr>
                <w:sz w:val="21"/>
                <w:szCs w:val="21"/>
              </w:rPr>
              <w:t>3300</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14" w:type="dxa"/>
            <w:noWrap w:val="0"/>
            <w:vAlign w:val="center"/>
          </w:tcPr>
          <w:p>
            <w:pPr>
              <w:jc w:val="center"/>
              <w:rPr>
                <w:sz w:val="21"/>
                <w:szCs w:val="21"/>
              </w:rPr>
            </w:pPr>
            <w:r>
              <w:rPr>
                <w:sz w:val="21"/>
                <w:szCs w:val="21"/>
              </w:rPr>
              <w:t>20</w:t>
            </w:r>
          </w:p>
        </w:tc>
        <w:tc>
          <w:tcPr>
            <w:tcW w:w="2076" w:type="dxa"/>
            <w:noWrap w:val="0"/>
            <w:vAlign w:val="center"/>
          </w:tcPr>
          <w:p>
            <w:pPr>
              <w:jc w:val="center"/>
              <w:rPr>
                <w:sz w:val="21"/>
                <w:szCs w:val="21"/>
              </w:rPr>
            </w:pPr>
            <w:r>
              <w:rPr>
                <w:sz w:val="21"/>
                <w:szCs w:val="21"/>
              </w:rPr>
              <w:t>水泥包装</w:t>
            </w:r>
          </w:p>
        </w:tc>
        <w:tc>
          <w:tcPr>
            <w:tcW w:w="900" w:type="dxa"/>
            <w:noWrap w:val="0"/>
            <w:vAlign w:val="center"/>
          </w:tcPr>
          <w:p>
            <w:pPr>
              <w:jc w:val="center"/>
              <w:rPr>
                <w:rFonts w:hint="eastAsia"/>
                <w:sz w:val="21"/>
                <w:szCs w:val="21"/>
              </w:rPr>
            </w:pPr>
            <w:r>
              <w:rPr>
                <w:rFonts w:hint="eastAsia"/>
                <w:sz w:val="21"/>
                <w:szCs w:val="21"/>
              </w:rPr>
              <w:t>624118</w:t>
            </w:r>
          </w:p>
        </w:tc>
        <w:tc>
          <w:tcPr>
            <w:tcW w:w="1080" w:type="dxa"/>
            <w:noWrap w:val="0"/>
            <w:vAlign w:val="center"/>
          </w:tcPr>
          <w:p>
            <w:pPr>
              <w:jc w:val="center"/>
              <w:rPr>
                <w:rFonts w:hint="eastAsia"/>
                <w:sz w:val="21"/>
                <w:szCs w:val="21"/>
              </w:rPr>
            </w:pPr>
            <w:r>
              <w:rPr>
                <w:rFonts w:hint="eastAsia"/>
                <w:sz w:val="21"/>
                <w:szCs w:val="21"/>
              </w:rPr>
              <w:t>3283283</w:t>
            </w:r>
          </w:p>
        </w:tc>
        <w:tc>
          <w:tcPr>
            <w:tcW w:w="144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339</w:t>
            </w:r>
          </w:p>
        </w:tc>
        <w:tc>
          <w:tcPr>
            <w:tcW w:w="90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15</w:t>
            </w:r>
          </w:p>
        </w:tc>
        <w:tc>
          <w:tcPr>
            <w:tcW w:w="900" w:type="dxa"/>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0.9</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11.708</w:t>
            </w:r>
          </w:p>
        </w:tc>
        <w:tc>
          <w:tcPr>
            <w:tcW w:w="1080" w:type="dxa"/>
            <w:noWrap w:val="0"/>
            <w:vAlign w:val="center"/>
          </w:tcPr>
          <w:p>
            <w:pPr>
              <w:pStyle w:val="11"/>
              <w:adjustRightInd w:val="0"/>
              <w:snapToGrid w:val="0"/>
              <w:spacing w:line="240" w:lineRule="exact"/>
              <w:jc w:val="center"/>
              <w:rPr>
                <w:rFonts w:ascii="Times New Roman" w:hAnsi="Times New Roman"/>
                <w:sz w:val="21"/>
                <w:szCs w:val="21"/>
              </w:rPr>
            </w:pPr>
            <w:r>
              <w:rPr>
                <w:rFonts w:ascii="Times New Roman" w:hAnsi="Times New Roman"/>
                <w:sz w:val="21"/>
                <w:szCs w:val="21"/>
              </w:rPr>
              <w:t>20</w:t>
            </w:r>
          </w:p>
        </w:tc>
        <w:tc>
          <w:tcPr>
            <w:tcW w:w="1080" w:type="dxa"/>
            <w:noWrap w:val="0"/>
            <w:vAlign w:val="center"/>
          </w:tcPr>
          <w:p>
            <w:pPr>
              <w:jc w:val="center"/>
              <w:rPr>
                <w:sz w:val="21"/>
                <w:szCs w:val="21"/>
              </w:rPr>
            </w:pPr>
            <w:r>
              <w:rPr>
                <w:sz w:val="21"/>
                <w:szCs w:val="21"/>
              </w:rPr>
              <w:t>4263</w:t>
            </w:r>
          </w:p>
        </w:tc>
        <w:tc>
          <w:tcPr>
            <w:tcW w:w="710" w:type="dxa"/>
            <w:noWrap w:val="0"/>
            <w:vAlign w:val="center"/>
          </w:tcPr>
          <w:p>
            <w:pPr>
              <w:pStyle w:val="28"/>
              <w:spacing w:line="240" w:lineRule="exact"/>
              <w:jc w:val="center"/>
              <w:rPr>
                <w:sz w:val="21"/>
                <w:szCs w:val="21"/>
              </w:rPr>
            </w:pPr>
            <w:r>
              <w:rPr>
                <w:sz w:val="21"/>
                <w:szCs w:val="21"/>
              </w:rPr>
              <w:t>粉尘</w:t>
            </w:r>
          </w:p>
        </w:tc>
        <w:tc>
          <w:tcPr>
            <w:tcW w:w="1630" w:type="dxa"/>
            <w:gridSpan w:val="2"/>
            <w:noWrap w:val="0"/>
            <w:vAlign w:val="center"/>
          </w:tcPr>
          <w:p>
            <w:pPr>
              <w:pStyle w:val="11"/>
              <w:adjustRightInd w:val="0"/>
              <w:snapToGrid w:val="0"/>
              <w:spacing w:line="240" w:lineRule="exact"/>
              <w:jc w:val="center"/>
              <w:rPr>
                <w:rFonts w:hint="eastAsia" w:ascii="Times New Roman" w:hAnsi="Times New Roman"/>
                <w:sz w:val="21"/>
                <w:szCs w:val="21"/>
              </w:rPr>
            </w:pPr>
            <w:r>
              <w:rPr>
                <w:rFonts w:hint="eastAsia" w:ascii="Times New Roman" w:hAnsi="Times New Roman"/>
                <w:sz w:val="21"/>
                <w:szCs w:val="21"/>
              </w:rPr>
              <w:t>0.224</w:t>
            </w:r>
          </w:p>
        </w:tc>
      </w:tr>
    </w:tbl>
    <w:p>
      <w:pPr>
        <w:adjustRightInd w:val="0"/>
        <w:snapToGrid w:val="0"/>
        <w:spacing w:line="360" w:lineRule="auto"/>
        <w:ind w:firstLine="360" w:firstLineChars="200"/>
        <w:rPr>
          <w:rFonts w:hint="eastAsia"/>
        </w:rPr>
      </w:pPr>
      <w:r>
        <w:rPr>
          <w:rFonts w:hint="eastAsia"/>
          <w:sz w:val="18"/>
          <w:szCs w:val="18"/>
        </w:rPr>
        <w:t>注：考虑到水泥项目烟囱较多，预测时将除1、7、10、13和16号烟囱以外的所有烟囱进行了等效处理。</w:t>
      </w:r>
    </w:p>
    <w:p>
      <w:pPr>
        <w:adjustRightInd w:val="0"/>
        <w:snapToGrid w:val="0"/>
        <w:spacing w:line="360" w:lineRule="auto"/>
        <w:ind w:firstLine="420" w:firstLineChars="200"/>
        <w:rPr>
          <w:rFonts w:hint="eastAsia"/>
        </w:rPr>
        <w:sectPr>
          <w:pgSz w:w="16838" w:h="11906" w:orient="landscape"/>
          <w:pgMar w:top="1418" w:right="1418" w:bottom="1418" w:left="1418" w:header="851" w:footer="992" w:gutter="0"/>
          <w:paperSrc w:first="20070" w:other="20070"/>
          <w:cols w:space="425" w:num="1"/>
          <w:docGrid w:linePitch="312" w:charSpace="0"/>
        </w:sectPr>
      </w:pPr>
    </w:p>
    <w:p>
      <w:pPr>
        <w:adjustRightInd w:val="0"/>
        <w:snapToGrid w:val="0"/>
        <w:spacing w:line="360" w:lineRule="auto"/>
        <w:jc w:val="center"/>
        <w:rPr>
          <w:b/>
        </w:rPr>
      </w:pPr>
      <w:r>
        <w:rPr>
          <w:b/>
        </w:rPr>
        <w:t>表</w:t>
      </w:r>
      <w:r>
        <w:rPr>
          <w:rFonts w:hint="eastAsia"/>
          <w:b/>
        </w:rPr>
        <w:t>8</w:t>
      </w:r>
      <w:r>
        <w:rPr>
          <w:b/>
        </w:rPr>
        <w:t>-</w:t>
      </w:r>
      <w:r>
        <w:rPr>
          <w:rFonts w:hint="eastAsia"/>
          <w:b/>
        </w:rPr>
        <w:t>5</w:t>
      </w:r>
      <w:r>
        <w:rPr>
          <w:b/>
        </w:rPr>
        <w:t xml:space="preserve"> 技改项目环境影响预测点坐标</w:t>
      </w:r>
    </w:p>
    <w:tbl>
      <w:tblPr>
        <w:tblStyle w:val="21"/>
        <w:tblW w:w="8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157"/>
        <w:gridCol w:w="1891"/>
        <w:gridCol w:w="1787"/>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834" w:type="dxa"/>
            <w:noWrap w:val="0"/>
            <w:vAlign w:val="center"/>
          </w:tcPr>
          <w:p>
            <w:pPr>
              <w:adjustRightInd w:val="0"/>
              <w:snapToGrid w:val="0"/>
              <w:spacing w:line="360" w:lineRule="auto"/>
              <w:jc w:val="center"/>
              <w:rPr>
                <w:sz w:val="21"/>
                <w:szCs w:val="21"/>
              </w:rPr>
            </w:pPr>
            <w:r>
              <w:rPr>
                <w:sz w:val="21"/>
                <w:szCs w:val="21"/>
              </w:rPr>
              <w:t>序号</w:t>
            </w:r>
          </w:p>
        </w:tc>
        <w:tc>
          <w:tcPr>
            <w:tcW w:w="2157" w:type="dxa"/>
            <w:noWrap w:val="0"/>
            <w:vAlign w:val="center"/>
          </w:tcPr>
          <w:p>
            <w:pPr>
              <w:adjustRightInd w:val="0"/>
              <w:snapToGrid w:val="0"/>
              <w:spacing w:line="360" w:lineRule="auto"/>
              <w:jc w:val="center"/>
              <w:rPr>
                <w:sz w:val="21"/>
                <w:szCs w:val="21"/>
              </w:rPr>
            </w:pPr>
            <w:r>
              <w:rPr>
                <w:sz w:val="21"/>
                <w:szCs w:val="21"/>
              </w:rPr>
              <w:t>预测点名称</w:t>
            </w:r>
          </w:p>
        </w:tc>
        <w:tc>
          <w:tcPr>
            <w:tcW w:w="1891" w:type="dxa"/>
            <w:noWrap w:val="0"/>
            <w:vAlign w:val="center"/>
          </w:tcPr>
          <w:p>
            <w:pPr>
              <w:adjustRightInd w:val="0"/>
              <w:snapToGrid w:val="0"/>
              <w:spacing w:line="360" w:lineRule="auto"/>
              <w:jc w:val="center"/>
              <w:rPr>
                <w:sz w:val="21"/>
                <w:szCs w:val="21"/>
              </w:rPr>
            </w:pPr>
            <w:r>
              <w:rPr>
                <w:sz w:val="21"/>
                <w:szCs w:val="21"/>
              </w:rPr>
              <w:t>X坐标</w:t>
            </w:r>
          </w:p>
        </w:tc>
        <w:tc>
          <w:tcPr>
            <w:tcW w:w="1787" w:type="dxa"/>
            <w:noWrap w:val="0"/>
            <w:vAlign w:val="center"/>
          </w:tcPr>
          <w:p>
            <w:pPr>
              <w:adjustRightInd w:val="0"/>
              <w:snapToGrid w:val="0"/>
              <w:spacing w:line="360" w:lineRule="auto"/>
              <w:jc w:val="center"/>
              <w:rPr>
                <w:sz w:val="21"/>
                <w:szCs w:val="21"/>
              </w:rPr>
            </w:pPr>
            <w:r>
              <w:rPr>
                <w:sz w:val="21"/>
                <w:szCs w:val="21"/>
              </w:rPr>
              <w:t>Y坐标</w:t>
            </w:r>
          </w:p>
        </w:tc>
        <w:tc>
          <w:tcPr>
            <w:tcW w:w="1484" w:type="dxa"/>
            <w:noWrap w:val="0"/>
            <w:vAlign w:val="center"/>
          </w:tcPr>
          <w:p>
            <w:pPr>
              <w:adjustRightInd w:val="0"/>
              <w:snapToGrid w:val="0"/>
              <w:spacing w:line="360" w:lineRule="auto"/>
              <w:jc w:val="center"/>
              <w:rPr>
                <w:sz w:val="21"/>
                <w:szCs w:val="21"/>
              </w:rPr>
            </w:pPr>
            <w:r>
              <w:rPr>
                <w:sz w:val="21"/>
                <w:szCs w:val="21"/>
              </w:rPr>
              <w:t>Z坐标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1</w:t>
            </w:r>
          </w:p>
        </w:tc>
        <w:tc>
          <w:tcPr>
            <w:tcW w:w="2157" w:type="dxa"/>
            <w:noWrap w:val="0"/>
            <w:vAlign w:val="center"/>
          </w:tcPr>
          <w:p>
            <w:pPr>
              <w:jc w:val="center"/>
              <w:rPr>
                <w:sz w:val="21"/>
                <w:szCs w:val="21"/>
              </w:rPr>
            </w:pPr>
            <w:r>
              <w:rPr>
                <w:sz w:val="21"/>
                <w:szCs w:val="21"/>
              </w:rPr>
              <w:t>大路镇</w:t>
            </w:r>
          </w:p>
        </w:tc>
        <w:tc>
          <w:tcPr>
            <w:tcW w:w="1891" w:type="dxa"/>
            <w:noWrap w:val="0"/>
            <w:vAlign w:val="center"/>
          </w:tcPr>
          <w:p>
            <w:pPr>
              <w:jc w:val="center"/>
              <w:rPr>
                <w:sz w:val="21"/>
                <w:szCs w:val="21"/>
              </w:rPr>
            </w:pPr>
            <w:r>
              <w:rPr>
                <w:sz w:val="21"/>
                <w:szCs w:val="21"/>
              </w:rPr>
              <w:t>617848</w:t>
            </w:r>
          </w:p>
        </w:tc>
        <w:tc>
          <w:tcPr>
            <w:tcW w:w="1787" w:type="dxa"/>
            <w:noWrap w:val="0"/>
            <w:vAlign w:val="center"/>
          </w:tcPr>
          <w:p>
            <w:pPr>
              <w:jc w:val="center"/>
              <w:rPr>
                <w:sz w:val="21"/>
                <w:szCs w:val="21"/>
              </w:rPr>
            </w:pPr>
            <w:r>
              <w:rPr>
                <w:sz w:val="21"/>
                <w:szCs w:val="21"/>
              </w:rPr>
              <w:t>3289605</w:t>
            </w:r>
          </w:p>
        </w:tc>
        <w:tc>
          <w:tcPr>
            <w:tcW w:w="1484" w:type="dxa"/>
            <w:noWrap w:val="0"/>
            <w:vAlign w:val="center"/>
          </w:tcPr>
          <w:p>
            <w:pPr>
              <w:jc w:val="center"/>
              <w:rPr>
                <w:rFonts w:hint="eastAsia"/>
                <w:sz w:val="21"/>
                <w:szCs w:val="21"/>
              </w:rPr>
            </w:pPr>
            <w:r>
              <w:rPr>
                <w:rFonts w:hint="eastAsia"/>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2</w:t>
            </w:r>
          </w:p>
        </w:tc>
        <w:tc>
          <w:tcPr>
            <w:tcW w:w="2157" w:type="dxa"/>
            <w:noWrap w:val="0"/>
            <w:vAlign w:val="center"/>
          </w:tcPr>
          <w:p>
            <w:pPr>
              <w:jc w:val="center"/>
              <w:rPr>
                <w:sz w:val="21"/>
                <w:szCs w:val="21"/>
              </w:rPr>
            </w:pPr>
            <w:r>
              <w:rPr>
                <w:rFonts w:hAnsi="宋体"/>
                <w:sz w:val="21"/>
                <w:szCs w:val="21"/>
              </w:rPr>
              <w:t>六塘镇</w:t>
            </w:r>
          </w:p>
        </w:tc>
        <w:tc>
          <w:tcPr>
            <w:tcW w:w="1891" w:type="dxa"/>
            <w:noWrap w:val="0"/>
            <w:vAlign w:val="center"/>
          </w:tcPr>
          <w:p>
            <w:pPr>
              <w:jc w:val="center"/>
              <w:rPr>
                <w:sz w:val="21"/>
                <w:szCs w:val="21"/>
              </w:rPr>
            </w:pPr>
            <w:r>
              <w:rPr>
                <w:sz w:val="21"/>
                <w:szCs w:val="21"/>
              </w:rPr>
              <w:t>623138</w:t>
            </w:r>
          </w:p>
        </w:tc>
        <w:tc>
          <w:tcPr>
            <w:tcW w:w="1787" w:type="dxa"/>
            <w:noWrap w:val="0"/>
            <w:vAlign w:val="center"/>
          </w:tcPr>
          <w:p>
            <w:pPr>
              <w:jc w:val="center"/>
              <w:rPr>
                <w:sz w:val="21"/>
                <w:szCs w:val="21"/>
              </w:rPr>
            </w:pPr>
            <w:r>
              <w:rPr>
                <w:sz w:val="21"/>
                <w:szCs w:val="21"/>
              </w:rPr>
              <w:t>3289485</w:t>
            </w:r>
          </w:p>
        </w:tc>
        <w:tc>
          <w:tcPr>
            <w:tcW w:w="1484" w:type="dxa"/>
            <w:noWrap w:val="0"/>
            <w:vAlign w:val="center"/>
          </w:tcPr>
          <w:p>
            <w:pPr>
              <w:jc w:val="center"/>
              <w:rPr>
                <w:rFonts w:hint="eastAsia"/>
                <w:sz w:val="21"/>
                <w:szCs w:val="21"/>
              </w:rPr>
            </w:pPr>
            <w:r>
              <w:rPr>
                <w:rFonts w:hint="eastAsia"/>
                <w:sz w:val="21"/>
                <w:szCs w:val="21"/>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3</w:t>
            </w:r>
          </w:p>
        </w:tc>
        <w:tc>
          <w:tcPr>
            <w:tcW w:w="2157" w:type="dxa"/>
            <w:noWrap w:val="0"/>
            <w:vAlign w:val="center"/>
          </w:tcPr>
          <w:p>
            <w:pPr>
              <w:jc w:val="center"/>
              <w:rPr>
                <w:sz w:val="21"/>
                <w:szCs w:val="21"/>
              </w:rPr>
            </w:pPr>
            <w:r>
              <w:rPr>
                <w:rFonts w:hAnsi="宋体"/>
                <w:sz w:val="21"/>
                <w:szCs w:val="21"/>
              </w:rPr>
              <w:t>接龙镇</w:t>
            </w:r>
          </w:p>
        </w:tc>
        <w:tc>
          <w:tcPr>
            <w:tcW w:w="1891" w:type="dxa"/>
            <w:noWrap w:val="0"/>
            <w:vAlign w:val="center"/>
          </w:tcPr>
          <w:p>
            <w:pPr>
              <w:jc w:val="center"/>
              <w:rPr>
                <w:rFonts w:hint="eastAsia"/>
                <w:sz w:val="21"/>
                <w:szCs w:val="21"/>
              </w:rPr>
            </w:pPr>
            <w:r>
              <w:rPr>
                <w:rFonts w:hint="eastAsia"/>
                <w:sz w:val="21"/>
                <w:szCs w:val="21"/>
              </w:rPr>
              <w:t>621928</w:t>
            </w:r>
          </w:p>
        </w:tc>
        <w:tc>
          <w:tcPr>
            <w:tcW w:w="1787" w:type="dxa"/>
            <w:noWrap w:val="0"/>
            <w:vAlign w:val="center"/>
          </w:tcPr>
          <w:p>
            <w:pPr>
              <w:jc w:val="center"/>
              <w:rPr>
                <w:rFonts w:hint="eastAsia"/>
                <w:sz w:val="21"/>
                <w:szCs w:val="21"/>
              </w:rPr>
            </w:pPr>
            <w:r>
              <w:rPr>
                <w:rFonts w:hint="eastAsia"/>
                <w:sz w:val="21"/>
                <w:szCs w:val="21"/>
              </w:rPr>
              <w:t>3286225</w:t>
            </w:r>
          </w:p>
        </w:tc>
        <w:tc>
          <w:tcPr>
            <w:tcW w:w="1484" w:type="dxa"/>
            <w:noWrap w:val="0"/>
            <w:vAlign w:val="center"/>
          </w:tcPr>
          <w:p>
            <w:pPr>
              <w:jc w:val="center"/>
              <w:rPr>
                <w:rFonts w:hint="eastAsia"/>
                <w:sz w:val="21"/>
                <w:szCs w:val="21"/>
              </w:rPr>
            </w:pPr>
            <w:r>
              <w:rPr>
                <w:rFonts w:hint="eastAsia"/>
                <w:sz w:val="21"/>
                <w:szCs w:val="21"/>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4</w:t>
            </w:r>
          </w:p>
        </w:tc>
        <w:tc>
          <w:tcPr>
            <w:tcW w:w="2157" w:type="dxa"/>
            <w:noWrap w:val="0"/>
            <w:vAlign w:val="center"/>
          </w:tcPr>
          <w:p>
            <w:pPr>
              <w:jc w:val="center"/>
              <w:rPr>
                <w:sz w:val="21"/>
                <w:szCs w:val="21"/>
              </w:rPr>
            </w:pPr>
            <w:r>
              <w:rPr>
                <w:rFonts w:hAnsi="宋体"/>
                <w:sz w:val="21"/>
                <w:szCs w:val="21"/>
              </w:rPr>
              <w:t>福里树村</w:t>
            </w:r>
          </w:p>
        </w:tc>
        <w:tc>
          <w:tcPr>
            <w:tcW w:w="1891" w:type="dxa"/>
            <w:noWrap w:val="0"/>
            <w:vAlign w:val="center"/>
          </w:tcPr>
          <w:p>
            <w:pPr>
              <w:jc w:val="center"/>
              <w:rPr>
                <w:rFonts w:hint="eastAsia"/>
                <w:sz w:val="21"/>
                <w:szCs w:val="21"/>
              </w:rPr>
            </w:pPr>
            <w:r>
              <w:rPr>
                <w:rFonts w:hint="eastAsia"/>
                <w:sz w:val="21"/>
                <w:szCs w:val="21"/>
              </w:rPr>
              <w:t>623698</w:t>
            </w:r>
          </w:p>
        </w:tc>
        <w:tc>
          <w:tcPr>
            <w:tcW w:w="1787" w:type="dxa"/>
            <w:noWrap w:val="0"/>
            <w:vAlign w:val="center"/>
          </w:tcPr>
          <w:p>
            <w:pPr>
              <w:jc w:val="center"/>
              <w:rPr>
                <w:rFonts w:hint="eastAsia"/>
                <w:sz w:val="21"/>
                <w:szCs w:val="21"/>
              </w:rPr>
            </w:pPr>
            <w:r>
              <w:rPr>
                <w:rFonts w:hint="eastAsia"/>
                <w:sz w:val="21"/>
                <w:szCs w:val="21"/>
              </w:rPr>
              <w:t>3284395</w:t>
            </w:r>
          </w:p>
        </w:tc>
        <w:tc>
          <w:tcPr>
            <w:tcW w:w="1484" w:type="dxa"/>
            <w:noWrap w:val="0"/>
            <w:vAlign w:val="center"/>
          </w:tcPr>
          <w:p>
            <w:pPr>
              <w:jc w:val="center"/>
              <w:rPr>
                <w:rFonts w:hint="eastAsia"/>
                <w:sz w:val="21"/>
                <w:szCs w:val="21"/>
              </w:rPr>
            </w:pPr>
            <w:r>
              <w:rPr>
                <w:rFonts w:hint="eastAsia"/>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5</w:t>
            </w:r>
          </w:p>
        </w:tc>
        <w:tc>
          <w:tcPr>
            <w:tcW w:w="2157" w:type="dxa"/>
            <w:noWrap w:val="0"/>
            <w:vAlign w:val="center"/>
          </w:tcPr>
          <w:p>
            <w:pPr>
              <w:jc w:val="center"/>
              <w:rPr>
                <w:sz w:val="21"/>
                <w:szCs w:val="21"/>
              </w:rPr>
            </w:pPr>
            <w:r>
              <w:rPr>
                <w:rFonts w:hAnsi="宋体"/>
                <w:sz w:val="21"/>
                <w:szCs w:val="21"/>
              </w:rPr>
              <w:t>殷家老院子</w:t>
            </w:r>
          </w:p>
        </w:tc>
        <w:tc>
          <w:tcPr>
            <w:tcW w:w="1891" w:type="dxa"/>
            <w:noWrap w:val="0"/>
            <w:vAlign w:val="center"/>
          </w:tcPr>
          <w:p>
            <w:pPr>
              <w:jc w:val="center"/>
              <w:rPr>
                <w:rFonts w:hint="eastAsia"/>
                <w:sz w:val="21"/>
                <w:szCs w:val="21"/>
              </w:rPr>
            </w:pPr>
            <w:r>
              <w:rPr>
                <w:rFonts w:hint="eastAsia"/>
                <w:sz w:val="21"/>
                <w:szCs w:val="21"/>
              </w:rPr>
              <w:t>622508</w:t>
            </w:r>
          </w:p>
        </w:tc>
        <w:tc>
          <w:tcPr>
            <w:tcW w:w="1787" w:type="dxa"/>
            <w:noWrap w:val="0"/>
            <w:vAlign w:val="center"/>
          </w:tcPr>
          <w:p>
            <w:pPr>
              <w:jc w:val="center"/>
              <w:rPr>
                <w:rFonts w:hint="eastAsia"/>
                <w:sz w:val="21"/>
                <w:szCs w:val="21"/>
              </w:rPr>
            </w:pPr>
            <w:r>
              <w:rPr>
                <w:rFonts w:hint="eastAsia"/>
                <w:sz w:val="21"/>
                <w:szCs w:val="21"/>
              </w:rPr>
              <w:t>3281025</w:t>
            </w:r>
          </w:p>
        </w:tc>
        <w:tc>
          <w:tcPr>
            <w:tcW w:w="1484" w:type="dxa"/>
            <w:noWrap w:val="0"/>
            <w:vAlign w:val="center"/>
          </w:tcPr>
          <w:p>
            <w:pPr>
              <w:jc w:val="center"/>
              <w:rPr>
                <w:rFonts w:hint="eastAsia"/>
                <w:sz w:val="21"/>
                <w:szCs w:val="21"/>
              </w:rPr>
            </w:pPr>
            <w:r>
              <w:rPr>
                <w:rFonts w:hint="eastAsia"/>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6</w:t>
            </w:r>
          </w:p>
        </w:tc>
        <w:tc>
          <w:tcPr>
            <w:tcW w:w="2157" w:type="dxa"/>
            <w:noWrap w:val="0"/>
            <w:vAlign w:val="center"/>
          </w:tcPr>
          <w:p>
            <w:pPr>
              <w:jc w:val="center"/>
              <w:rPr>
                <w:sz w:val="21"/>
                <w:szCs w:val="21"/>
              </w:rPr>
            </w:pPr>
            <w:r>
              <w:rPr>
                <w:rFonts w:hAnsi="宋体"/>
                <w:sz w:val="21"/>
                <w:szCs w:val="21"/>
              </w:rPr>
              <w:t>璧山县</w:t>
            </w:r>
          </w:p>
        </w:tc>
        <w:tc>
          <w:tcPr>
            <w:tcW w:w="1891" w:type="dxa"/>
            <w:noWrap w:val="0"/>
            <w:vAlign w:val="center"/>
          </w:tcPr>
          <w:p>
            <w:pPr>
              <w:jc w:val="center"/>
              <w:rPr>
                <w:sz w:val="21"/>
                <w:szCs w:val="21"/>
              </w:rPr>
            </w:pPr>
            <w:r>
              <w:rPr>
                <w:sz w:val="21"/>
                <w:szCs w:val="21"/>
              </w:rPr>
              <w:t>618528</w:t>
            </w:r>
          </w:p>
        </w:tc>
        <w:tc>
          <w:tcPr>
            <w:tcW w:w="1787" w:type="dxa"/>
            <w:noWrap w:val="0"/>
            <w:vAlign w:val="center"/>
          </w:tcPr>
          <w:p>
            <w:pPr>
              <w:jc w:val="center"/>
              <w:rPr>
                <w:sz w:val="21"/>
                <w:szCs w:val="21"/>
              </w:rPr>
            </w:pPr>
            <w:r>
              <w:rPr>
                <w:sz w:val="21"/>
                <w:szCs w:val="21"/>
              </w:rPr>
              <w:t>3274545</w:t>
            </w:r>
          </w:p>
        </w:tc>
        <w:tc>
          <w:tcPr>
            <w:tcW w:w="1484" w:type="dxa"/>
            <w:noWrap w:val="0"/>
            <w:vAlign w:val="center"/>
          </w:tcPr>
          <w:p>
            <w:pPr>
              <w:jc w:val="center"/>
              <w:rPr>
                <w:rFonts w:hint="eastAsia"/>
                <w:sz w:val="21"/>
                <w:szCs w:val="21"/>
              </w:rPr>
            </w:pPr>
            <w:r>
              <w:rPr>
                <w:rFonts w:hint="eastAsia"/>
                <w:sz w:val="21"/>
                <w:szCs w:val="21"/>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7</w:t>
            </w:r>
          </w:p>
        </w:tc>
        <w:tc>
          <w:tcPr>
            <w:tcW w:w="2157" w:type="dxa"/>
            <w:noWrap w:val="0"/>
            <w:vAlign w:val="center"/>
          </w:tcPr>
          <w:p>
            <w:pPr>
              <w:jc w:val="center"/>
              <w:rPr>
                <w:rFonts w:hint="eastAsia"/>
                <w:sz w:val="21"/>
                <w:szCs w:val="21"/>
              </w:rPr>
            </w:pPr>
            <w:r>
              <w:rPr>
                <w:rFonts w:hAnsi="宋体"/>
                <w:sz w:val="21"/>
                <w:szCs w:val="21"/>
              </w:rPr>
              <w:t>青鹏煤业公司</w:t>
            </w:r>
            <w:r>
              <w:rPr>
                <w:rFonts w:hint="eastAsia" w:hAnsi="宋体"/>
                <w:sz w:val="21"/>
                <w:szCs w:val="21"/>
              </w:rPr>
              <w:t>家属院</w:t>
            </w:r>
          </w:p>
        </w:tc>
        <w:tc>
          <w:tcPr>
            <w:tcW w:w="1891" w:type="dxa"/>
            <w:noWrap w:val="0"/>
            <w:vAlign w:val="center"/>
          </w:tcPr>
          <w:p>
            <w:pPr>
              <w:jc w:val="center"/>
              <w:rPr>
                <w:rFonts w:hint="eastAsia"/>
                <w:sz w:val="21"/>
                <w:szCs w:val="21"/>
              </w:rPr>
            </w:pPr>
            <w:r>
              <w:rPr>
                <w:rFonts w:hint="eastAsia"/>
                <w:sz w:val="21"/>
                <w:szCs w:val="21"/>
              </w:rPr>
              <w:t>624308</w:t>
            </w:r>
          </w:p>
        </w:tc>
        <w:tc>
          <w:tcPr>
            <w:tcW w:w="1787" w:type="dxa"/>
            <w:noWrap w:val="0"/>
            <w:vAlign w:val="center"/>
          </w:tcPr>
          <w:p>
            <w:pPr>
              <w:jc w:val="center"/>
              <w:rPr>
                <w:rFonts w:hint="eastAsia"/>
                <w:sz w:val="21"/>
                <w:szCs w:val="21"/>
              </w:rPr>
            </w:pPr>
            <w:r>
              <w:rPr>
                <w:rFonts w:hint="eastAsia"/>
                <w:sz w:val="21"/>
                <w:szCs w:val="21"/>
              </w:rPr>
              <w:t>3284085</w:t>
            </w:r>
          </w:p>
        </w:tc>
        <w:tc>
          <w:tcPr>
            <w:tcW w:w="1484" w:type="dxa"/>
            <w:noWrap w:val="0"/>
            <w:vAlign w:val="center"/>
          </w:tcPr>
          <w:p>
            <w:pPr>
              <w:jc w:val="center"/>
              <w:rPr>
                <w:rFonts w:hint="eastAsia"/>
                <w:sz w:val="21"/>
                <w:szCs w:val="21"/>
              </w:rPr>
            </w:pPr>
            <w:r>
              <w:rPr>
                <w:rFonts w:hint="eastAsia"/>
                <w:sz w:val="21"/>
                <w:szCs w:val="21"/>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8</w:t>
            </w:r>
          </w:p>
        </w:tc>
        <w:tc>
          <w:tcPr>
            <w:tcW w:w="2157" w:type="dxa"/>
            <w:noWrap w:val="0"/>
            <w:vAlign w:val="center"/>
          </w:tcPr>
          <w:p>
            <w:pPr>
              <w:jc w:val="center"/>
              <w:rPr>
                <w:sz w:val="21"/>
                <w:szCs w:val="21"/>
              </w:rPr>
            </w:pPr>
            <w:r>
              <w:rPr>
                <w:rFonts w:hAnsi="宋体"/>
                <w:sz w:val="21"/>
                <w:szCs w:val="21"/>
              </w:rPr>
              <w:t>青木关镇</w:t>
            </w:r>
          </w:p>
        </w:tc>
        <w:tc>
          <w:tcPr>
            <w:tcW w:w="1891" w:type="dxa"/>
            <w:noWrap w:val="0"/>
            <w:vAlign w:val="center"/>
          </w:tcPr>
          <w:p>
            <w:pPr>
              <w:jc w:val="center"/>
              <w:rPr>
                <w:sz w:val="21"/>
                <w:szCs w:val="21"/>
              </w:rPr>
            </w:pPr>
            <w:r>
              <w:rPr>
                <w:sz w:val="21"/>
                <w:szCs w:val="21"/>
              </w:rPr>
              <w:t>625328</w:t>
            </w:r>
          </w:p>
        </w:tc>
        <w:tc>
          <w:tcPr>
            <w:tcW w:w="1787" w:type="dxa"/>
            <w:noWrap w:val="0"/>
            <w:vAlign w:val="center"/>
          </w:tcPr>
          <w:p>
            <w:pPr>
              <w:jc w:val="center"/>
              <w:rPr>
                <w:sz w:val="21"/>
                <w:szCs w:val="21"/>
              </w:rPr>
            </w:pPr>
            <w:r>
              <w:rPr>
                <w:sz w:val="21"/>
                <w:szCs w:val="21"/>
              </w:rPr>
              <w:t>3283485</w:t>
            </w:r>
          </w:p>
        </w:tc>
        <w:tc>
          <w:tcPr>
            <w:tcW w:w="1484" w:type="dxa"/>
            <w:noWrap w:val="0"/>
            <w:vAlign w:val="center"/>
          </w:tcPr>
          <w:p>
            <w:pPr>
              <w:jc w:val="center"/>
              <w:rPr>
                <w:rFonts w:hint="eastAsia"/>
                <w:sz w:val="21"/>
                <w:szCs w:val="21"/>
              </w:rPr>
            </w:pPr>
            <w:r>
              <w:rPr>
                <w:rFonts w:hint="eastAsia"/>
                <w:sz w:val="21"/>
                <w:szCs w:val="21"/>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9</w:t>
            </w:r>
          </w:p>
        </w:tc>
        <w:tc>
          <w:tcPr>
            <w:tcW w:w="2157" w:type="dxa"/>
            <w:noWrap w:val="0"/>
            <w:vAlign w:val="center"/>
          </w:tcPr>
          <w:p>
            <w:pPr>
              <w:jc w:val="center"/>
              <w:rPr>
                <w:sz w:val="21"/>
                <w:szCs w:val="21"/>
              </w:rPr>
            </w:pPr>
            <w:r>
              <w:rPr>
                <w:rFonts w:hAnsi="宋体"/>
                <w:sz w:val="21"/>
                <w:szCs w:val="21"/>
              </w:rPr>
              <w:t>凤凰镇</w:t>
            </w:r>
          </w:p>
        </w:tc>
        <w:tc>
          <w:tcPr>
            <w:tcW w:w="1891" w:type="dxa"/>
            <w:noWrap w:val="0"/>
            <w:vAlign w:val="center"/>
          </w:tcPr>
          <w:p>
            <w:pPr>
              <w:jc w:val="center"/>
              <w:rPr>
                <w:sz w:val="21"/>
                <w:szCs w:val="21"/>
              </w:rPr>
            </w:pPr>
            <w:r>
              <w:rPr>
                <w:sz w:val="21"/>
                <w:szCs w:val="21"/>
              </w:rPr>
              <w:t>628528</w:t>
            </w:r>
          </w:p>
        </w:tc>
        <w:tc>
          <w:tcPr>
            <w:tcW w:w="1787" w:type="dxa"/>
            <w:noWrap w:val="0"/>
            <w:vAlign w:val="center"/>
          </w:tcPr>
          <w:p>
            <w:pPr>
              <w:jc w:val="center"/>
              <w:rPr>
                <w:sz w:val="21"/>
                <w:szCs w:val="21"/>
              </w:rPr>
            </w:pPr>
            <w:r>
              <w:rPr>
                <w:sz w:val="21"/>
                <w:szCs w:val="21"/>
              </w:rPr>
              <w:t>3286145</w:t>
            </w:r>
          </w:p>
        </w:tc>
        <w:tc>
          <w:tcPr>
            <w:tcW w:w="1484" w:type="dxa"/>
            <w:noWrap w:val="0"/>
            <w:vAlign w:val="center"/>
          </w:tcPr>
          <w:p>
            <w:pPr>
              <w:jc w:val="center"/>
              <w:rPr>
                <w:rFonts w:hint="eastAsia"/>
                <w:sz w:val="21"/>
                <w:szCs w:val="21"/>
              </w:rPr>
            </w:pPr>
            <w:r>
              <w:rPr>
                <w:rFonts w:hint="eastAsia"/>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10</w:t>
            </w:r>
          </w:p>
        </w:tc>
        <w:tc>
          <w:tcPr>
            <w:tcW w:w="2157" w:type="dxa"/>
            <w:noWrap w:val="0"/>
            <w:vAlign w:val="center"/>
          </w:tcPr>
          <w:p>
            <w:pPr>
              <w:jc w:val="center"/>
              <w:rPr>
                <w:sz w:val="21"/>
                <w:szCs w:val="21"/>
              </w:rPr>
            </w:pPr>
            <w:r>
              <w:rPr>
                <w:rFonts w:hAnsi="宋体"/>
                <w:sz w:val="21"/>
                <w:szCs w:val="21"/>
              </w:rPr>
              <w:t>管家桥村</w:t>
            </w:r>
          </w:p>
        </w:tc>
        <w:tc>
          <w:tcPr>
            <w:tcW w:w="1891" w:type="dxa"/>
            <w:noWrap w:val="0"/>
            <w:vAlign w:val="center"/>
          </w:tcPr>
          <w:p>
            <w:pPr>
              <w:jc w:val="center"/>
              <w:rPr>
                <w:rFonts w:hint="eastAsia"/>
                <w:sz w:val="21"/>
                <w:szCs w:val="21"/>
              </w:rPr>
            </w:pPr>
            <w:r>
              <w:rPr>
                <w:rFonts w:hint="eastAsia"/>
                <w:sz w:val="21"/>
                <w:szCs w:val="21"/>
              </w:rPr>
              <w:t>626898</w:t>
            </w:r>
          </w:p>
        </w:tc>
        <w:tc>
          <w:tcPr>
            <w:tcW w:w="1787" w:type="dxa"/>
            <w:noWrap w:val="0"/>
            <w:vAlign w:val="center"/>
          </w:tcPr>
          <w:p>
            <w:pPr>
              <w:jc w:val="center"/>
              <w:rPr>
                <w:rFonts w:hint="eastAsia"/>
                <w:sz w:val="21"/>
                <w:szCs w:val="21"/>
              </w:rPr>
            </w:pPr>
            <w:r>
              <w:rPr>
                <w:rFonts w:hint="eastAsia"/>
                <w:sz w:val="21"/>
                <w:szCs w:val="21"/>
              </w:rPr>
              <w:t>3280765</w:t>
            </w:r>
          </w:p>
        </w:tc>
        <w:tc>
          <w:tcPr>
            <w:tcW w:w="1484" w:type="dxa"/>
            <w:noWrap w:val="0"/>
            <w:vAlign w:val="center"/>
          </w:tcPr>
          <w:p>
            <w:pPr>
              <w:jc w:val="center"/>
              <w:rPr>
                <w:rFonts w:hint="eastAsia"/>
                <w:sz w:val="21"/>
                <w:szCs w:val="21"/>
              </w:rPr>
            </w:pPr>
            <w:r>
              <w:rPr>
                <w:rFonts w:hint="eastAsia"/>
                <w:sz w:val="21"/>
                <w:szCs w:val="21"/>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11</w:t>
            </w:r>
          </w:p>
        </w:tc>
        <w:tc>
          <w:tcPr>
            <w:tcW w:w="2157" w:type="dxa"/>
            <w:noWrap w:val="0"/>
            <w:vAlign w:val="center"/>
          </w:tcPr>
          <w:p>
            <w:pPr>
              <w:jc w:val="center"/>
              <w:rPr>
                <w:sz w:val="21"/>
                <w:szCs w:val="21"/>
              </w:rPr>
            </w:pPr>
            <w:r>
              <w:rPr>
                <w:rFonts w:hAnsi="宋体"/>
                <w:sz w:val="21"/>
                <w:szCs w:val="21"/>
              </w:rPr>
              <w:t>陈家桥镇</w:t>
            </w:r>
          </w:p>
        </w:tc>
        <w:tc>
          <w:tcPr>
            <w:tcW w:w="1891" w:type="dxa"/>
            <w:noWrap w:val="0"/>
            <w:vAlign w:val="center"/>
          </w:tcPr>
          <w:p>
            <w:pPr>
              <w:jc w:val="center"/>
              <w:rPr>
                <w:sz w:val="21"/>
                <w:szCs w:val="21"/>
              </w:rPr>
            </w:pPr>
            <w:r>
              <w:rPr>
                <w:sz w:val="21"/>
                <w:szCs w:val="21"/>
              </w:rPr>
              <w:t>629538</w:t>
            </w:r>
          </w:p>
        </w:tc>
        <w:tc>
          <w:tcPr>
            <w:tcW w:w="1787" w:type="dxa"/>
            <w:noWrap w:val="0"/>
            <w:vAlign w:val="center"/>
          </w:tcPr>
          <w:p>
            <w:pPr>
              <w:jc w:val="center"/>
              <w:rPr>
                <w:sz w:val="21"/>
                <w:szCs w:val="21"/>
              </w:rPr>
            </w:pPr>
            <w:r>
              <w:rPr>
                <w:sz w:val="21"/>
                <w:szCs w:val="21"/>
              </w:rPr>
              <w:t>3277125</w:t>
            </w:r>
          </w:p>
        </w:tc>
        <w:tc>
          <w:tcPr>
            <w:tcW w:w="1484" w:type="dxa"/>
            <w:noWrap w:val="0"/>
            <w:vAlign w:val="center"/>
          </w:tcPr>
          <w:p>
            <w:pPr>
              <w:jc w:val="center"/>
              <w:rPr>
                <w:rFonts w:hint="eastAsia"/>
                <w:sz w:val="21"/>
                <w:szCs w:val="21"/>
              </w:rPr>
            </w:pPr>
            <w:r>
              <w:rPr>
                <w:rFonts w:hint="eastAsia"/>
                <w:sz w:val="21"/>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noWrap w:val="0"/>
            <w:vAlign w:val="center"/>
          </w:tcPr>
          <w:p>
            <w:pPr>
              <w:adjustRightInd w:val="0"/>
              <w:snapToGrid w:val="0"/>
              <w:spacing w:line="360" w:lineRule="auto"/>
              <w:jc w:val="center"/>
              <w:rPr>
                <w:sz w:val="21"/>
                <w:szCs w:val="21"/>
              </w:rPr>
            </w:pPr>
            <w:r>
              <w:rPr>
                <w:sz w:val="21"/>
                <w:szCs w:val="21"/>
              </w:rPr>
              <w:t>12</w:t>
            </w:r>
          </w:p>
        </w:tc>
        <w:tc>
          <w:tcPr>
            <w:tcW w:w="2157" w:type="dxa"/>
            <w:noWrap w:val="0"/>
            <w:vAlign w:val="center"/>
          </w:tcPr>
          <w:p>
            <w:pPr>
              <w:jc w:val="center"/>
              <w:rPr>
                <w:sz w:val="21"/>
                <w:szCs w:val="21"/>
              </w:rPr>
            </w:pPr>
            <w:r>
              <w:rPr>
                <w:rFonts w:hAnsi="宋体"/>
                <w:sz w:val="21"/>
                <w:szCs w:val="21"/>
              </w:rPr>
              <w:t>大学城</w:t>
            </w:r>
          </w:p>
        </w:tc>
        <w:tc>
          <w:tcPr>
            <w:tcW w:w="1891" w:type="dxa"/>
            <w:noWrap w:val="0"/>
            <w:vAlign w:val="center"/>
          </w:tcPr>
          <w:p>
            <w:pPr>
              <w:jc w:val="center"/>
              <w:rPr>
                <w:sz w:val="21"/>
                <w:szCs w:val="21"/>
              </w:rPr>
            </w:pPr>
            <w:r>
              <w:rPr>
                <w:sz w:val="21"/>
                <w:szCs w:val="21"/>
              </w:rPr>
              <w:t>626478</w:t>
            </w:r>
          </w:p>
        </w:tc>
        <w:tc>
          <w:tcPr>
            <w:tcW w:w="1787" w:type="dxa"/>
            <w:noWrap w:val="0"/>
            <w:vAlign w:val="center"/>
          </w:tcPr>
          <w:p>
            <w:pPr>
              <w:jc w:val="center"/>
              <w:rPr>
                <w:sz w:val="21"/>
                <w:szCs w:val="21"/>
              </w:rPr>
            </w:pPr>
            <w:r>
              <w:rPr>
                <w:sz w:val="21"/>
                <w:szCs w:val="21"/>
              </w:rPr>
              <w:t>3275145</w:t>
            </w:r>
          </w:p>
        </w:tc>
        <w:tc>
          <w:tcPr>
            <w:tcW w:w="1484" w:type="dxa"/>
            <w:noWrap w:val="0"/>
            <w:vAlign w:val="center"/>
          </w:tcPr>
          <w:p>
            <w:pPr>
              <w:jc w:val="center"/>
              <w:rPr>
                <w:rFonts w:hint="eastAsia"/>
                <w:sz w:val="21"/>
                <w:szCs w:val="21"/>
              </w:rPr>
            </w:pPr>
            <w:r>
              <w:rPr>
                <w:rFonts w:hint="eastAsia"/>
                <w:sz w:val="21"/>
                <w:szCs w:val="21"/>
              </w:rPr>
              <w:t>283</w:t>
            </w:r>
          </w:p>
        </w:tc>
      </w:tr>
    </w:tbl>
    <w:p>
      <w:pPr>
        <w:adjustRightInd w:val="0"/>
        <w:snapToGrid w:val="0"/>
        <w:spacing w:line="360" w:lineRule="auto"/>
        <w:rPr>
          <w:rFonts w:hint="eastAsia"/>
        </w:rPr>
      </w:pPr>
      <w:r>
        <w:drawing>
          <wp:anchor distT="0" distB="0" distL="114300" distR="114300" simplePos="0" relativeHeight="251876352" behindDoc="0" locked="0" layoutInCell="1" allowOverlap="1">
            <wp:simplePos x="0" y="0"/>
            <wp:positionH relativeFrom="column">
              <wp:posOffset>0</wp:posOffset>
            </wp:positionH>
            <wp:positionV relativeFrom="paragraph">
              <wp:posOffset>161290</wp:posOffset>
            </wp:positionV>
            <wp:extent cx="2724150" cy="3362325"/>
            <wp:effectExtent l="9525" t="9525" r="9525" b="19050"/>
            <wp:wrapSquare wrapText="bothSides"/>
            <wp:docPr id="380"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62"/>
                    <pic:cNvPicPr>
                      <a:picLocks noChangeAspect="1"/>
                    </pic:cNvPicPr>
                  </pic:nvPicPr>
                  <pic:blipFill>
                    <a:blip r:embed="rId48"/>
                    <a:stretch>
                      <a:fillRect/>
                    </a:stretch>
                  </pic:blipFill>
                  <pic:spPr>
                    <a:xfrm>
                      <a:off x="0" y="0"/>
                      <a:ext cx="2724150" cy="3362325"/>
                    </a:xfrm>
                    <a:prstGeom prst="rect">
                      <a:avLst/>
                    </a:prstGeom>
                    <a:solidFill>
                      <a:srgbClr val="FFFFFF"/>
                    </a:solidFill>
                    <a:ln w="6350" cap="flat" cmpd="sng">
                      <a:solidFill>
                        <a:srgbClr val="000000"/>
                      </a:solidFill>
                      <a:prstDash val="solid"/>
                      <a:miter/>
                      <a:headEnd type="none" w="med" len="med"/>
                      <a:tailEnd type="none" w="med" len="med"/>
                    </a:ln>
                  </pic:spPr>
                </pic:pic>
              </a:graphicData>
            </a:graphic>
          </wp:anchor>
        </w:drawing>
      </w:r>
    </w:p>
    <w:p>
      <w:pPr>
        <w:adjustRightInd w:val="0"/>
        <w:snapToGrid w:val="0"/>
        <w:spacing w:line="360" w:lineRule="auto"/>
      </w:pPr>
      <w:r>
        <w:drawing>
          <wp:anchor distT="0" distB="0" distL="114300" distR="114300" simplePos="0" relativeHeight="251860992" behindDoc="0" locked="0" layoutInCell="1" allowOverlap="1">
            <wp:simplePos x="0" y="0"/>
            <wp:positionH relativeFrom="column">
              <wp:posOffset>241300</wp:posOffset>
            </wp:positionH>
            <wp:positionV relativeFrom="paragraph">
              <wp:posOffset>-2540</wp:posOffset>
            </wp:positionV>
            <wp:extent cx="2733675" cy="2733675"/>
            <wp:effectExtent l="0" t="0" r="9525" b="9525"/>
            <wp:wrapSquare wrapText="bothSides"/>
            <wp:docPr id="379"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63"/>
                    <pic:cNvPicPr>
                      <a:picLocks noChangeAspect="1"/>
                    </pic:cNvPicPr>
                  </pic:nvPicPr>
                  <pic:blipFill>
                    <a:blip r:embed="rId49"/>
                    <a:stretch>
                      <a:fillRect/>
                    </a:stretch>
                  </pic:blipFill>
                  <pic:spPr>
                    <a:xfrm>
                      <a:off x="0" y="0"/>
                      <a:ext cx="2733675" cy="2733675"/>
                    </a:xfrm>
                    <a:prstGeom prst="rect">
                      <a:avLst/>
                    </a:prstGeom>
                    <a:noFill/>
                    <a:ln>
                      <a:noFill/>
                    </a:ln>
                  </pic:spPr>
                </pic:pic>
              </a:graphicData>
            </a:graphic>
          </wp:anchor>
        </w:drawing>
      </w:r>
      <w:r>
        <w:rPr>
          <w:rFonts w:hint="eastAsia"/>
        </w:rPr>
        <w:t xml:space="preserve">    </w:t>
      </w:r>
    </w:p>
    <w:p/>
    <w:p>
      <w:pPr>
        <w:adjustRightInd w:val="0"/>
        <w:snapToGrid w:val="0"/>
        <w:spacing w:line="360" w:lineRule="auto"/>
        <w:jc w:val="center"/>
        <w:rPr>
          <w:b/>
        </w:rPr>
      </w:pPr>
      <w:r>
        <w:rPr>
          <w:b/>
        </w:rPr>
        <w:t xml:space="preserve">    图</w:t>
      </w:r>
      <w:r>
        <w:rPr>
          <w:rFonts w:hint="eastAsia"/>
          <w:b/>
        </w:rPr>
        <w:t>8</w:t>
      </w:r>
      <w:r>
        <w:rPr>
          <w:b/>
        </w:rPr>
        <w:t>.</w:t>
      </w:r>
      <w:r>
        <w:rPr>
          <w:rFonts w:hint="eastAsia"/>
          <w:b/>
        </w:rPr>
        <w:t>4</w:t>
      </w:r>
      <w:r>
        <w:rPr>
          <w:b/>
        </w:rPr>
        <w:t xml:space="preserve">  计算网格点示意图             图</w:t>
      </w:r>
      <w:r>
        <w:rPr>
          <w:rFonts w:hint="eastAsia"/>
          <w:b/>
        </w:rPr>
        <w:t>8</w:t>
      </w:r>
      <w:r>
        <w:rPr>
          <w:b/>
        </w:rPr>
        <w:t>.</w:t>
      </w:r>
      <w:r>
        <w:rPr>
          <w:rFonts w:hint="eastAsia"/>
          <w:b/>
        </w:rPr>
        <w:t>5</w:t>
      </w:r>
      <w:r>
        <w:rPr>
          <w:b/>
        </w:rPr>
        <w:t xml:space="preserve">  沙坪坝区0</w:t>
      </w:r>
      <w:r>
        <w:rPr>
          <w:rFonts w:hint="eastAsia"/>
          <w:b/>
        </w:rPr>
        <w:t>7</w:t>
      </w:r>
      <w:r>
        <w:rPr>
          <w:b/>
        </w:rPr>
        <w:t>年度风频玫瑰图</w:t>
      </w:r>
    </w:p>
    <w:p>
      <w:pPr>
        <w:adjustRightInd w:val="0"/>
        <w:snapToGrid w:val="0"/>
        <w:spacing w:line="360" w:lineRule="auto"/>
        <w:ind w:firstLine="210" w:firstLineChars="100"/>
        <w:rPr>
          <w:rFonts w:hint="eastAsia"/>
        </w:rPr>
      </w:pPr>
    </w:p>
    <w:p>
      <w:pPr>
        <w:adjustRightInd w:val="0"/>
        <w:snapToGrid w:val="0"/>
        <w:spacing w:line="360" w:lineRule="auto"/>
        <w:ind w:firstLine="210" w:firstLineChars="100"/>
        <w:rPr>
          <w:rFonts w:hint="eastAsia"/>
        </w:rPr>
      </w:pPr>
      <w:r>
        <w:t>（4）评价范围与地形数据</w:t>
      </w:r>
    </w:p>
    <w:p>
      <w:pPr>
        <w:adjustRightInd w:val="0"/>
        <w:snapToGrid w:val="0"/>
        <w:spacing w:line="360" w:lineRule="auto"/>
        <w:ind w:firstLine="420" w:firstLineChars="200"/>
      </w:pPr>
      <w:r>
        <w:t>地形数据采用srtm(Shuttle Radar Topography Mission)V4.1版本数据，该数据为2000年采集，数据分辨率精度约90m。根据此数据对技改项目评价范围内的地形进行模拟，其表面图见图</w:t>
      </w:r>
      <w:r>
        <w:rPr>
          <w:rFonts w:hint="eastAsia"/>
        </w:rPr>
        <w:t>8</w:t>
      </w:r>
      <w:r>
        <w:t>.</w:t>
      </w:r>
      <w:r>
        <w:rPr>
          <w:rFonts w:hint="eastAsia"/>
        </w:rPr>
        <w:t>6</w:t>
      </w:r>
      <w:r>
        <w:t>。</w:t>
      </w:r>
    </w:p>
    <w:p>
      <w:pPr>
        <w:adjustRightInd w:val="0"/>
        <w:snapToGrid w:val="0"/>
        <w:spacing w:line="360" w:lineRule="auto"/>
        <w:ind w:firstLine="420" w:firstLineChars="200"/>
        <w:jc w:val="center"/>
      </w:pPr>
      <w:r>
        <mc:AlternateContent>
          <mc:Choice Requires="wps">
            <w:drawing>
              <wp:anchor distT="0" distB="0" distL="114300" distR="114300" simplePos="0" relativeHeight="251858944" behindDoc="0" locked="0" layoutInCell="1" allowOverlap="1">
                <wp:simplePos x="0" y="0"/>
                <wp:positionH relativeFrom="column">
                  <wp:posOffset>4000500</wp:posOffset>
                </wp:positionH>
                <wp:positionV relativeFrom="paragraph">
                  <wp:posOffset>544195</wp:posOffset>
                </wp:positionV>
                <wp:extent cx="1028700" cy="297180"/>
                <wp:effectExtent l="1258570" t="4445" r="17780" b="879475"/>
                <wp:wrapNone/>
                <wp:docPr id="377" name="圆角矩形标注 377"/>
                <wp:cNvGraphicFramePr/>
                <a:graphic xmlns:a="http://schemas.openxmlformats.org/drawingml/2006/main">
                  <a:graphicData uri="http://schemas.microsoft.com/office/word/2010/wordprocessingShape">
                    <wps:wsp>
                      <wps:cNvSpPr/>
                      <wps:spPr>
                        <a:xfrm>
                          <a:off x="0" y="0"/>
                          <a:ext cx="1028700" cy="297180"/>
                        </a:xfrm>
                        <a:prstGeom prst="wedgeRoundRectCallout">
                          <a:avLst>
                            <a:gd name="adj1" fmla="val -168949"/>
                            <a:gd name="adj2" fmla="val 337181"/>
                            <a:gd name="adj3" fmla="val 16667"/>
                          </a:avLst>
                        </a:prstGeom>
                        <a:solidFill>
                          <a:srgbClr val="FFFFFF"/>
                        </a:solidFill>
                        <a:ln w="9525" cap="flat" cmpd="sng">
                          <a:solidFill>
                            <a:srgbClr val="339966"/>
                          </a:solidFill>
                          <a:prstDash val="solid"/>
                          <a:miter/>
                          <a:headEnd type="none" w="med" len="med"/>
                          <a:tailEnd type="none" w="med" len="med"/>
                        </a:ln>
                      </wps:spPr>
                      <wps:txbx>
                        <w:txbxContent>
                          <w:p>
                            <w:pPr>
                              <w:jc w:val="center"/>
                              <w:rPr>
                                <w:rFonts w:hint="eastAsia"/>
                              </w:rPr>
                            </w:pPr>
                            <w:r>
                              <w:rPr>
                                <w:rFonts w:hint="eastAsia"/>
                              </w:rPr>
                              <w:t>技改项目</w:t>
                            </w:r>
                          </w:p>
                        </w:txbxContent>
                      </wps:txbx>
                      <wps:bodyPr upright="1"/>
                    </wps:wsp>
                  </a:graphicData>
                </a:graphic>
              </wp:anchor>
            </w:drawing>
          </mc:Choice>
          <mc:Fallback>
            <w:pict>
              <v:shape id="_x0000_s1026" o:spid="_x0000_s1026" o:spt="62" type="#_x0000_t62" style="position:absolute;left:0pt;margin-left:315pt;margin-top:42.85pt;height:23.4pt;width:81pt;z-index:251858944;mso-width-relative:page;mso-height-relative:page;" fillcolor="#FFFFFF" filled="t" stroked="t" coordsize="21600,21600" o:gfxdata="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&#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y3Mu2gAAAAoBAAAPAAAAAAAAAAEAIAAAACIAAABk&#10;cnMvZG93bnJldi54bWxQSwECFAAUAAAACACHTuJAJCTMGj0CAAB0BAAADgAAAAAAAAABACAAAAAp&#10;AQAAZHJzL2Uyb0RvYy54bWxQSwUGAAAAAAYABgBZAQAA2AUAAAAA&#10;" adj="-25693,83631,14400">
                <v:fill on="t" focussize="0,0"/>
                <v:stroke color="#339966" joinstyle="miter"/>
                <v:imagedata o:title=""/>
                <o:lock v:ext="edit" aspectratio="f"/>
                <v:textbox>
                  <w:txbxContent>
                    <w:p>
                      <w:pPr>
                        <w:jc w:val="center"/>
                        <w:rPr>
                          <w:rFonts w:hint="eastAsia"/>
                        </w:rPr>
                      </w:pPr>
                      <w:r>
                        <w:rPr>
                          <w:rFonts w:hint="eastAsia"/>
                        </w:rPr>
                        <w:t>技改项目</w:t>
                      </w:r>
                    </w:p>
                  </w:txbxContent>
                </v:textbox>
              </v:shape>
            </w:pict>
          </mc:Fallback>
        </mc:AlternateContent>
      </w:r>
      <w:r>
        <w:drawing>
          <wp:inline distT="0" distB="0" distL="114300" distR="114300">
            <wp:extent cx="4043680" cy="3944620"/>
            <wp:effectExtent l="0" t="0" r="0" b="0"/>
            <wp:docPr id="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7"/>
                    <pic:cNvPicPr>
                      <a:picLocks noChangeAspect="1"/>
                    </pic:cNvPicPr>
                  </pic:nvPicPr>
                  <pic:blipFill>
                    <a:blip r:embed="rId50"/>
                    <a:stretch>
                      <a:fillRect/>
                    </a:stretch>
                  </pic:blipFill>
                  <pic:spPr>
                    <a:xfrm>
                      <a:off x="0" y="0"/>
                      <a:ext cx="4043680" cy="3944620"/>
                    </a:xfrm>
                    <a:prstGeom prst="rect">
                      <a:avLst/>
                    </a:prstGeom>
                    <a:noFill/>
                    <a:ln>
                      <a:noFill/>
                    </a:ln>
                  </pic:spPr>
                </pic:pic>
              </a:graphicData>
            </a:graphic>
          </wp:inline>
        </w:drawing>
      </w:r>
    </w:p>
    <w:p>
      <w:pPr>
        <w:adjustRightInd w:val="0"/>
        <w:snapToGrid w:val="0"/>
        <w:spacing w:line="360" w:lineRule="auto"/>
        <w:ind w:firstLine="422" w:firstLineChars="200"/>
        <w:jc w:val="center"/>
        <w:rPr>
          <w:b/>
        </w:rPr>
      </w:pPr>
      <w:r>
        <w:rPr>
          <w:b/>
        </w:rPr>
        <w:t>图</w:t>
      </w:r>
      <w:r>
        <w:rPr>
          <w:rFonts w:hint="eastAsia"/>
          <w:b/>
        </w:rPr>
        <w:t>8</w:t>
      </w:r>
      <w:r>
        <w:rPr>
          <w:b/>
        </w:rPr>
        <w:t>.</w:t>
      </w:r>
      <w:r>
        <w:rPr>
          <w:rFonts w:hint="eastAsia"/>
          <w:b/>
        </w:rPr>
        <w:t>6</w:t>
      </w:r>
      <w:r>
        <w:rPr>
          <w:b/>
        </w:rPr>
        <w:t xml:space="preserve"> 技改项目地形模拟图</w:t>
      </w:r>
    </w:p>
    <w:p>
      <w:pPr>
        <w:adjustRightInd w:val="0"/>
        <w:snapToGrid w:val="0"/>
        <w:spacing w:line="360" w:lineRule="auto"/>
        <w:ind w:firstLine="420" w:firstLineChars="200"/>
      </w:pPr>
      <w:r>
        <w:t>（5）预测模式及参数的选择</w:t>
      </w:r>
    </w:p>
    <w:p>
      <w:pPr>
        <w:adjustRightInd w:val="0"/>
        <w:snapToGrid w:val="0"/>
        <w:spacing w:line="360" w:lineRule="auto"/>
        <w:ind w:firstLine="420" w:firstLineChars="200"/>
      </w:pPr>
      <w:r>
        <w:t>采用HJ/T2.2-2008中推荐的ADMS模式进行预测，根据估算模式计算，技改项目最大影响浓度离源距离均远小于50km，因此可利用ADMS模式进行预测计算。本次预测采用ADMS-EIA2.3版本进行计算。</w:t>
      </w:r>
    </w:p>
    <w:p>
      <w:pPr>
        <w:adjustRightInd w:val="0"/>
        <w:snapToGrid w:val="0"/>
        <w:spacing w:line="360" w:lineRule="auto"/>
        <w:ind w:firstLine="420" w:firstLineChars="200"/>
        <w:rPr>
          <w:rFonts w:hint="eastAsia"/>
        </w:rPr>
      </w:pPr>
      <w:r>
        <w:t>此次预测参数选择见表</w:t>
      </w:r>
      <w:r>
        <w:rPr>
          <w:rFonts w:hint="eastAsia"/>
        </w:rPr>
        <w:t>8</w:t>
      </w:r>
      <w:r>
        <w:t>-</w:t>
      </w:r>
      <w:r>
        <w:rPr>
          <w:rFonts w:hint="eastAsia"/>
        </w:rPr>
        <w:t>6。</w:t>
      </w:r>
    </w:p>
    <w:p>
      <w:pPr>
        <w:adjustRightInd w:val="0"/>
        <w:snapToGrid w:val="0"/>
        <w:spacing w:line="360" w:lineRule="auto"/>
        <w:jc w:val="center"/>
        <w:rPr>
          <w:b/>
        </w:rPr>
      </w:pPr>
      <w:r>
        <w:rPr>
          <w:b/>
        </w:rPr>
        <w:t>表</w:t>
      </w:r>
      <w:r>
        <w:rPr>
          <w:rFonts w:hint="eastAsia"/>
          <w:b/>
        </w:rPr>
        <w:t>8</w:t>
      </w:r>
      <w:r>
        <w:rPr>
          <w:b/>
        </w:rPr>
        <w:t>-</w:t>
      </w:r>
      <w:r>
        <w:rPr>
          <w:rFonts w:hint="eastAsia"/>
          <w:b/>
        </w:rPr>
        <w:t>6</w:t>
      </w:r>
      <w:r>
        <w:rPr>
          <w:b/>
        </w:rPr>
        <w:t xml:space="preserve">  技改项目预测模式参数选择</w:t>
      </w:r>
    </w:p>
    <w:tbl>
      <w:tblPr>
        <w:tblStyle w:val="20"/>
        <w:tblW w:w="531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242"/>
        <w:gridCol w:w="512"/>
        <w:gridCol w:w="156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242" w:type="dxa"/>
            <w:noWrap w:val="0"/>
            <w:vAlign w:val="center"/>
          </w:tcPr>
          <w:p>
            <w:pPr>
              <w:pStyle w:val="33"/>
              <w:snapToGrid w:val="0"/>
              <w:spacing w:line="280" w:lineRule="exact"/>
              <w:ind w:right="-122"/>
              <w:rPr>
                <w:color w:val="auto"/>
              </w:rPr>
            </w:pPr>
            <w:r>
              <w:rPr>
                <w:color w:val="auto"/>
              </w:rPr>
              <w:t>名称</w:t>
            </w:r>
          </w:p>
        </w:tc>
        <w:tc>
          <w:tcPr>
            <w:tcW w:w="512" w:type="dxa"/>
            <w:noWrap w:val="0"/>
            <w:vAlign w:val="center"/>
          </w:tcPr>
          <w:p>
            <w:pPr>
              <w:pStyle w:val="33"/>
              <w:snapToGrid w:val="0"/>
              <w:spacing w:line="280" w:lineRule="exact"/>
              <w:ind w:right="-122"/>
              <w:rPr>
                <w:color w:val="auto"/>
              </w:rPr>
            </w:pPr>
            <w:r>
              <w:rPr>
                <w:color w:val="auto"/>
              </w:rPr>
              <w:t>单位</w:t>
            </w:r>
          </w:p>
        </w:tc>
        <w:tc>
          <w:tcPr>
            <w:tcW w:w="1562" w:type="dxa"/>
            <w:noWrap w:val="0"/>
            <w:vAlign w:val="center"/>
          </w:tcPr>
          <w:p>
            <w:pPr>
              <w:pStyle w:val="33"/>
              <w:snapToGrid w:val="0"/>
              <w:spacing w:line="280" w:lineRule="exact"/>
              <w:ind w:right="-122"/>
              <w:rPr>
                <w:color w:val="auto"/>
              </w:rPr>
            </w:pPr>
            <w:r>
              <w:rPr>
                <w:color w:val="auto"/>
              </w:rPr>
              <w:t>数值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3242" w:type="dxa"/>
            <w:noWrap w:val="0"/>
            <w:vAlign w:val="center"/>
          </w:tcPr>
          <w:p>
            <w:pPr>
              <w:pStyle w:val="33"/>
              <w:snapToGrid w:val="0"/>
              <w:spacing w:line="280" w:lineRule="exact"/>
              <w:ind w:right="-122"/>
              <w:rPr>
                <w:color w:val="auto"/>
              </w:rPr>
            </w:pPr>
            <w:r>
              <w:rPr>
                <w:color w:val="auto"/>
              </w:rPr>
              <w:t>地面粗糙度</w:t>
            </w:r>
          </w:p>
        </w:tc>
        <w:tc>
          <w:tcPr>
            <w:tcW w:w="512" w:type="dxa"/>
            <w:noWrap w:val="0"/>
            <w:vAlign w:val="center"/>
          </w:tcPr>
          <w:p>
            <w:pPr>
              <w:pStyle w:val="33"/>
              <w:snapToGrid w:val="0"/>
              <w:spacing w:line="280" w:lineRule="exact"/>
              <w:ind w:right="-122"/>
              <w:rPr>
                <w:color w:val="auto"/>
              </w:rPr>
            </w:pPr>
            <w:r>
              <w:rPr>
                <w:color w:val="auto"/>
              </w:rPr>
              <w:t>m</w:t>
            </w:r>
          </w:p>
        </w:tc>
        <w:tc>
          <w:tcPr>
            <w:tcW w:w="1562" w:type="dxa"/>
            <w:noWrap w:val="0"/>
            <w:vAlign w:val="center"/>
          </w:tcPr>
          <w:p>
            <w:pPr>
              <w:pStyle w:val="33"/>
              <w:snapToGrid w:val="0"/>
              <w:spacing w:line="280" w:lineRule="exact"/>
              <w:ind w:right="-122"/>
              <w:rPr>
                <w:color w:val="auto"/>
              </w:rPr>
            </w:pPr>
            <w:r>
              <w:rPr>
                <w:color w:val="auto"/>
              </w:rPr>
              <w:t>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3242" w:type="dxa"/>
            <w:noWrap w:val="0"/>
            <w:vAlign w:val="center"/>
          </w:tcPr>
          <w:p>
            <w:pPr>
              <w:pStyle w:val="33"/>
              <w:snapToGrid w:val="0"/>
              <w:spacing w:line="280" w:lineRule="exact"/>
              <w:ind w:right="-122"/>
              <w:rPr>
                <w:color w:val="auto"/>
              </w:rPr>
            </w:pPr>
            <w:r>
              <w:rPr>
                <w:color w:val="auto"/>
              </w:rPr>
              <w:t>纬度</w:t>
            </w:r>
          </w:p>
        </w:tc>
        <w:tc>
          <w:tcPr>
            <w:tcW w:w="512" w:type="dxa"/>
            <w:noWrap w:val="0"/>
            <w:vAlign w:val="center"/>
          </w:tcPr>
          <w:p>
            <w:pPr>
              <w:pStyle w:val="33"/>
              <w:snapToGrid w:val="0"/>
              <w:spacing w:line="280" w:lineRule="exact"/>
              <w:ind w:right="-122"/>
              <w:rPr>
                <w:color w:val="auto"/>
              </w:rPr>
            </w:pPr>
            <w:r>
              <w:rPr>
                <w:color w:val="auto"/>
              </w:rPr>
              <w:t>度</w:t>
            </w:r>
          </w:p>
        </w:tc>
        <w:tc>
          <w:tcPr>
            <w:tcW w:w="1562" w:type="dxa"/>
            <w:noWrap w:val="0"/>
            <w:vAlign w:val="center"/>
          </w:tcPr>
          <w:p>
            <w:pPr>
              <w:pStyle w:val="33"/>
              <w:snapToGrid w:val="0"/>
              <w:spacing w:line="280" w:lineRule="exact"/>
              <w:ind w:right="-122"/>
              <w:rPr>
                <w:color w:val="auto"/>
              </w:rPr>
            </w:pPr>
            <w:r>
              <w:rPr>
                <w:color w:val="auto"/>
              </w:rPr>
              <w:t>28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3242" w:type="dxa"/>
            <w:noWrap w:val="0"/>
            <w:vAlign w:val="center"/>
          </w:tcPr>
          <w:p>
            <w:pPr>
              <w:pStyle w:val="33"/>
              <w:snapToGrid w:val="0"/>
              <w:spacing w:line="280" w:lineRule="exact"/>
              <w:ind w:right="-122"/>
              <w:rPr>
                <w:color w:val="auto"/>
              </w:rPr>
            </w:pPr>
            <w:r>
              <w:rPr>
                <w:color w:val="auto"/>
              </w:rPr>
              <w:t>规定Monin-Obukhov长度的最小值</w:t>
            </w:r>
          </w:p>
        </w:tc>
        <w:tc>
          <w:tcPr>
            <w:tcW w:w="512" w:type="dxa"/>
            <w:noWrap w:val="0"/>
            <w:vAlign w:val="center"/>
          </w:tcPr>
          <w:p>
            <w:pPr>
              <w:pStyle w:val="33"/>
              <w:snapToGrid w:val="0"/>
              <w:spacing w:line="280" w:lineRule="exact"/>
              <w:ind w:right="-122"/>
              <w:rPr>
                <w:color w:val="auto"/>
              </w:rPr>
            </w:pPr>
            <w:r>
              <w:rPr>
                <w:color w:val="auto"/>
              </w:rPr>
              <w:t>/</w:t>
            </w:r>
          </w:p>
        </w:tc>
        <w:tc>
          <w:tcPr>
            <w:tcW w:w="1562" w:type="dxa"/>
            <w:noWrap w:val="0"/>
            <w:vAlign w:val="center"/>
          </w:tcPr>
          <w:p>
            <w:pPr>
              <w:pStyle w:val="33"/>
              <w:snapToGrid w:val="0"/>
              <w:spacing w:line="280" w:lineRule="exact"/>
              <w:ind w:right="-122"/>
              <w:rPr>
                <w:rFonts w:hint="eastAsia"/>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3242" w:type="dxa"/>
            <w:noWrap w:val="0"/>
            <w:vAlign w:val="center"/>
          </w:tcPr>
          <w:p>
            <w:pPr>
              <w:pStyle w:val="33"/>
              <w:snapToGrid w:val="0"/>
              <w:spacing w:line="280" w:lineRule="exact"/>
              <w:ind w:right="-122"/>
              <w:rPr>
                <w:color w:val="auto"/>
              </w:rPr>
            </w:pPr>
            <w:r>
              <w:rPr>
                <w:color w:val="auto"/>
              </w:rPr>
              <w:t>测风高度</w:t>
            </w:r>
          </w:p>
        </w:tc>
        <w:tc>
          <w:tcPr>
            <w:tcW w:w="512" w:type="dxa"/>
            <w:noWrap w:val="0"/>
            <w:vAlign w:val="center"/>
          </w:tcPr>
          <w:p>
            <w:pPr>
              <w:pStyle w:val="33"/>
              <w:snapToGrid w:val="0"/>
              <w:spacing w:line="280" w:lineRule="exact"/>
              <w:ind w:right="-122"/>
              <w:rPr>
                <w:color w:val="auto"/>
              </w:rPr>
            </w:pPr>
            <w:r>
              <w:rPr>
                <w:color w:val="auto"/>
              </w:rPr>
              <w:t>m</w:t>
            </w:r>
          </w:p>
        </w:tc>
        <w:tc>
          <w:tcPr>
            <w:tcW w:w="1562" w:type="dxa"/>
            <w:noWrap w:val="0"/>
            <w:vAlign w:val="center"/>
          </w:tcPr>
          <w:p>
            <w:pPr>
              <w:pStyle w:val="33"/>
              <w:snapToGrid w:val="0"/>
              <w:spacing w:line="280" w:lineRule="exact"/>
              <w:ind w:right="-122"/>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3242" w:type="dxa"/>
            <w:noWrap w:val="0"/>
            <w:vAlign w:val="center"/>
          </w:tcPr>
          <w:p>
            <w:pPr>
              <w:pStyle w:val="33"/>
              <w:snapToGrid w:val="0"/>
              <w:spacing w:line="280" w:lineRule="exact"/>
              <w:ind w:right="-122"/>
              <w:rPr>
                <w:color w:val="auto"/>
              </w:rPr>
            </w:pPr>
            <w:r>
              <w:rPr>
                <w:color w:val="auto"/>
              </w:rPr>
              <w:t>风因子尺寸（只用于长期）</w:t>
            </w:r>
          </w:p>
        </w:tc>
        <w:tc>
          <w:tcPr>
            <w:tcW w:w="512" w:type="dxa"/>
            <w:noWrap w:val="0"/>
            <w:vAlign w:val="center"/>
          </w:tcPr>
          <w:p>
            <w:pPr>
              <w:pStyle w:val="33"/>
              <w:snapToGrid w:val="0"/>
              <w:spacing w:line="280" w:lineRule="exact"/>
              <w:ind w:right="-122"/>
              <w:rPr>
                <w:color w:val="auto"/>
              </w:rPr>
            </w:pPr>
            <w:r>
              <w:rPr>
                <w:color w:val="auto"/>
              </w:rPr>
              <w:t>度</w:t>
            </w:r>
          </w:p>
        </w:tc>
        <w:tc>
          <w:tcPr>
            <w:tcW w:w="1562" w:type="dxa"/>
            <w:noWrap w:val="0"/>
            <w:vAlign w:val="center"/>
          </w:tcPr>
          <w:p>
            <w:pPr>
              <w:pStyle w:val="33"/>
              <w:snapToGrid w:val="0"/>
              <w:spacing w:line="280" w:lineRule="exact"/>
              <w:ind w:right="-122"/>
              <w:rPr>
                <w:color w:val="auto"/>
              </w:rPr>
            </w:pPr>
            <w:r>
              <w:rPr>
                <w:color w:val="auto"/>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3242" w:type="dxa"/>
            <w:noWrap w:val="0"/>
            <w:vAlign w:val="center"/>
          </w:tcPr>
          <w:p>
            <w:pPr>
              <w:pStyle w:val="33"/>
              <w:snapToGrid w:val="0"/>
              <w:spacing w:line="280" w:lineRule="exact"/>
              <w:ind w:right="-122"/>
              <w:rPr>
                <w:color w:val="auto"/>
              </w:rPr>
            </w:pPr>
            <w:r>
              <w:rPr>
                <w:color w:val="auto"/>
              </w:rPr>
              <w:t>气象站是否代表污染源址</w:t>
            </w:r>
          </w:p>
        </w:tc>
        <w:tc>
          <w:tcPr>
            <w:tcW w:w="512" w:type="dxa"/>
            <w:noWrap w:val="0"/>
            <w:vAlign w:val="center"/>
          </w:tcPr>
          <w:p>
            <w:pPr>
              <w:pStyle w:val="33"/>
              <w:snapToGrid w:val="0"/>
              <w:spacing w:line="280" w:lineRule="exact"/>
              <w:ind w:right="-122"/>
              <w:rPr>
                <w:color w:val="auto"/>
              </w:rPr>
            </w:pPr>
            <w:r>
              <w:rPr>
                <w:color w:val="auto"/>
              </w:rPr>
              <w:t>/</w:t>
            </w:r>
          </w:p>
        </w:tc>
        <w:tc>
          <w:tcPr>
            <w:tcW w:w="1562" w:type="dxa"/>
            <w:noWrap w:val="0"/>
            <w:vAlign w:val="center"/>
          </w:tcPr>
          <w:p>
            <w:pPr>
              <w:pStyle w:val="33"/>
              <w:snapToGrid w:val="0"/>
              <w:spacing w:line="280" w:lineRule="exact"/>
              <w:ind w:right="-122"/>
              <w:rPr>
                <w:color w:val="auto"/>
              </w:rPr>
            </w:pPr>
            <w:r>
              <w:rPr>
                <w:color w:val="auto"/>
              </w:rPr>
              <w:t>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6" w:hRule="atLeast"/>
          <w:jc w:val="center"/>
        </w:trPr>
        <w:tc>
          <w:tcPr>
            <w:tcW w:w="3242" w:type="dxa"/>
            <w:noWrap w:val="0"/>
            <w:vAlign w:val="center"/>
          </w:tcPr>
          <w:p>
            <w:pPr>
              <w:pStyle w:val="33"/>
              <w:snapToGrid w:val="0"/>
              <w:spacing w:line="280" w:lineRule="exact"/>
              <w:ind w:right="-122"/>
              <w:rPr>
                <w:color w:val="auto"/>
              </w:rPr>
            </w:pPr>
            <w:r>
              <w:rPr>
                <w:color w:val="auto"/>
              </w:rPr>
              <w:t>沉降率因子</w:t>
            </w:r>
          </w:p>
        </w:tc>
        <w:tc>
          <w:tcPr>
            <w:tcW w:w="512" w:type="dxa"/>
            <w:noWrap w:val="0"/>
            <w:vAlign w:val="center"/>
          </w:tcPr>
          <w:p>
            <w:pPr>
              <w:pStyle w:val="33"/>
              <w:snapToGrid w:val="0"/>
              <w:spacing w:line="280" w:lineRule="exact"/>
              <w:ind w:right="-122"/>
              <w:rPr>
                <w:color w:val="auto"/>
              </w:rPr>
            </w:pPr>
            <w:r>
              <w:rPr>
                <w:color w:val="auto"/>
              </w:rPr>
              <w:t>/</w:t>
            </w:r>
          </w:p>
        </w:tc>
        <w:tc>
          <w:tcPr>
            <w:tcW w:w="1562" w:type="dxa"/>
            <w:noWrap w:val="0"/>
            <w:vAlign w:val="center"/>
          </w:tcPr>
          <w:p>
            <w:pPr>
              <w:pStyle w:val="33"/>
              <w:snapToGrid w:val="0"/>
              <w:spacing w:line="280" w:lineRule="exact"/>
              <w:ind w:right="-122"/>
              <w:rPr>
                <w:color w:val="auto"/>
              </w:rPr>
            </w:pPr>
            <w:r>
              <w:rPr>
                <w:color w:val="auto"/>
              </w:rPr>
              <w:t>与污染源处相同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3242" w:type="dxa"/>
            <w:noWrap w:val="0"/>
            <w:vAlign w:val="center"/>
          </w:tcPr>
          <w:p>
            <w:pPr>
              <w:pStyle w:val="33"/>
              <w:snapToGrid w:val="0"/>
              <w:spacing w:line="280" w:lineRule="exact"/>
              <w:ind w:right="-122"/>
              <w:rPr>
                <w:color w:val="auto"/>
              </w:rPr>
            </w:pPr>
            <w:r>
              <w:rPr>
                <w:color w:val="auto"/>
              </w:rPr>
              <w:t>气象站的地表粗糙度</w:t>
            </w:r>
          </w:p>
        </w:tc>
        <w:tc>
          <w:tcPr>
            <w:tcW w:w="512" w:type="dxa"/>
            <w:noWrap w:val="0"/>
            <w:vAlign w:val="center"/>
          </w:tcPr>
          <w:p>
            <w:pPr>
              <w:pStyle w:val="33"/>
              <w:snapToGrid w:val="0"/>
              <w:spacing w:line="280" w:lineRule="exact"/>
              <w:ind w:right="-122"/>
              <w:rPr>
                <w:color w:val="auto"/>
              </w:rPr>
            </w:pPr>
            <w:r>
              <w:rPr>
                <w:color w:val="auto"/>
              </w:rPr>
              <w:t>/</w:t>
            </w:r>
          </w:p>
        </w:tc>
        <w:tc>
          <w:tcPr>
            <w:tcW w:w="1562" w:type="dxa"/>
            <w:noWrap w:val="0"/>
            <w:vAlign w:val="center"/>
          </w:tcPr>
          <w:p>
            <w:pPr>
              <w:pStyle w:val="33"/>
              <w:snapToGrid w:val="0"/>
              <w:spacing w:line="280" w:lineRule="exact"/>
              <w:ind w:right="-122"/>
              <w:rPr>
                <w:color w:val="auto"/>
              </w:rPr>
            </w:pPr>
            <w:r>
              <w:rPr>
                <w:color w:val="auto"/>
              </w:rPr>
              <w:t>与污染源处相同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3242" w:type="dxa"/>
            <w:noWrap w:val="0"/>
            <w:vAlign w:val="center"/>
          </w:tcPr>
          <w:p>
            <w:pPr>
              <w:pStyle w:val="33"/>
              <w:snapToGrid w:val="0"/>
              <w:spacing w:line="280" w:lineRule="exact"/>
              <w:ind w:right="-122"/>
              <w:rPr>
                <w:color w:val="auto"/>
              </w:rPr>
            </w:pPr>
            <w:r>
              <w:rPr>
                <w:color w:val="auto"/>
              </w:rPr>
              <w:t>网格平均间距</w:t>
            </w:r>
          </w:p>
        </w:tc>
        <w:tc>
          <w:tcPr>
            <w:tcW w:w="512" w:type="dxa"/>
            <w:noWrap w:val="0"/>
            <w:vAlign w:val="center"/>
          </w:tcPr>
          <w:p>
            <w:pPr>
              <w:pStyle w:val="33"/>
              <w:snapToGrid w:val="0"/>
              <w:spacing w:line="280" w:lineRule="exact"/>
              <w:ind w:right="-122"/>
              <w:rPr>
                <w:color w:val="auto"/>
              </w:rPr>
            </w:pPr>
            <w:r>
              <w:rPr>
                <w:color w:val="auto"/>
              </w:rPr>
              <w:t>m</w:t>
            </w:r>
          </w:p>
        </w:tc>
        <w:tc>
          <w:tcPr>
            <w:tcW w:w="1562" w:type="dxa"/>
            <w:noWrap w:val="0"/>
            <w:vAlign w:val="center"/>
          </w:tcPr>
          <w:p>
            <w:pPr>
              <w:pStyle w:val="33"/>
              <w:snapToGrid w:val="0"/>
              <w:spacing w:line="280" w:lineRule="exact"/>
              <w:ind w:right="-122"/>
              <w:rPr>
                <w:rFonts w:hint="eastAsia"/>
                <w:color w:val="auto"/>
              </w:rPr>
            </w:pPr>
            <w:r>
              <w:rPr>
                <w:rFonts w:hint="eastAsia"/>
                <w:color w:val="auto"/>
              </w:rPr>
              <w:t>140</w:t>
            </w:r>
            <w:r>
              <w:rPr>
                <w:color w:val="auto"/>
              </w:rPr>
              <w:t>/</w:t>
            </w:r>
            <w:r>
              <w:rPr>
                <w:rFonts w:hint="eastAsia"/>
                <w:color w:val="auto"/>
              </w:rPr>
              <w:t>170</w:t>
            </w:r>
          </w:p>
        </w:tc>
      </w:tr>
    </w:tbl>
    <w:p>
      <w:pPr>
        <w:adjustRightInd w:val="0"/>
        <w:snapToGrid w:val="0"/>
        <w:spacing w:line="360" w:lineRule="auto"/>
        <w:ind w:firstLine="420" w:firstLineChars="200"/>
        <w:rPr>
          <w:rFonts w:hint="eastAsia"/>
        </w:rPr>
      </w:pPr>
    </w:p>
    <w:p>
      <w:pPr>
        <w:adjustRightInd w:val="0"/>
        <w:snapToGrid w:val="0"/>
        <w:spacing w:line="360" w:lineRule="auto"/>
        <w:ind w:firstLine="420" w:firstLineChars="200"/>
        <w:rPr>
          <w:rFonts w:hint="eastAsia"/>
        </w:rPr>
      </w:pPr>
    </w:p>
    <w:p>
      <w:pPr>
        <w:adjustRightInd w:val="0"/>
        <w:snapToGrid w:val="0"/>
        <w:spacing w:line="360" w:lineRule="auto"/>
        <w:ind w:firstLine="420" w:firstLineChars="200"/>
        <w:rPr>
          <w:rFonts w:hint="eastAsia"/>
        </w:rPr>
      </w:pPr>
    </w:p>
    <w:p>
      <w:pPr>
        <w:adjustRightInd w:val="0"/>
        <w:snapToGrid w:val="0"/>
        <w:spacing w:line="360" w:lineRule="auto"/>
        <w:ind w:firstLine="420" w:firstLineChars="200"/>
      </w:pPr>
      <w:r>
        <w:t>（6）预测内容</w:t>
      </w:r>
    </w:p>
    <w:p>
      <w:pPr>
        <w:adjustRightInd w:val="0"/>
        <w:snapToGrid w:val="0"/>
        <w:spacing w:line="360" w:lineRule="auto"/>
        <w:ind w:firstLine="420" w:firstLineChars="200"/>
        <w:rPr>
          <w:rFonts w:hint="eastAsia"/>
        </w:rPr>
      </w:pPr>
      <w:r>
        <w:t>A、全年逐次小时气象条件下，环境空气敏感点、网格点处的地面浓度和评价范围内的最大地面小时浓度；</w:t>
      </w:r>
    </w:p>
    <w:p>
      <w:pPr>
        <w:adjustRightInd w:val="0"/>
        <w:snapToGrid w:val="0"/>
        <w:spacing w:line="360" w:lineRule="auto"/>
        <w:ind w:firstLine="420" w:firstLineChars="200"/>
        <w:rPr>
          <w:rFonts w:hint="eastAsia"/>
        </w:rPr>
      </w:pPr>
      <w:r>
        <w:t>B、全年逐日气象条件下，环境空气敏感点、网格点处的地面浓度和评价范围内的最大地面日平均浓度</w:t>
      </w:r>
      <w:r>
        <w:rPr>
          <w:rFonts w:hint="eastAsia"/>
        </w:rPr>
        <w:t>。</w:t>
      </w:r>
    </w:p>
    <w:p>
      <w:pPr>
        <w:adjustRightInd w:val="0"/>
        <w:snapToGrid w:val="0"/>
        <w:spacing w:line="360" w:lineRule="auto"/>
        <w:ind w:firstLine="420" w:firstLineChars="200"/>
        <w:rPr>
          <w:rFonts w:hint="eastAsia"/>
        </w:rPr>
      </w:pPr>
      <w:r>
        <w:t>C、长期气象条件下，环境空气敏感点、网格点处的地面浓度和评价范围内的最大地面年平均浓度</w:t>
      </w:r>
      <w:r>
        <w:rPr>
          <w:rFonts w:hint="eastAsia"/>
        </w:rPr>
        <w:t>。</w:t>
      </w:r>
    </w:p>
    <w:p>
      <w:pPr>
        <w:adjustRightInd w:val="0"/>
        <w:snapToGrid w:val="0"/>
        <w:spacing w:line="360" w:lineRule="auto"/>
        <w:ind w:firstLine="420" w:firstLineChars="200"/>
        <w:rPr>
          <w:rFonts w:hint="eastAsia"/>
        </w:rPr>
      </w:pPr>
      <w:r>
        <w:rPr>
          <w:rFonts w:hint="eastAsia"/>
        </w:rPr>
        <w:t>D</w:t>
      </w:r>
      <w:r>
        <w:t>、</w:t>
      </w:r>
      <w:r>
        <w:rPr>
          <w:rFonts w:hint="eastAsia"/>
        </w:rPr>
        <w:t>给定</w:t>
      </w:r>
      <w:r>
        <w:t>气象条件下，</w:t>
      </w:r>
      <w:r>
        <w:rPr>
          <w:rFonts w:hint="eastAsia"/>
        </w:rPr>
        <w:t>技改项目无组织排放对厂界的影响以及大气防护距离的确定。</w:t>
      </w:r>
    </w:p>
    <w:p>
      <w:pPr>
        <w:adjustRightInd w:val="0"/>
        <w:snapToGrid w:val="0"/>
        <w:spacing w:line="360" w:lineRule="auto"/>
        <w:ind w:firstLine="420" w:firstLineChars="200"/>
        <w:rPr>
          <w:rFonts w:hint="eastAsia"/>
        </w:rPr>
      </w:pPr>
      <w:r>
        <w:rPr>
          <w:rFonts w:hint="eastAsia"/>
        </w:rPr>
        <w:t>E、</w:t>
      </w:r>
      <w:r>
        <w:t>非正常排放情况，全年逐次小时气象条件下，环境空气敏感点的最大地面小时浓度和评价范围内的最大地面小时浓度。</w:t>
      </w:r>
    </w:p>
    <w:p>
      <w:pPr>
        <w:adjustRightInd w:val="0"/>
        <w:snapToGrid w:val="0"/>
        <w:spacing w:line="360" w:lineRule="auto"/>
        <w:ind w:firstLine="420" w:firstLineChars="200"/>
      </w:pPr>
      <w:r>
        <w:t>（7）结果分析</w:t>
      </w:r>
    </w:p>
    <w:p>
      <w:pPr>
        <w:adjustRightInd w:val="0"/>
        <w:snapToGrid w:val="0"/>
        <w:spacing w:line="360" w:lineRule="auto"/>
        <w:ind w:firstLine="420" w:firstLineChars="200"/>
      </w:pPr>
      <w:r>
        <w:t>A、评价范围影响预测结果分析（网格点）</w:t>
      </w:r>
    </w:p>
    <w:p>
      <w:pPr>
        <w:adjustRightInd w:val="0"/>
        <w:snapToGrid w:val="0"/>
        <w:spacing w:line="360" w:lineRule="auto"/>
        <w:ind w:firstLine="420" w:firstLineChars="200"/>
      </w:pPr>
      <w:r>
        <w:rPr>
          <w:rFonts w:hint="eastAsia" w:ascii="宋体" w:hAnsi="宋体" w:cs="宋体"/>
        </w:rPr>
        <w:t>①</w:t>
      </w:r>
      <w:r>
        <w:t>小时浓度</w:t>
      </w:r>
    </w:p>
    <w:p>
      <w:pPr>
        <w:adjustRightInd w:val="0"/>
        <w:snapToGrid w:val="0"/>
        <w:spacing w:line="360" w:lineRule="auto"/>
        <w:ind w:firstLine="420" w:firstLineChars="200"/>
      </w:pPr>
      <w:r>
        <w:rPr>
          <w:rFonts w:hint="eastAsia" w:ascii="宋体" w:hAnsi="宋体" w:cs="宋体"/>
        </w:rPr>
        <w:t>◆</w:t>
      </w:r>
      <w:r>
        <w:t xml:space="preserve"> 区域小时最大值与出现时间</w:t>
      </w:r>
    </w:p>
    <w:p>
      <w:pPr>
        <w:adjustRightInd w:val="0"/>
        <w:snapToGrid w:val="0"/>
        <w:spacing w:line="360" w:lineRule="auto"/>
        <w:ind w:firstLine="480"/>
        <w:rPr>
          <w:rFonts w:hint="eastAsia"/>
        </w:rPr>
      </w:pPr>
      <w:r>
        <w:t>各污染物在评价区域的最大小时浓度、位置与出现时间见表</w:t>
      </w:r>
      <w:r>
        <w:rPr>
          <w:rFonts w:hint="eastAsia"/>
        </w:rPr>
        <w:t>8</w:t>
      </w:r>
      <w:r>
        <w:t>-</w:t>
      </w:r>
      <w:r>
        <w:rPr>
          <w:rFonts w:hint="eastAsia"/>
        </w:rPr>
        <w:t>7。</w:t>
      </w:r>
    </w:p>
    <w:p>
      <w:pPr>
        <w:adjustRightInd w:val="0"/>
        <w:snapToGrid w:val="0"/>
        <w:spacing w:line="360" w:lineRule="auto"/>
        <w:jc w:val="center"/>
        <w:rPr>
          <w:b/>
        </w:rPr>
      </w:pPr>
      <w:r>
        <w:rPr>
          <w:b/>
        </w:rPr>
        <w:t>表</w:t>
      </w:r>
      <w:r>
        <w:rPr>
          <w:rFonts w:hint="eastAsia"/>
          <w:b/>
        </w:rPr>
        <w:t>8</w:t>
      </w:r>
      <w:r>
        <w:rPr>
          <w:b/>
        </w:rPr>
        <w:t>-</w:t>
      </w:r>
      <w:r>
        <w:rPr>
          <w:rFonts w:hint="eastAsia"/>
          <w:b/>
        </w:rPr>
        <w:t>7</w:t>
      </w:r>
      <w:r>
        <w:rPr>
          <w:b/>
        </w:rPr>
        <w:t xml:space="preserve">  价范围内网格小时最大值、位置与出现时间</w:t>
      </w:r>
    </w:p>
    <w:tbl>
      <w:tblPr>
        <w:tblStyle w:val="21"/>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554"/>
        <w:gridCol w:w="1150"/>
        <w:gridCol w:w="1620"/>
        <w:gridCol w:w="1489"/>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noWrap w:val="0"/>
            <w:vAlign w:val="center"/>
          </w:tcPr>
          <w:p>
            <w:pPr>
              <w:adjustRightInd w:val="0"/>
              <w:snapToGrid w:val="0"/>
              <w:spacing w:line="360" w:lineRule="auto"/>
              <w:jc w:val="center"/>
              <w:rPr>
                <w:sz w:val="21"/>
                <w:szCs w:val="21"/>
              </w:rPr>
            </w:pPr>
            <w:r>
              <w:rPr>
                <w:sz w:val="21"/>
                <w:szCs w:val="21"/>
              </w:rPr>
              <w:t>污染物名称</w:t>
            </w:r>
          </w:p>
        </w:tc>
        <w:tc>
          <w:tcPr>
            <w:tcW w:w="1554" w:type="dxa"/>
            <w:noWrap w:val="0"/>
            <w:vAlign w:val="center"/>
          </w:tcPr>
          <w:p>
            <w:pPr>
              <w:adjustRightInd w:val="0"/>
              <w:snapToGrid w:val="0"/>
              <w:spacing w:line="360" w:lineRule="auto"/>
              <w:jc w:val="center"/>
              <w:rPr>
                <w:sz w:val="21"/>
                <w:szCs w:val="21"/>
              </w:rPr>
            </w:pPr>
            <w:r>
              <w:rPr>
                <w:sz w:val="21"/>
                <w:szCs w:val="21"/>
              </w:rPr>
              <w:t>区域最大值（mg/m</w:t>
            </w:r>
            <w:r>
              <w:rPr>
                <w:sz w:val="21"/>
                <w:szCs w:val="21"/>
                <w:vertAlign w:val="superscript"/>
              </w:rPr>
              <w:t>3</w:t>
            </w:r>
            <w:r>
              <w:rPr>
                <w:sz w:val="21"/>
                <w:szCs w:val="21"/>
              </w:rPr>
              <w:t>）</w:t>
            </w:r>
          </w:p>
        </w:tc>
        <w:tc>
          <w:tcPr>
            <w:tcW w:w="1150" w:type="dxa"/>
            <w:noWrap w:val="0"/>
            <w:vAlign w:val="center"/>
          </w:tcPr>
          <w:p>
            <w:pPr>
              <w:adjustRightInd w:val="0"/>
              <w:snapToGrid w:val="0"/>
              <w:spacing w:line="360" w:lineRule="auto"/>
              <w:jc w:val="center"/>
              <w:rPr>
                <w:sz w:val="21"/>
                <w:szCs w:val="21"/>
              </w:rPr>
            </w:pPr>
            <w:r>
              <w:rPr>
                <w:sz w:val="21"/>
                <w:szCs w:val="21"/>
              </w:rPr>
              <w:t>占标率（%）</w:t>
            </w:r>
          </w:p>
        </w:tc>
        <w:tc>
          <w:tcPr>
            <w:tcW w:w="1620" w:type="dxa"/>
            <w:noWrap w:val="0"/>
            <w:vAlign w:val="center"/>
          </w:tcPr>
          <w:p>
            <w:pPr>
              <w:adjustRightInd w:val="0"/>
              <w:snapToGrid w:val="0"/>
              <w:spacing w:line="360" w:lineRule="auto"/>
              <w:jc w:val="center"/>
              <w:rPr>
                <w:sz w:val="21"/>
                <w:szCs w:val="21"/>
              </w:rPr>
            </w:pPr>
            <w:r>
              <w:rPr>
                <w:sz w:val="21"/>
                <w:szCs w:val="21"/>
              </w:rPr>
              <w:t>X坐标(m)</w:t>
            </w:r>
          </w:p>
        </w:tc>
        <w:tc>
          <w:tcPr>
            <w:tcW w:w="1489" w:type="dxa"/>
            <w:noWrap w:val="0"/>
            <w:vAlign w:val="center"/>
          </w:tcPr>
          <w:p>
            <w:pPr>
              <w:adjustRightInd w:val="0"/>
              <w:snapToGrid w:val="0"/>
              <w:spacing w:line="360" w:lineRule="auto"/>
              <w:jc w:val="center"/>
              <w:rPr>
                <w:sz w:val="21"/>
                <w:szCs w:val="21"/>
              </w:rPr>
            </w:pPr>
            <w:r>
              <w:rPr>
                <w:sz w:val="21"/>
                <w:szCs w:val="21"/>
              </w:rPr>
              <w:t>Y坐标(m)</w:t>
            </w:r>
          </w:p>
        </w:tc>
        <w:tc>
          <w:tcPr>
            <w:tcW w:w="2382" w:type="dxa"/>
            <w:noWrap w:val="0"/>
            <w:vAlign w:val="center"/>
          </w:tcPr>
          <w:p>
            <w:pPr>
              <w:adjustRightInd w:val="0"/>
              <w:snapToGrid w:val="0"/>
              <w:spacing w:line="360" w:lineRule="auto"/>
              <w:jc w:val="center"/>
              <w:rPr>
                <w:sz w:val="21"/>
                <w:szCs w:val="21"/>
              </w:rPr>
            </w:pPr>
            <w:r>
              <w:rPr>
                <w:sz w:val="21"/>
                <w:szCs w:val="21"/>
              </w:rPr>
              <w:t>出现时间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noWrap w:val="0"/>
            <w:vAlign w:val="center"/>
          </w:tcPr>
          <w:p>
            <w:pPr>
              <w:adjustRightInd w:val="0"/>
              <w:snapToGrid w:val="0"/>
              <w:spacing w:line="360" w:lineRule="auto"/>
              <w:jc w:val="center"/>
              <w:rPr>
                <w:sz w:val="21"/>
                <w:szCs w:val="21"/>
              </w:rPr>
            </w:pPr>
            <w:r>
              <w:rPr>
                <w:sz w:val="21"/>
                <w:szCs w:val="21"/>
              </w:rPr>
              <w:t>PM</w:t>
            </w:r>
            <w:r>
              <w:rPr>
                <w:sz w:val="21"/>
                <w:szCs w:val="21"/>
                <w:vertAlign w:val="subscript"/>
              </w:rPr>
              <w:t>10</w:t>
            </w:r>
          </w:p>
        </w:tc>
        <w:tc>
          <w:tcPr>
            <w:tcW w:w="1554" w:type="dxa"/>
            <w:noWrap w:val="0"/>
            <w:vAlign w:val="center"/>
          </w:tcPr>
          <w:p>
            <w:pPr>
              <w:adjustRightInd w:val="0"/>
              <w:snapToGrid w:val="0"/>
              <w:spacing w:line="360" w:lineRule="auto"/>
              <w:jc w:val="center"/>
              <w:rPr>
                <w:rFonts w:hint="eastAsia"/>
                <w:sz w:val="21"/>
                <w:szCs w:val="21"/>
              </w:rPr>
            </w:pPr>
            <w:r>
              <w:rPr>
                <w:rFonts w:hint="eastAsia"/>
                <w:sz w:val="21"/>
                <w:szCs w:val="21"/>
              </w:rPr>
              <w:t>0.1598</w:t>
            </w:r>
          </w:p>
        </w:tc>
        <w:tc>
          <w:tcPr>
            <w:tcW w:w="1150" w:type="dxa"/>
            <w:noWrap w:val="0"/>
            <w:vAlign w:val="center"/>
          </w:tcPr>
          <w:p>
            <w:pPr>
              <w:adjustRightInd w:val="0"/>
              <w:snapToGrid w:val="0"/>
              <w:spacing w:line="360" w:lineRule="auto"/>
              <w:jc w:val="center"/>
              <w:rPr>
                <w:rFonts w:hint="eastAsia"/>
                <w:sz w:val="21"/>
                <w:szCs w:val="21"/>
              </w:rPr>
            </w:pPr>
            <w:r>
              <w:rPr>
                <w:rFonts w:hint="eastAsia"/>
                <w:sz w:val="21"/>
                <w:szCs w:val="21"/>
              </w:rPr>
              <w:t>35.51</w:t>
            </w:r>
          </w:p>
        </w:tc>
        <w:tc>
          <w:tcPr>
            <w:tcW w:w="162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5123</w:t>
            </w:r>
          </w:p>
        </w:tc>
        <w:tc>
          <w:tcPr>
            <w:tcW w:w="1489"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4115</w:t>
            </w:r>
          </w:p>
        </w:tc>
        <w:tc>
          <w:tcPr>
            <w:tcW w:w="2382" w:type="dxa"/>
            <w:noWrap w:val="0"/>
            <w:vAlign w:val="center"/>
          </w:tcPr>
          <w:p>
            <w:pPr>
              <w:adjustRightInd w:val="0"/>
              <w:snapToGrid w:val="0"/>
              <w:spacing w:line="360" w:lineRule="auto"/>
              <w:jc w:val="center"/>
              <w:rPr>
                <w:rFonts w:hint="eastAsia"/>
                <w:sz w:val="21"/>
                <w:szCs w:val="21"/>
              </w:rPr>
            </w:pPr>
            <w:r>
              <w:rPr>
                <w:rFonts w:hint="eastAsia"/>
                <w:sz w:val="21"/>
                <w:szCs w:val="21"/>
              </w:rPr>
              <w:t>2007年3月14日6时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noWrap w:val="0"/>
            <w:vAlign w:val="center"/>
          </w:tcPr>
          <w:p>
            <w:pPr>
              <w:adjustRightInd w:val="0"/>
              <w:snapToGrid w:val="0"/>
              <w:spacing w:line="360" w:lineRule="auto"/>
              <w:jc w:val="center"/>
              <w:rPr>
                <w:sz w:val="21"/>
                <w:szCs w:val="21"/>
              </w:rPr>
            </w:pPr>
            <w:r>
              <w:rPr>
                <w:sz w:val="21"/>
                <w:szCs w:val="21"/>
              </w:rPr>
              <w:t>SO</w:t>
            </w:r>
            <w:r>
              <w:rPr>
                <w:sz w:val="21"/>
                <w:szCs w:val="21"/>
                <w:vertAlign w:val="subscript"/>
              </w:rPr>
              <w:t>2</w:t>
            </w:r>
          </w:p>
        </w:tc>
        <w:tc>
          <w:tcPr>
            <w:tcW w:w="1554" w:type="dxa"/>
            <w:noWrap w:val="0"/>
            <w:vAlign w:val="center"/>
          </w:tcPr>
          <w:p>
            <w:pPr>
              <w:adjustRightInd w:val="0"/>
              <w:snapToGrid w:val="0"/>
              <w:spacing w:line="360" w:lineRule="auto"/>
              <w:jc w:val="center"/>
              <w:rPr>
                <w:rFonts w:hint="eastAsia"/>
                <w:sz w:val="21"/>
                <w:szCs w:val="21"/>
              </w:rPr>
            </w:pPr>
            <w:r>
              <w:rPr>
                <w:rFonts w:hint="eastAsia"/>
                <w:sz w:val="21"/>
                <w:szCs w:val="21"/>
              </w:rPr>
              <w:t>0.0606</w:t>
            </w:r>
          </w:p>
        </w:tc>
        <w:tc>
          <w:tcPr>
            <w:tcW w:w="1150" w:type="dxa"/>
            <w:noWrap w:val="0"/>
            <w:vAlign w:val="center"/>
          </w:tcPr>
          <w:p>
            <w:pPr>
              <w:adjustRightInd w:val="0"/>
              <w:snapToGrid w:val="0"/>
              <w:spacing w:line="360" w:lineRule="auto"/>
              <w:jc w:val="center"/>
              <w:rPr>
                <w:rFonts w:hint="eastAsia"/>
                <w:sz w:val="21"/>
                <w:szCs w:val="21"/>
              </w:rPr>
            </w:pPr>
            <w:r>
              <w:rPr>
                <w:rFonts w:hint="eastAsia"/>
                <w:sz w:val="21"/>
                <w:szCs w:val="21"/>
              </w:rPr>
              <w:t>12.12</w:t>
            </w:r>
          </w:p>
        </w:tc>
        <w:tc>
          <w:tcPr>
            <w:tcW w:w="162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489"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2382" w:type="dxa"/>
            <w:noWrap w:val="0"/>
            <w:vAlign w:val="center"/>
          </w:tcPr>
          <w:p>
            <w:pPr>
              <w:adjustRightInd w:val="0"/>
              <w:snapToGrid w:val="0"/>
              <w:spacing w:line="360" w:lineRule="auto"/>
              <w:jc w:val="center"/>
              <w:rPr>
                <w:rFonts w:hint="eastAsia"/>
                <w:sz w:val="21"/>
                <w:szCs w:val="21"/>
              </w:rPr>
            </w:pPr>
            <w:r>
              <w:rPr>
                <w:rFonts w:hint="eastAsia"/>
                <w:sz w:val="21"/>
                <w:szCs w:val="21"/>
              </w:rPr>
              <w:t>2007年8月13日12时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4" w:type="dxa"/>
            <w:noWrap w:val="0"/>
            <w:vAlign w:val="center"/>
          </w:tcPr>
          <w:p>
            <w:pPr>
              <w:adjustRightInd w:val="0"/>
              <w:snapToGrid w:val="0"/>
              <w:spacing w:line="360" w:lineRule="auto"/>
              <w:jc w:val="center"/>
              <w:rPr>
                <w:sz w:val="21"/>
                <w:szCs w:val="21"/>
              </w:rPr>
            </w:pPr>
            <w:r>
              <w:rPr>
                <w:rFonts w:hint="eastAsia"/>
                <w:sz w:val="21"/>
                <w:szCs w:val="21"/>
              </w:rPr>
              <w:t>N</w:t>
            </w:r>
            <w:r>
              <w:rPr>
                <w:sz w:val="21"/>
                <w:szCs w:val="21"/>
              </w:rPr>
              <w:t>O</w:t>
            </w:r>
            <w:r>
              <w:rPr>
                <w:sz w:val="21"/>
                <w:szCs w:val="21"/>
                <w:vertAlign w:val="subscript"/>
              </w:rPr>
              <w:t>2</w:t>
            </w:r>
          </w:p>
        </w:tc>
        <w:tc>
          <w:tcPr>
            <w:tcW w:w="1554" w:type="dxa"/>
            <w:noWrap w:val="0"/>
            <w:vAlign w:val="center"/>
          </w:tcPr>
          <w:p>
            <w:pPr>
              <w:adjustRightInd w:val="0"/>
              <w:snapToGrid w:val="0"/>
              <w:spacing w:line="360" w:lineRule="auto"/>
              <w:jc w:val="center"/>
              <w:rPr>
                <w:rFonts w:hint="eastAsia"/>
                <w:sz w:val="21"/>
                <w:szCs w:val="21"/>
              </w:rPr>
            </w:pPr>
            <w:r>
              <w:rPr>
                <w:rFonts w:hint="eastAsia"/>
                <w:sz w:val="21"/>
                <w:szCs w:val="21"/>
              </w:rPr>
              <w:t>0.4527</w:t>
            </w:r>
          </w:p>
        </w:tc>
        <w:tc>
          <w:tcPr>
            <w:tcW w:w="1150" w:type="dxa"/>
            <w:noWrap w:val="0"/>
            <w:vAlign w:val="center"/>
          </w:tcPr>
          <w:p>
            <w:pPr>
              <w:adjustRightInd w:val="0"/>
              <w:snapToGrid w:val="0"/>
              <w:spacing w:line="360" w:lineRule="auto"/>
              <w:jc w:val="center"/>
              <w:rPr>
                <w:rFonts w:hint="eastAsia"/>
                <w:sz w:val="21"/>
                <w:szCs w:val="21"/>
              </w:rPr>
            </w:pPr>
            <w:r>
              <w:rPr>
                <w:rFonts w:hint="eastAsia"/>
                <w:sz w:val="21"/>
                <w:szCs w:val="21"/>
              </w:rPr>
              <w:t>188.62</w:t>
            </w:r>
          </w:p>
        </w:tc>
        <w:tc>
          <w:tcPr>
            <w:tcW w:w="162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489"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2382" w:type="dxa"/>
            <w:noWrap w:val="0"/>
            <w:vAlign w:val="center"/>
          </w:tcPr>
          <w:p>
            <w:pPr>
              <w:adjustRightInd w:val="0"/>
              <w:snapToGrid w:val="0"/>
              <w:spacing w:line="360" w:lineRule="auto"/>
              <w:rPr>
                <w:rFonts w:hint="eastAsia"/>
                <w:sz w:val="21"/>
                <w:szCs w:val="21"/>
              </w:rPr>
            </w:pPr>
            <w:r>
              <w:rPr>
                <w:rFonts w:hint="eastAsia"/>
                <w:sz w:val="21"/>
                <w:szCs w:val="21"/>
              </w:rPr>
              <w:t>2007年8月13日12时</w:t>
            </w:r>
          </w:p>
        </w:tc>
      </w:tr>
    </w:tbl>
    <w:p>
      <w:pPr>
        <w:adjustRightInd w:val="0"/>
        <w:snapToGrid w:val="0"/>
        <w:spacing w:line="480" w:lineRule="exact"/>
        <w:ind w:firstLine="420" w:firstLineChars="200"/>
      </w:pPr>
      <w:r>
        <w:t>从表</w:t>
      </w:r>
      <w:r>
        <w:rPr>
          <w:rFonts w:hint="eastAsia"/>
        </w:rPr>
        <w:t>8-7</w:t>
      </w:r>
      <w:r>
        <w:t>可以看出，PM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小时最大落地浓度影响值分别为</w:t>
      </w:r>
      <w:r>
        <w:rPr>
          <w:rFonts w:hint="eastAsia"/>
        </w:rPr>
        <w:t>0.1598</w:t>
      </w:r>
      <w:r>
        <w:t>mg/m</w:t>
      </w:r>
      <w:r>
        <w:rPr>
          <w:vertAlign w:val="superscript"/>
        </w:rPr>
        <w:t>3</w:t>
      </w:r>
      <w:r>
        <w:t>、</w:t>
      </w:r>
      <w:r>
        <w:rPr>
          <w:rFonts w:hint="eastAsia"/>
        </w:rPr>
        <w:t>0.0606</w:t>
      </w:r>
      <w:r>
        <w:t>mg/m</w:t>
      </w:r>
      <w:r>
        <w:rPr>
          <w:vertAlign w:val="superscript"/>
        </w:rPr>
        <w:t>3</w:t>
      </w:r>
      <w:r>
        <w:t>、</w:t>
      </w:r>
      <w:r>
        <w:rPr>
          <w:rFonts w:hint="eastAsia"/>
        </w:rPr>
        <w:t>0.4527</w:t>
      </w:r>
      <w:r>
        <w:t>mg/m</w:t>
      </w:r>
      <w:r>
        <w:rPr>
          <w:vertAlign w:val="superscript"/>
        </w:rPr>
        <w:t>3</w:t>
      </w:r>
      <w:r>
        <w:t>，</w:t>
      </w:r>
      <w:r>
        <w:rPr>
          <w:rFonts w:hint="eastAsia"/>
        </w:rPr>
        <w:t>其占标率分别为35.51%、12.12%和188.62%，</w:t>
      </w:r>
      <w:r>
        <w:t>小时浓度</w:t>
      </w:r>
      <w:r>
        <w:rPr>
          <w:rFonts w:hint="eastAsia"/>
        </w:rPr>
        <w:t>均能满足</w:t>
      </w:r>
      <w:r>
        <w:t>《环境空气质量标准》</w:t>
      </w:r>
      <w:r>
        <w:rPr>
          <w:rFonts w:hint="eastAsia"/>
        </w:rPr>
        <w:t>二级标准，NO</w:t>
      </w:r>
      <w:r>
        <w:rPr>
          <w:rFonts w:hint="eastAsia"/>
          <w:vertAlign w:val="subscript"/>
        </w:rPr>
        <w:t>2</w:t>
      </w:r>
      <w:r>
        <w:rPr>
          <w:rFonts w:hint="eastAsia"/>
        </w:rPr>
        <w:t>小时浓度超标，最大网格落地浓度在青木关镇北侧山谷处。</w:t>
      </w:r>
    </w:p>
    <w:p>
      <w:pPr>
        <w:adjustRightInd w:val="0"/>
        <w:snapToGrid w:val="0"/>
        <w:spacing w:line="480" w:lineRule="exact"/>
        <w:ind w:firstLine="420" w:firstLineChars="200"/>
      </w:pPr>
      <w:r>
        <w:rPr>
          <w:rFonts w:hint="eastAsia" w:ascii="宋体" w:hAnsi="宋体" w:cs="宋体"/>
        </w:rPr>
        <w:t>◆</w:t>
      </w:r>
      <w:r>
        <w:t>所有网格点小时最大浓度分布</w:t>
      </w:r>
    </w:p>
    <w:p>
      <w:pPr>
        <w:adjustRightInd w:val="0"/>
        <w:snapToGrid w:val="0"/>
        <w:spacing w:line="480" w:lineRule="exact"/>
        <w:ind w:firstLine="420" w:firstLineChars="200"/>
      </w:pPr>
      <w:r>
        <w:t>对所有网格点不同时刻的最大小时浓度影响预测值进行作图（图</w:t>
      </w:r>
      <w:r>
        <w:rPr>
          <w:rFonts w:hint="eastAsia"/>
        </w:rPr>
        <w:t>8</w:t>
      </w:r>
      <w:r>
        <w:t>.</w:t>
      </w:r>
      <w:r>
        <w:rPr>
          <w:rFonts w:hint="eastAsia"/>
        </w:rPr>
        <w:t>7</w:t>
      </w:r>
      <w:r>
        <w:t>～图</w:t>
      </w:r>
      <w:r>
        <w:rPr>
          <w:rFonts w:hint="eastAsia"/>
        </w:rPr>
        <w:t>8</w:t>
      </w:r>
      <w:r>
        <w:t>.</w:t>
      </w:r>
      <w:r>
        <w:rPr>
          <w:rFonts w:hint="eastAsia"/>
        </w:rPr>
        <w:t>8</w:t>
      </w:r>
      <w:r>
        <w:t>），可得到所有网格点小时最大浓度分布。</w:t>
      </w:r>
    </w:p>
    <w:p>
      <w:pPr>
        <w:adjustRightInd w:val="0"/>
        <w:snapToGrid w:val="0"/>
        <w:spacing w:line="480" w:lineRule="exact"/>
        <w:ind w:firstLine="420" w:firstLineChars="200"/>
      </w:pPr>
      <w:r>
        <w:rPr>
          <w:rFonts w:hint="eastAsia" w:ascii="宋体" w:hAnsi="宋体" w:cs="宋体"/>
        </w:rPr>
        <w:t>◆</w:t>
      </w:r>
      <w:r>
        <w:t>最大地面小时浓度点的环境影响叠加分析</w:t>
      </w:r>
    </w:p>
    <w:p>
      <w:pPr>
        <w:adjustRightInd w:val="0"/>
        <w:snapToGrid w:val="0"/>
        <w:spacing w:line="480" w:lineRule="exact"/>
        <w:ind w:firstLine="420" w:firstLineChars="200"/>
      </w:pPr>
      <w:r>
        <w:t>将最大地面浓度点的影响预测结果与环境现状背景值进行叠加，叠加结果见表</w:t>
      </w:r>
      <w:r>
        <w:rPr>
          <w:rFonts w:hint="eastAsia"/>
        </w:rPr>
        <w:t>8</w:t>
      </w:r>
      <w:r>
        <w:t>-</w:t>
      </w:r>
      <w:r>
        <w:rPr>
          <w:rFonts w:hint="eastAsia"/>
        </w:rPr>
        <w:t>8</w:t>
      </w:r>
      <w:r>
        <w:t>。</w:t>
      </w:r>
    </w:p>
    <w:p>
      <w:pPr>
        <w:adjustRightInd w:val="0"/>
        <w:snapToGrid w:val="0"/>
        <w:spacing w:line="480" w:lineRule="exact"/>
        <w:jc w:val="center"/>
      </w:pPr>
      <w:r>
        <w:rPr>
          <w:b/>
        </w:rPr>
        <w:t>表</w:t>
      </w:r>
      <w:r>
        <w:rPr>
          <w:rFonts w:hint="eastAsia"/>
          <w:b/>
        </w:rPr>
        <w:t>8</w:t>
      </w:r>
      <w:r>
        <w:rPr>
          <w:b/>
        </w:rPr>
        <w:t>-</w:t>
      </w:r>
      <w:r>
        <w:rPr>
          <w:rFonts w:hint="eastAsia"/>
          <w:b/>
        </w:rPr>
        <w:t>8</w:t>
      </w:r>
      <w:r>
        <w:rPr>
          <w:b/>
        </w:rPr>
        <w:t xml:space="preserve"> 地面小时影响浓度点影响值与现状背景值叠加结果</w:t>
      </w:r>
    </w:p>
    <w:tbl>
      <w:tblPr>
        <w:tblStyle w:val="20"/>
        <w:tblpPr w:leftFromText="180" w:rightFromText="180" w:vertAnchor="text" w:tblpXSpec="center"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1"/>
        <w:gridCol w:w="1837"/>
        <w:gridCol w:w="1638"/>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971"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污染物</w:t>
            </w:r>
          </w:p>
        </w:tc>
        <w:tc>
          <w:tcPr>
            <w:tcW w:w="1837" w:type="dxa"/>
            <w:shd w:val="clear" w:color="auto" w:fill="auto"/>
            <w:noWrap/>
            <w:vAlign w:val="center"/>
          </w:tcPr>
          <w:p>
            <w:pPr>
              <w:widowControl/>
              <w:adjustRightInd w:val="0"/>
              <w:snapToGrid w:val="0"/>
              <w:spacing w:line="360" w:lineRule="auto"/>
              <w:jc w:val="center"/>
              <w:rPr>
                <w:kern w:val="0"/>
                <w:sz w:val="21"/>
                <w:szCs w:val="21"/>
              </w:rPr>
            </w:pPr>
            <w:r>
              <w:rPr>
                <w:sz w:val="21"/>
                <w:szCs w:val="21"/>
              </w:rPr>
              <w:t>PM</w:t>
            </w:r>
            <w:r>
              <w:rPr>
                <w:sz w:val="21"/>
                <w:szCs w:val="21"/>
                <w:vertAlign w:val="subscript"/>
              </w:rPr>
              <w:t>10</w:t>
            </w:r>
          </w:p>
        </w:tc>
        <w:tc>
          <w:tcPr>
            <w:tcW w:w="1638" w:type="dxa"/>
            <w:shd w:val="clear" w:color="auto" w:fill="auto"/>
            <w:noWrap w:val="0"/>
            <w:vAlign w:val="center"/>
          </w:tcPr>
          <w:p>
            <w:pPr>
              <w:widowControl/>
              <w:adjustRightInd w:val="0"/>
              <w:snapToGrid w:val="0"/>
              <w:spacing w:line="360" w:lineRule="auto"/>
              <w:jc w:val="center"/>
              <w:rPr>
                <w:kern w:val="0"/>
                <w:sz w:val="21"/>
                <w:szCs w:val="21"/>
              </w:rPr>
            </w:pPr>
            <w:r>
              <w:rPr>
                <w:sz w:val="21"/>
                <w:szCs w:val="21"/>
              </w:rPr>
              <w:t>SO</w:t>
            </w:r>
            <w:r>
              <w:rPr>
                <w:sz w:val="21"/>
                <w:szCs w:val="21"/>
                <w:vertAlign w:val="subscript"/>
              </w:rPr>
              <w:t>2</w:t>
            </w:r>
          </w:p>
        </w:tc>
        <w:tc>
          <w:tcPr>
            <w:tcW w:w="1840"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3971"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最大值（mg/m</w:t>
            </w:r>
            <w:r>
              <w:rPr>
                <w:kern w:val="0"/>
                <w:sz w:val="21"/>
                <w:szCs w:val="21"/>
                <w:vertAlign w:val="superscript"/>
              </w:rPr>
              <w:t>3</w:t>
            </w:r>
            <w:r>
              <w:rPr>
                <w:kern w:val="0"/>
                <w:sz w:val="21"/>
                <w:szCs w:val="21"/>
              </w:rPr>
              <w:t>）</w:t>
            </w:r>
          </w:p>
        </w:tc>
        <w:tc>
          <w:tcPr>
            <w:tcW w:w="1837"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0.1598</w:t>
            </w:r>
          </w:p>
        </w:tc>
        <w:tc>
          <w:tcPr>
            <w:tcW w:w="1638"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0.0606</w:t>
            </w:r>
          </w:p>
        </w:tc>
        <w:tc>
          <w:tcPr>
            <w:tcW w:w="1840"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3971"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背景值（mg/m</w:t>
            </w:r>
            <w:r>
              <w:rPr>
                <w:kern w:val="0"/>
                <w:sz w:val="21"/>
                <w:szCs w:val="21"/>
                <w:vertAlign w:val="superscript"/>
              </w:rPr>
              <w:t>3</w:t>
            </w:r>
            <w:r>
              <w:rPr>
                <w:kern w:val="0"/>
                <w:sz w:val="21"/>
                <w:szCs w:val="21"/>
              </w:rPr>
              <w:t>）</w:t>
            </w:r>
          </w:p>
        </w:tc>
        <w:tc>
          <w:tcPr>
            <w:tcW w:w="1837"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0.0671</w:t>
            </w:r>
          </w:p>
        </w:tc>
        <w:tc>
          <w:tcPr>
            <w:tcW w:w="1840"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3971"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叠加值（mg/m</w:t>
            </w:r>
            <w:r>
              <w:rPr>
                <w:kern w:val="0"/>
                <w:sz w:val="21"/>
                <w:szCs w:val="21"/>
                <w:vertAlign w:val="superscript"/>
              </w:rPr>
              <w:t>3</w:t>
            </w:r>
            <w:r>
              <w:rPr>
                <w:kern w:val="0"/>
                <w:sz w:val="21"/>
                <w:szCs w:val="21"/>
              </w:rPr>
              <w:t>）</w:t>
            </w:r>
          </w:p>
        </w:tc>
        <w:tc>
          <w:tcPr>
            <w:tcW w:w="1837"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0.1277</w:t>
            </w:r>
          </w:p>
        </w:tc>
        <w:tc>
          <w:tcPr>
            <w:tcW w:w="1840"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3971"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占标率（%）</w:t>
            </w:r>
          </w:p>
        </w:tc>
        <w:tc>
          <w:tcPr>
            <w:tcW w:w="1837"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w:t>
            </w:r>
          </w:p>
        </w:tc>
        <w:tc>
          <w:tcPr>
            <w:tcW w:w="1638"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25.54</w:t>
            </w:r>
          </w:p>
        </w:tc>
        <w:tc>
          <w:tcPr>
            <w:tcW w:w="1840"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204.00</w:t>
            </w:r>
          </w:p>
        </w:tc>
      </w:tr>
    </w:tbl>
    <w:p>
      <w:pPr>
        <w:adjustRightInd w:val="0"/>
        <w:snapToGrid w:val="0"/>
        <w:spacing w:line="360" w:lineRule="auto"/>
        <w:ind w:firstLine="420" w:firstLineChars="200"/>
      </w:pPr>
    </w:p>
    <w:p>
      <w:pPr>
        <w:adjustRightInd w:val="0"/>
        <w:snapToGrid w:val="0"/>
        <w:spacing w:line="360" w:lineRule="auto"/>
        <w:ind w:firstLine="420" w:firstLineChars="200"/>
        <w:rPr>
          <w:rFonts w:hint="eastAsia"/>
        </w:rPr>
      </w:pPr>
      <w:r>
        <w:t>从表</w:t>
      </w:r>
      <w:r>
        <w:rPr>
          <w:rFonts w:hint="eastAsia"/>
        </w:rPr>
        <w:t>8</w:t>
      </w:r>
      <w:r>
        <w:t>-</w:t>
      </w:r>
      <w:r>
        <w:rPr>
          <w:rFonts w:hint="eastAsia"/>
        </w:rPr>
        <w:t>8</w:t>
      </w:r>
      <w:r>
        <w:t>可知，叠加现状监测值后，</w:t>
      </w:r>
      <w:r>
        <w:rPr>
          <w:rFonts w:hint="eastAsia"/>
        </w:rPr>
        <w:t>SO</w:t>
      </w:r>
      <w:r>
        <w:rPr>
          <w:rFonts w:hint="eastAsia"/>
          <w:vertAlign w:val="subscript"/>
        </w:rPr>
        <w:t>2</w:t>
      </w:r>
      <w:r>
        <w:t>小时浓度</w:t>
      </w:r>
      <w:r>
        <w:rPr>
          <w:rFonts w:hint="eastAsia"/>
        </w:rPr>
        <w:t>满足</w:t>
      </w:r>
      <w:r>
        <w:t>《环境空气质量标准》(GB3095-1996)中的二级标准要求</w:t>
      </w:r>
      <w:r>
        <w:rPr>
          <w:rFonts w:hint="eastAsia"/>
        </w:rPr>
        <w:t>，NO</w:t>
      </w:r>
      <w:r>
        <w:rPr>
          <w:rFonts w:hint="eastAsia"/>
          <w:vertAlign w:val="subscript"/>
        </w:rPr>
        <w:t>2</w:t>
      </w:r>
      <w:r>
        <w:rPr>
          <w:rFonts w:hint="eastAsia"/>
        </w:rPr>
        <w:t>超标1.04倍。</w:t>
      </w:r>
    </w:p>
    <w:p>
      <w:pPr>
        <w:adjustRightInd w:val="0"/>
        <w:snapToGrid w:val="0"/>
        <w:spacing w:line="360" w:lineRule="auto"/>
        <w:ind w:firstLine="420" w:firstLineChars="200"/>
      </w:pPr>
      <w:r>
        <w:rPr>
          <w:rFonts w:hint="eastAsia" w:ascii="宋体" w:hAnsi="宋体" w:cs="宋体"/>
        </w:rPr>
        <w:t>②</w:t>
      </w:r>
      <w:r>
        <w:t>日均浓度</w:t>
      </w:r>
    </w:p>
    <w:p>
      <w:pPr>
        <w:adjustRightInd w:val="0"/>
        <w:snapToGrid w:val="0"/>
        <w:spacing w:line="360" w:lineRule="auto"/>
        <w:ind w:firstLine="420" w:firstLineChars="200"/>
      </w:pPr>
      <w:r>
        <w:rPr>
          <w:rFonts w:hint="eastAsia" w:ascii="宋体" w:hAnsi="宋体" w:cs="宋体"/>
        </w:rPr>
        <w:t>◆</w:t>
      </w:r>
      <w:r>
        <w:t xml:space="preserve"> 区域日最大值、位置与出现时间</w:t>
      </w:r>
    </w:p>
    <w:p>
      <w:pPr>
        <w:adjustRightInd w:val="0"/>
        <w:snapToGrid w:val="0"/>
        <w:spacing w:line="360" w:lineRule="auto"/>
        <w:ind w:firstLine="480"/>
      </w:pPr>
      <w:r>
        <w:t>经预测可知，各污染物在评价区域的最大日均值、位置与出现时间见表</w:t>
      </w:r>
      <w:r>
        <w:rPr>
          <w:rFonts w:hint="eastAsia"/>
        </w:rPr>
        <w:t>8</w:t>
      </w:r>
      <w:r>
        <w:t>-</w:t>
      </w:r>
      <w:r>
        <w:rPr>
          <w:rFonts w:hint="eastAsia"/>
        </w:rPr>
        <w:t>9</w:t>
      </w:r>
      <w:r>
        <w:t>。</w:t>
      </w:r>
    </w:p>
    <w:p>
      <w:pPr>
        <w:adjustRightInd w:val="0"/>
        <w:snapToGrid w:val="0"/>
        <w:spacing w:line="360" w:lineRule="auto"/>
        <w:jc w:val="center"/>
        <w:rPr>
          <w:b/>
        </w:rPr>
      </w:pPr>
      <w:r>
        <w:rPr>
          <w:b/>
        </w:rPr>
        <w:t>表</w:t>
      </w:r>
      <w:r>
        <w:rPr>
          <w:rFonts w:hint="eastAsia"/>
          <w:b/>
        </w:rPr>
        <w:t>8</w:t>
      </w:r>
      <w:r>
        <w:rPr>
          <w:b/>
        </w:rPr>
        <w:t>-</w:t>
      </w:r>
      <w:r>
        <w:rPr>
          <w:rFonts w:hint="eastAsia"/>
          <w:b/>
        </w:rPr>
        <w:t>9</w:t>
      </w:r>
      <w:r>
        <w:rPr>
          <w:b/>
        </w:rPr>
        <w:t xml:space="preserve"> 评价范围内日均最大值、位置与出现时间</w:t>
      </w:r>
    </w:p>
    <w:tbl>
      <w:tblPr>
        <w:tblStyle w:val="21"/>
        <w:tblW w:w="8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440"/>
        <w:gridCol w:w="1260"/>
        <w:gridCol w:w="1260"/>
        <w:gridCol w:w="1266"/>
        <w:gridCol w:w="1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39" w:type="dxa"/>
            <w:noWrap w:val="0"/>
            <w:vAlign w:val="bottom"/>
          </w:tcPr>
          <w:p>
            <w:pPr>
              <w:adjustRightInd w:val="0"/>
              <w:snapToGrid w:val="0"/>
              <w:spacing w:line="360" w:lineRule="auto"/>
              <w:jc w:val="center"/>
              <w:rPr>
                <w:sz w:val="21"/>
                <w:szCs w:val="21"/>
              </w:rPr>
            </w:pPr>
            <w:r>
              <w:rPr>
                <w:sz w:val="21"/>
                <w:szCs w:val="21"/>
              </w:rPr>
              <w:t>污染物名称</w:t>
            </w:r>
          </w:p>
        </w:tc>
        <w:tc>
          <w:tcPr>
            <w:tcW w:w="1440" w:type="dxa"/>
            <w:noWrap w:val="0"/>
            <w:vAlign w:val="bottom"/>
          </w:tcPr>
          <w:p>
            <w:pPr>
              <w:adjustRightInd w:val="0"/>
              <w:snapToGrid w:val="0"/>
              <w:spacing w:line="360" w:lineRule="auto"/>
              <w:jc w:val="center"/>
              <w:rPr>
                <w:sz w:val="21"/>
                <w:szCs w:val="21"/>
              </w:rPr>
            </w:pPr>
            <w:r>
              <w:rPr>
                <w:sz w:val="21"/>
                <w:szCs w:val="21"/>
              </w:rPr>
              <w:t>区域最大值</w:t>
            </w:r>
          </w:p>
        </w:tc>
        <w:tc>
          <w:tcPr>
            <w:tcW w:w="1260" w:type="dxa"/>
            <w:noWrap w:val="0"/>
            <w:vAlign w:val="bottom"/>
          </w:tcPr>
          <w:p>
            <w:pPr>
              <w:adjustRightInd w:val="0"/>
              <w:snapToGrid w:val="0"/>
              <w:spacing w:line="360" w:lineRule="auto"/>
              <w:jc w:val="center"/>
              <w:rPr>
                <w:sz w:val="21"/>
                <w:szCs w:val="21"/>
              </w:rPr>
            </w:pPr>
            <w:r>
              <w:rPr>
                <w:sz w:val="21"/>
                <w:szCs w:val="21"/>
              </w:rPr>
              <w:t>占标率（%）</w:t>
            </w:r>
          </w:p>
        </w:tc>
        <w:tc>
          <w:tcPr>
            <w:tcW w:w="1260" w:type="dxa"/>
            <w:noWrap w:val="0"/>
            <w:vAlign w:val="bottom"/>
          </w:tcPr>
          <w:p>
            <w:pPr>
              <w:adjustRightInd w:val="0"/>
              <w:snapToGrid w:val="0"/>
              <w:spacing w:line="360" w:lineRule="auto"/>
              <w:jc w:val="center"/>
              <w:rPr>
                <w:sz w:val="21"/>
                <w:szCs w:val="21"/>
              </w:rPr>
            </w:pPr>
            <w:r>
              <w:rPr>
                <w:sz w:val="21"/>
                <w:szCs w:val="21"/>
              </w:rPr>
              <w:t>X坐标(m)</w:t>
            </w:r>
          </w:p>
        </w:tc>
        <w:tc>
          <w:tcPr>
            <w:tcW w:w="1266" w:type="dxa"/>
            <w:noWrap w:val="0"/>
            <w:vAlign w:val="bottom"/>
          </w:tcPr>
          <w:p>
            <w:pPr>
              <w:adjustRightInd w:val="0"/>
              <w:snapToGrid w:val="0"/>
              <w:spacing w:line="360" w:lineRule="auto"/>
              <w:jc w:val="center"/>
              <w:rPr>
                <w:sz w:val="21"/>
                <w:szCs w:val="21"/>
              </w:rPr>
            </w:pPr>
            <w:r>
              <w:rPr>
                <w:sz w:val="21"/>
                <w:szCs w:val="21"/>
              </w:rPr>
              <w:t>Y坐标(m)</w:t>
            </w:r>
          </w:p>
        </w:tc>
        <w:tc>
          <w:tcPr>
            <w:tcW w:w="1931" w:type="dxa"/>
            <w:noWrap w:val="0"/>
            <w:vAlign w:val="bottom"/>
          </w:tcPr>
          <w:p>
            <w:pPr>
              <w:adjustRightInd w:val="0"/>
              <w:snapToGrid w:val="0"/>
              <w:spacing w:line="360" w:lineRule="auto"/>
              <w:jc w:val="center"/>
              <w:rPr>
                <w:sz w:val="21"/>
                <w:szCs w:val="21"/>
              </w:rPr>
            </w:pPr>
            <w:r>
              <w:rPr>
                <w:sz w:val="21"/>
                <w:szCs w:val="21"/>
              </w:rPr>
              <w:t>出现时间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639" w:type="dxa"/>
            <w:noWrap w:val="0"/>
            <w:vAlign w:val="center"/>
          </w:tcPr>
          <w:p>
            <w:pPr>
              <w:adjustRightInd w:val="0"/>
              <w:snapToGrid w:val="0"/>
              <w:spacing w:line="360" w:lineRule="auto"/>
              <w:jc w:val="center"/>
              <w:rPr>
                <w:sz w:val="21"/>
                <w:szCs w:val="21"/>
              </w:rPr>
            </w:pPr>
            <w:r>
              <w:rPr>
                <w:sz w:val="21"/>
                <w:szCs w:val="21"/>
              </w:rPr>
              <w:t>PM</w:t>
            </w:r>
            <w:r>
              <w:rPr>
                <w:sz w:val="21"/>
                <w:szCs w:val="21"/>
                <w:vertAlign w:val="subscript"/>
              </w:rPr>
              <w:t>10</w:t>
            </w:r>
          </w:p>
        </w:tc>
        <w:tc>
          <w:tcPr>
            <w:tcW w:w="1440" w:type="dxa"/>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0.0669</w:t>
            </w:r>
          </w:p>
        </w:tc>
        <w:tc>
          <w:tcPr>
            <w:tcW w:w="1260" w:type="dxa"/>
            <w:noWrap w:val="0"/>
            <w:vAlign w:val="center"/>
          </w:tcPr>
          <w:p>
            <w:pPr>
              <w:adjustRightInd w:val="0"/>
              <w:snapToGrid w:val="0"/>
              <w:spacing w:line="360" w:lineRule="auto"/>
              <w:jc w:val="center"/>
              <w:rPr>
                <w:rFonts w:hint="eastAsia"/>
                <w:sz w:val="21"/>
                <w:szCs w:val="21"/>
              </w:rPr>
            </w:pPr>
            <w:r>
              <w:rPr>
                <w:rFonts w:hint="eastAsia"/>
                <w:sz w:val="21"/>
                <w:szCs w:val="21"/>
              </w:rPr>
              <w:t>44.6</w:t>
            </w:r>
          </w:p>
        </w:tc>
        <w:tc>
          <w:tcPr>
            <w:tcW w:w="126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312</w:t>
            </w:r>
          </w:p>
        </w:tc>
        <w:tc>
          <w:tcPr>
            <w:tcW w:w="1266"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3508</w:t>
            </w:r>
          </w:p>
        </w:tc>
        <w:tc>
          <w:tcPr>
            <w:tcW w:w="1931" w:type="dxa"/>
            <w:noWrap w:val="0"/>
            <w:vAlign w:val="center"/>
          </w:tcPr>
          <w:p>
            <w:pPr>
              <w:adjustRightInd w:val="0"/>
              <w:snapToGrid w:val="0"/>
              <w:spacing w:line="360" w:lineRule="auto"/>
              <w:jc w:val="center"/>
              <w:rPr>
                <w:rFonts w:hint="eastAsia"/>
                <w:sz w:val="21"/>
                <w:szCs w:val="21"/>
              </w:rPr>
            </w:pPr>
            <w:r>
              <w:rPr>
                <w:rFonts w:hint="eastAsia"/>
                <w:sz w:val="21"/>
                <w:szCs w:val="21"/>
              </w:rPr>
              <w:t>2007年8月13日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9" w:type="dxa"/>
            <w:noWrap w:val="0"/>
            <w:vAlign w:val="center"/>
          </w:tcPr>
          <w:p>
            <w:pPr>
              <w:adjustRightInd w:val="0"/>
              <w:snapToGrid w:val="0"/>
              <w:spacing w:line="360" w:lineRule="auto"/>
              <w:jc w:val="center"/>
              <w:rPr>
                <w:sz w:val="21"/>
                <w:szCs w:val="21"/>
              </w:rPr>
            </w:pPr>
            <w:r>
              <w:rPr>
                <w:sz w:val="21"/>
                <w:szCs w:val="21"/>
              </w:rPr>
              <w:t>SO</w:t>
            </w:r>
            <w:r>
              <w:rPr>
                <w:sz w:val="21"/>
                <w:szCs w:val="21"/>
                <w:vertAlign w:val="subscript"/>
              </w:rPr>
              <w:t>2</w:t>
            </w:r>
          </w:p>
        </w:tc>
        <w:tc>
          <w:tcPr>
            <w:tcW w:w="1440" w:type="dxa"/>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0.0046</w:t>
            </w:r>
          </w:p>
        </w:tc>
        <w:tc>
          <w:tcPr>
            <w:tcW w:w="1260" w:type="dxa"/>
            <w:noWrap w:val="0"/>
            <w:vAlign w:val="center"/>
          </w:tcPr>
          <w:p>
            <w:pPr>
              <w:adjustRightInd w:val="0"/>
              <w:snapToGrid w:val="0"/>
              <w:spacing w:line="360" w:lineRule="auto"/>
              <w:jc w:val="center"/>
              <w:rPr>
                <w:rFonts w:hint="eastAsia"/>
                <w:sz w:val="21"/>
                <w:szCs w:val="21"/>
              </w:rPr>
            </w:pPr>
            <w:r>
              <w:rPr>
                <w:rFonts w:hint="eastAsia"/>
                <w:sz w:val="21"/>
                <w:szCs w:val="21"/>
              </w:rPr>
              <w:t>3.07</w:t>
            </w:r>
          </w:p>
        </w:tc>
        <w:tc>
          <w:tcPr>
            <w:tcW w:w="126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266"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1931" w:type="dxa"/>
            <w:noWrap w:val="0"/>
            <w:vAlign w:val="center"/>
          </w:tcPr>
          <w:p>
            <w:pPr>
              <w:adjustRightInd w:val="0"/>
              <w:snapToGrid w:val="0"/>
              <w:spacing w:line="360" w:lineRule="auto"/>
              <w:jc w:val="center"/>
              <w:rPr>
                <w:rFonts w:hint="eastAsia"/>
                <w:sz w:val="21"/>
                <w:szCs w:val="21"/>
              </w:rPr>
            </w:pPr>
            <w:r>
              <w:rPr>
                <w:rFonts w:hint="eastAsia"/>
                <w:sz w:val="21"/>
                <w:szCs w:val="21"/>
              </w:rPr>
              <w:t>2007年8月8日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9" w:type="dxa"/>
            <w:noWrap w:val="0"/>
            <w:vAlign w:val="center"/>
          </w:tcPr>
          <w:p>
            <w:pPr>
              <w:adjustRightInd w:val="0"/>
              <w:snapToGrid w:val="0"/>
              <w:spacing w:line="360" w:lineRule="auto"/>
              <w:jc w:val="center"/>
              <w:rPr>
                <w:sz w:val="21"/>
                <w:szCs w:val="21"/>
              </w:rPr>
            </w:pPr>
            <w:r>
              <w:rPr>
                <w:rFonts w:hint="eastAsia"/>
                <w:sz w:val="21"/>
                <w:szCs w:val="21"/>
              </w:rPr>
              <w:t>N</w:t>
            </w:r>
            <w:r>
              <w:rPr>
                <w:sz w:val="21"/>
                <w:szCs w:val="21"/>
              </w:rPr>
              <w:t>O</w:t>
            </w:r>
            <w:r>
              <w:rPr>
                <w:sz w:val="21"/>
                <w:szCs w:val="21"/>
                <w:vertAlign w:val="subscript"/>
              </w:rPr>
              <w:t>2</w:t>
            </w:r>
          </w:p>
        </w:tc>
        <w:tc>
          <w:tcPr>
            <w:tcW w:w="1440" w:type="dxa"/>
            <w:noWrap w:val="0"/>
            <w:vAlign w:val="center"/>
          </w:tcPr>
          <w:p>
            <w:pPr>
              <w:spacing w:line="360" w:lineRule="auto"/>
              <w:jc w:val="center"/>
              <w:rPr>
                <w:rFonts w:hint="eastAsia" w:ascii="宋体" w:hAnsi="宋体" w:cs="宋体"/>
                <w:sz w:val="21"/>
                <w:szCs w:val="21"/>
              </w:rPr>
            </w:pPr>
            <w:r>
              <w:rPr>
                <w:rFonts w:hint="eastAsia" w:ascii="宋体" w:hAnsi="宋体" w:cs="宋体"/>
                <w:sz w:val="21"/>
                <w:szCs w:val="21"/>
              </w:rPr>
              <w:t>0.0310</w:t>
            </w:r>
          </w:p>
        </w:tc>
        <w:tc>
          <w:tcPr>
            <w:tcW w:w="1260" w:type="dxa"/>
            <w:noWrap w:val="0"/>
            <w:vAlign w:val="center"/>
          </w:tcPr>
          <w:p>
            <w:pPr>
              <w:adjustRightInd w:val="0"/>
              <w:snapToGrid w:val="0"/>
              <w:spacing w:line="360" w:lineRule="auto"/>
              <w:jc w:val="center"/>
              <w:rPr>
                <w:rFonts w:hint="eastAsia"/>
                <w:sz w:val="21"/>
                <w:szCs w:val="21"/>
              </w:rPr>
            </w:pPr>
            <w:r>
              <w:rPr>
                <w:rFonts w:hint="eastAsia"/>
                <w:sz w:val="21"/>
                <w:szCs w:val="21"/>
              </w:rPr>
              <w:t>25.83</w:t>
            </w:r>
          </w:p>
        </w:tc>
        <w:tc>
          <w:tcPr>
            <w:tcW w:w="1260"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301</w:t>
            </w:r>
          </w:p>
        </w:tc>
        <w:tc>
          <w:tcPr>
            <w:tcW w:w="1266" w:type="dxa"/>
            <w:noWrap w:val="0"/>
            <w:vAlign w:val="center"/>
          </w:tcPr>
          <w:p>
            <w:pPr>
              <w:spacing w:line="360" w:lineRule="auto"/>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c>
          <w:tcPr>
            <w:tcW w:w="1931" w:type="dxa"/>
            <w:noWrap w:val="0"/>
            <w:vAlign w:val="center"/>
          </w:tcPr>
          <w:p>
            <w:pPr>
              <w:adjustRightInd w:val="0"/>
              <w:snapToGrid w:val="0"/>
              <w:spacing w:line="360" w:lineRule="auto"/>
              <w:jc w:val="center"/>
              <w:rPr>
                <w:sz w:val="21"/>
                <w:szCs w:val="21"/>
              </w:rPr>
            </w:pPr>
            <w:r>
              <w:rPr>
                <w:rFonts w:hint="eastAsia"/>
                <w:sz w:val="21"/>
                <w:szCs w:val="21"/>
              </w:rPr>
              <w:t>2007年8月8日</w:t>
            </w:r>
          </w:p>
        </w:tc>
      </w:tr>
    </w:tbl>
    <w:p>
      <w:pPr>
        <w:adjustRightInd w:val="0"/>
        <w:snapToGrid w:val="0"/>
        <w:spacing w:line="480" w:lineRule="exact"/>
        <w:ind w:firstLine="420" w:firstLineChars="200"/>
      </w:pPr>
      <w:r>
        <w:t>从表</w:t>
      </w:r>
      <w:r>
        <w:rPr>
          <w:rFonts w:hint="eastAsia"/>
        </w:rPr>
        <w:t>8</w:t>
      </w:r>
      <w:r>
        <w:t>-</w:t>
      </w:r>
      <w:r>
        <w:rPr>
          <w:rFonts w:hint="eastAsia"/>
        </w:rPr>
        <w:t>9</w:t>
      </w:r>
      <w:r>
        <w:t>看出，PM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日均最大浓度影响值分别为</w:t>
      </w:r>
      <w:r>
        <w:rPr>
          <w:rFonts w:hint="eastAsia"/>
        </w:rPr>
        <w:t>0.0669</w:t>
      </w:r>
      <w:r>
        <w:t>mg/m</w:t>
      </w:r>
      <w:r>
        <w:rPr>
          <w:vertAlign w:val="superscript"/>
        </w:rPr>
        <w:t>3</w:t>
      </w:r>
      <w:r>
        <w:t>、0.</w:t>
      </w:r>
      <w:r>
        <w:rPr>
          <w:rFonts w:hint="eastAsia"/>
        </w:rPr>
        <w:t>0046</w:t>
      </w:r>
      <w:r>
        <w:t>mg/m</w:t>
      </w:r>
      <w:r>
        <w:rPr>
          <w:vertAlign w:val="superscript"/>
        </w:rPr>
        <w:t>3</w:t>
      </w:r>
      <w:r>
        <w:t>、0.0</w:t>
      </w:r>
      <w:r>
        <w:rPr>
          <w:rFonts w:hint="eastAsia"/>
        </w:rPr>
        <w:t>310</w:t>
      </w:r>
      <w:r>
        <w:t>mg/m</w:t>
      </w:r>
      <w:r>
        <w:rPr>
          <w:vertAlign w:val="superscript"/>
        </w:rPr>
        <w:t>3</w:t>
      </w:r>
      <w:r>
        <w:t>，</w:t>
      </w:r>
      <w:r>
        <w:rPr>
          <w:rFonts w:hint="eastAsia"/>
        </w:rPr>
        <w:t>其占标率分别</w:t>
      </w:r>
      <w:r>
        <w:t>占相应标准限值的</w:t>
      </w:r>
      <w:r>
        <w:rPr>
          <w:rFonts w:hint="eastAsia"/>
        </w:rPr>
        <w:t>44.6%、3.07</w:t>
      </w:r>
      <w:r>
        <w:t>%和</w:t>
      </w:r>
      <w:r>
        <w:rPr>
          <w:rFonts w:hint="eastAsia"/>
        </w:rPr>
        <w:t>25.83</w:t>
      </w:r>
      <w:r>
        <w:t>%，符合《环境空气质量标准》(GB3095-1996)中的二级标准要求。PM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日均浓度分布见图</w:t>
      </w:r>
      <w:r>
        <w:rPr>
          <w:rFonts w:hint="eastAsia"/>
        </w:rPr>
        <w:t>8</w:t>
      </w:r>
      <w:r>
        <w:t>.</w:t>
      </w:r>
      <w:r>
        <w:rPr>
          <w:rFonts w:hint="eastAsia"/>
        </w:rPr>
        <w:t>10</w:t>
      </w:r>
      <w:r>
        <w:t>～图</w:t>
      </w:r>
      <w:r>
        <w:rPr>
          <w:rFonts w:hint="eastAsia"/>
        </w:rPr>
        <w:t>8</w:t>
      </w:r>
      <w:r>
        <w:t>.</w:t>
      </w:r>
      <w:r>
        <w:rPr>
          <w:rFonts w:hint="eastAsia"/>
        </w:rPr>
        <w:t>12</w:t>
      </w:r>
      <w:r>
        <w:t>。</w:t>
      </w:r>
    </w:p>
    <w:p>
      <w:pPr>
        <w:adjustRightInd w:val="0"/>
        <w:snapToGrid w:val="0"/>
        <w:spacing w:line="480" w:lineRule="exact"/>
        <w:ind w:firstLine="420" w:firstLineChars="200"/>
      </w:pPr>
      <w:r>
        <w:rPr>
          <w:rFonts w:hint="eastAsia" w:ascii="宋体" w:hAnsi="宋体" w:cs="宋体"/>
        </w:rPr>
        <w:t>◆</w:t>
      </w:r>
      <w:r>
        <w:t xml:space="preserve"> 区域最大日均值出现时浓度分布</w:t>
      </w:r>
    </w:p>
    <w:p>
      <w:pPr>
        <w:adjustRightInd w:val="0"/>
        <w:snapToGrid w:val="0"/>
        <w:spacing w:line="480" w:lineRule="exact"/>
        <w:ind w:firstLine="420" w:firstLineChars="200"/>
      </w:pP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出现最大日均值的时间分别为200</w:t>
      </w:r>
      <w:r>
        <w:rPr>
          <w:rFonts w:hint="eastAsia"/>
        </w:rPr>
        <w:t>7</w:t>
      </w:r>
      <w:r>
        <w:t>年</w:t>
      </w:r>
      <w:r>
        <w:rPr>
          <w:rFonts w:hint="eastAsia"/>
        </w:rPr>
        <w:t>8</w:t>
      </w:r>
      <w:r>
        <w:t>月</w:t>
      </w:r>
      <w:r>
        <w:rPr>
          <w:rFonts w:hint="eastAsia"/>
        </w:rPr>
        <w:t>13</w:t>
      </w:r>
      <w:r>
        <w:t>日和200</w:t>
      </w:r>
      <w:r>
        <w:rPr>
          <w:rFonts w:hint="eastAsia"/>
        </w:rPr>
        <w:t>7</w:t>
      </w:r>
      <w:r>
        <w:t>年</w:t>
      </w:r>
      <w:r>
        <w:rPr>
          <w:rFonts w:hint="eastAsia"/>
        </w:rPr>
        <w:t>8</w:t>
      </w:r>
      <w:r>
        <w:t>月</w:t>
      </w:r>
      <w:r>
        <w:rPr>
          <w:rFonts w:hint="eastAsia"/>
        </w:rPr>
        <w:t>8</w:t>
      </w:r>
      <w:r>
        <w:t>日，以各污染物最大落地浓度出现的日期为典型日，对典时日气象条件下PM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日均浓度分布进行预测，结果见图</w:t>
      </w:r>
      <w:r>
        <w:rPr>
          <w:rFonts w:hint="eastAsia"/>
        </w:rPr>
        <w:t>8</w:t>
      </w:r>
      <w:r>
        <w:t>.1</w:t>
      </w:r>
      <w:r>
        <w:rPr>
          <w:rFonts w:hint="eastAsia"/>
        </w:rPr>
        <w:t>3</w:t>
      </w:r>
      <w:r>
        <w:t>～图</w:t>
      </w:r>
      <w:r>
        <w:rPr>
          <w:rFonts w:hint="eastAsia"/>
        </w:rPr>
        <w:t>8</w:t>
      </w:r>
      <w:r>
        <w:t>.1</w:t>
      </w:r>
      <w:r>
        <w:rPr>
          <w:rFonts w:hint="eastAsia"/>
        </w:rPr>
        <w:t>5</w:t>
      </w:r>
      <w:r>
        <w:t>。</w:t>
      </w:r>
    </w:p>
    <w:p>
      <w:pPr>
        <w:adjustRightInd w:val="0"/>
        <w:snapToGrid w:val="0"/>
        <w:spacing w:line="480" w:lineRule="exact"/>
        <w:ind w:firstLine="420" w:firstLineChars="200"/>
      </w:pPr>
      <w:r>
        <w:rPr>
          <w:rFonts w:hint="eastAsia" w:ascii="宋体" w:hAnsi="宋体" w:cs="宋体"/>
        </w:rPr>
        <w:t>◆</w:t>
      </w:r>
      <w:r>
        <w:t>最大日均浓度的环境影响叠加分析</w:t>
      </w:r>
    </w:p>
    <w:p>
      <w:pPr>
        <w:adjustRightInd w:val="0"/>
        <w:snapToGrid w:val="0"/>
        <w:spacing w:line="480" w:lineRule="exact"/>
        <w:ind w:firstLine="420" w:firstLineChars="200"/>
        <w:rPr>
          <w:rFonts w:hint="eastAsia"/>
        </w:rPr>
      </w:pPr>
      <w:r>
        <w:t>将最大日均浓度点的影响预测结果与环境现状背景值进行叠加，叠加结果见表</w:t>
      </w:r>
      <w:r>
        <w:rPr>
          <w:rFonts w:hint="eastAsia"/>
        </w:rPr>
        <w:t>8</w:t>
      </w:r>
      <w:r>
        <w:t>-</w:t>
      </w:r>
      <w:r>
        <w:rPr>
          <w:rFonts w:hint="eastAsia"/>
        </w:rPr>
        <w:t>10。</w:t>
      </w:r>
    </w:p>
    <w:p>
      <w:pPr>
        <w:adjustRightInd w:val="0"/>
        <w:snapToGrid w:val="0"/>
        <w:spacing w:line="360" w:lineRule="exact"/>
        <w:jc w:val="center"/>
        <w:rPr>
          <w:rFonts w:hint="eastAsia"/>
          <w:b/>
        </w:rPr>
      </w:pPr>
    </w:p>
    <w:p>
      <w:pPr>
        <w:adjustRightInd w:val="0"/>
        <w:snapToGrid w:val="0"/>
        <w:spacing w:line="360" w:lineRule="exact"/>
        <w:jc w:val="center"/>
        <w:rPr>
          <w:rFonts w:hint="eastAsia"/>
          <w:b/>
        </w:rPr>
      </w:pPr>
    </w:p>
    <w:p>
      <w:pPr>
        <w:adjustRightInd w:val="0"/>
        <w:snapToGrid w:val="0"/>
        <w:spacing w:line="360" w:lineRule="exact"/>
        <w:jc w:val="center"/>
        <w:rPr>
          <w:rFonts w:hint="eastAsia"/>
          <w:b/>
        </w:rPr>
      </w:pPr>
    </w:p>
    <w:p>
      <w:pPr>
        <w:adjustRightInd w:val="0"/>
        <w:snapToGrid w:val="0"/>
        <w:spacing w:line="360" w:lineRule="auto"/>
        <w:jc w:val="center"/>
        <w:rPr>
          <w:b/>
        </w:rPr>
      </w:pPr>
      <w:r>
        <w:rPr>
          <w:b/>
        </w:rPr>
        <w:t>表</w:t>
      </w:r>
      <w:r>
        <w:rPr>
          <w:rFonts w:hint="eastAsia"/>
          <w:b/>
        </w:rPr>
        <w:t>8</w:t>
      </w:r>
      <w:r>
        <w:rPr>
          <w:b/>
        </w:rPr>
        <w:t>-</w:t>
      </w:r>
      <w:r>
        <w:rPr>
          <w:rFonts w:hint="eastAsia"/>
          <w:b/>
        </w:rPr>
        <w:t xml:space="preserve">10  </w:t>
      </w:r>
      <w:r>
        <w:rPr>
          <w:b/>
        </w:rPr>
        <w:t>最大地面日均影响浓度点影响值与现状背景值叠加结果</w:t>
      </w:r>
    </w:p>
    <w:tbl>
      <w:tblPr>
        <w:tblStyle w:val="20"/>
        <w:tblpPr w:leftFromText="180" w:rightFromText="180" w:vertAnchor="text" w:tblpXSpec="center"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3"/>
        <w:gridCol w:w="1883"/>
        <w:gridCol w:w="1679"/>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3833"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污染物</w:t>
            </w:r>
          </w:p>
        </w:tc>
        <w:tc>
          <w:tcPr>
            <w:tcW w:w="1883" w:type="dxa"/>
            <w:shd w:val="clear" w:color="auto" w:fill="auto"/>
            <w:noWrap/>
            <w:vAlign w:val="center"/>
          </w:tcPr>
          <w:p>
            <w:pPr>
              <w:widowControl/>
              <w:adjustRightInd w:val="0"/>
              <w:snapToGrid w:val="0"/>
              <w:spacing w:line="360" w:lineRule="auto"/>
              <w:jc w:val="center"/>
              <w:rPr>
                <w:kern w:val="0"/>
                <w:sz w:val="21"/>
                <w:szCs w:val="21"/>
              </w:rPr>
            </w:pPr>
            <w:r>
              <w:rPr>
                <w:sz w:val="21"/>
                <w:szCs w:val="21"/>
              </w:rPr>
              <w:t>PM</w:t>
            </w:r>
            <w:r>
              <w:rPr>
                <w:sz w:val="21"/>
                <w:szCs w:val="21"/>
                <w:vertAlign w:val="subscript"/>
              </w:rPr>
              <w:t>10</w:t>
            </w:r>
          </w:p>
        </w:tc>
        <w:tc>
          <w:tcPr>
            <w:tcW w:w="1679" w:type="dxa"/>
            <w:shd w:val="clear" w:color="auto" w:fill="auto"/>
            <w:noWrap w:val="0"/>
            <w:vAlign w:val="center"/>
          </w:tcPr>
          <w:p>
            <w:pPr>
              <w:widowControl/>
              <w:adjustRightInd w:val="0"/>
              <w:snapToGrid w:val="0"/>
              <w:spacing w:line="360" w:lineRule="auto"/>
              <w:jc w:val="center"/>
              <w:rPr>
                <w:kern w:val="0"/>
                <w:sz w:val="21"/>
                <w:szCs w:val="21"/>
              </w:rPr>
            </w:pPr>
            <w:r>
              <w:rPr>
                <w:sz w:val="21"/>
                <w:szCs w:val="21"/>
              </w:rPr>
              <w:t>SO</w:t>
            </w:r>
            <w:r>
              <w:rPr>
                <w:sz w:val="21"/>
                <w:szCs w:val="21"/>
                <w:vertAlign w:val="subscript"/>
              </w:rPr>
              <w:t>2</w:t>
            </w:r>
          </w:p>
        </w:tc>
        <w:tc>
          <w:tcPr>
            <w:tcW w:w="1891"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833"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最大值（mg/m</w:t>
            </w:r>
            <w:r>
              <w:rPr>
                <w:kern w:val="0"/>
                <w:sz w:val="21"/>
                <w:szCs w:val="21"/>
                <w:vertAlign w:val="superscript"/>
              </w:rPr>
              <w:t>3</w:t>
            </w:r>
            <w:r>
              <w:rPr>
                <w:kern w:val="0"/>
                <w:sz w:val="21"/>
                <w:szCs w:val="21"/>
              </w:rPr>
              <w:t>）</w:t>
            </w:r>
          </w:p>
        </w:tc>
        <w:tc>
          <w:tcPr>
            <w:tcW w:w="1883"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0.0669</w:t>
            </w:r>
          </w:p>
        </w:tc>
        <w:tc>
          <w:tcPr>
            <w:tcW w:w="1679"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0.0046</w:t>
            </w:r>
          </w:p>
        </w:tc>
        <w:tc>
          <w:tcPr>
            <w:tcW w:w="1891"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33"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背景值（mg/m</w:t>
            </w:r>
            <w:r>
              <w:rPr>
                <w:kern w:val="0"/>
                <w:sz w:val="21"/>
                <w:szCs w:val="21"/>
                <w:vertAlign w:val="superscript"/>
              </w:rPr>
              <w:t>3</w:t>
            </w:r>
            <w:r>
              <w:rPr>
                <w:kern w:val="0"/>
                <w:sz w:val="21"/>
                <w:szCs w:val="21"/>
              </w:rPr>
              <w:t>）</w:t>
            </w:r>
          </w:p>
        </w:tc>
        <w:tc>
          <w:tcPr>
            <w:tcW w:w="1883"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0.0888</w:t>
            </w:r>
          </w:p>
        </w:tc>
        <w:tc>
          <w:tcPr>
            <w:tcW w:w="1679"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0.0607</w:t>
            </w:r>
          </w:p>
        </w:tc>
        <w:tc>
          <w:tcPr>
            <w:tcW w:w="1891"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3"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叠加值（mg/m</w:t>
            </w:r>
            <w:r>
              <w:rPr>
                <w:kern w:val="0"/>
                <w:sz w:val="21"/>
                <w:szCs w:val="21"/>
                <w:vertAlign w:val="superscript"/>
              </w:rPr>
              <w:t>3</w:t>
            </w:r>
            <w:r>
              <w:rPr>
                <w:kern w:val="0"/>
                <w:sz w:val="21"/>
                <w:szCs w:val="21"/>
              </w:rPr>
              <w:t>）</w:t>
            </w:r>
          </w:p>
        </w:tc>
        <w:tc>
          <w:tcPr>
            <w:tcW w:w="1883"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0.1557</w:t>
            </w:r>
          </w:p>
        </w:tc>
        <w:tc>
          <w:tcPr>
            <w:tcW w:w="1679"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0.0653</w:t>
            </w:r>
          </w:p>
        </w:tc>
        <w:tc>
          <w:tcPr>
            <w:tcW w:w="1891"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0.0664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833" w:type="dxa"/>
            <w:shd w:val="clear" w:color="auto" w:fill="auto"/>
            <w:noWrap/>
            <w:vAlign w:val="center"/>
          </w:tcPr>
          <w:p>
            <w:pPr>
              <w:widowControl/>
              <w:adjustRightInd w:val="0"/>
              <w:snapToGrid w:val="0"/>
              <w:spacing w:line="360" w:lineRule="auto"/>
              <w:jc w:val="center"/>
              <w:rPr>
                <w:kern w:val="0"/>
                <w:sz w:val="21"/>
                <w:szCs w:val="21"/>
              </w:rPr>
            </w:pPr>
            <w:r>
              <w:rPr>
                <w:kern w:val="0"/>
                <w:sz w:val="21"/>
                <w:szCs w:val="21"/>
              </w:rPr>
              <w:t>占标率（%）</w:t>
            </w:r>
          </w:p>
        </w:tc>
        <w:tc>
          <w:tcPr>
            <w:tcW w:w="1883"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103.8</w:t>
            </w:r>
          </w:p>
        </w:tc>
        <w:tc>
          <w:tcPr>
            <w:tcW w:w="1679" w:type="dxa"/>
            <w:shd w:val="clear" w:color="auto" w:fill="auto"/>
            <w:noWrap w:val="0"/>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43.53</w:t>
            </w:r>
          </w:p>
        </w:tc>
        <w:tc>
          <w:tcPr>
            <w:tcW w:w="1891" w:type="dxa"/>
            <w:shd w:val="clear" w:color="auto" w:fill="auto"/>
            <w:noWrap/>
            <w:vAlign w:val="center"/>
          </w:tcPr>
          <w:p>
            <w:pPr>
              <w:widowControl/>
              <w:adjustRightInd w:val="0"/>
              <w:snapToGrid w:val="0"/>
              <w:spacing w:line="360" w:lineRule="auto"/>
              <w:jc w:val="center"/>
              <w:rPr>
                <w:rFonts w:hint="eastAsia"/>
                <w:kern w:val="0"/>
                <w:sz w:val="21"/>
                <w:szCs w:val="21"/>
              </w:rPr>
            </w:pPr>
            <w:r>
              <w:rPr>
                <w:rFonts w:hint="eastAsia"/>
                <w:kern w:val="0"/>
                <w:sz w:val="21"/>
                <w:szCs w:val="21"/>
              </w:rPr>
              <w:t>55.33</w:t>
            </w:r>
          </w:p>
        </w:tc>
      </w:tr>
    </w:tbl>
    <w:p>
      <w:pPr>
        <w:pStyle w:val="34"/>
      </w:pPr>
    </w:p>
    <w:p>
      <w:pPr>
        <w:adjustRightInd w:val="0"/>
        <w:snapToGrid w:val="0"/>
        <w:spacing w:line="480" w:lineRule="exact"/>
        <w:ind w:firstLine="420" w:firstLineChars="200"/>
        <w:rPr>
          <w:rFonts w:hint="eastAsia"/>
        </w:rPr>
      </w:pPr>
      <w:r>
        <w:t>从表</w:t>
      </w:r>
      <w:r>
        <w:rPr>
          <w:rFonts w:hint="eastAsia"/>
        </w:rPr>
        <w:t>8</w:t>
      </w:r>
      <w:r>
        <w:t>-</w:t>
      </w:r>
      <w:r>
        <w:rPr>
          <w:rFonts w:hint="eastAsia"/>
        </w:rPr>
        <w:t>10</w:t>
      </w:r>
      <w:r>
        <w:t>可知，PM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最大日均浓度叠加背景平均值后，SO</w:t>
      </w:r>
      <w:r>
        <w:rPr>
          <w:vertAlign w:val="subscript"/>
        </w:rPr>
        <w:t>2</w:t>
      </w:r>
      <w:r>
        <w:rPr>
          <w:rFonts w:hint="eastAsia"/>
        </w:rPr>
        <w:t>和NO</w:t>
      </w:r>
      <w:r>
        <w:rPr>
          <w:rFonts w:hint="eastAsia"/>
          <w:vertAlign w:val="subscript"/>
        </w:rPr>
        <w:t>2</w:t>
      </w:r>
      <w:r>
        <w:rPr>
          <w:rFonts w:hint="eastAsia"/>
        </w:rPr>
        <w:t>的</w:t>
      </w:r>
      <w:r>
        <w:t>占标率分别为</w:t>
      </w:r>
      <w:r>
        <w:rPr>
          <w:rFonts w:hint="eastAsia"/>
        </w:rPr>
        <w:t>43.53</w:t>
      </w:r>
      <w:r>
        <w:t>%、</w:t>
      </w:r>
      <w:r>
        <w:rPr>
          <w:rFonts w:hint="eastAsia"/>
        </w:rPr>
        <w:t>55.33</w:t>
      </w:r>
      <w:r>
        <w:t>%</w:t>
      </w:r>
      <w:r>
        <w:rPr>
          <w:rFonts w:hint="eastAsia"/>
        </w:rPr>
        <w:t>，</w:t>
      </w:r>
      <w:r>
        <w:t>符合《环境空气质量标准》(GB3095-1996)中的二级标准要求</w:t>
      </w:r>
      <w:r>
        <w:rPr>
          <w:rFonts w:hint="eastAsia"/>
        </w:rPr>
        <w:t>，</w:t>
      </w:r>
      <w:r>
        <w:t>PM</w:t>
      </w:r>
      <w:r>
        <w:rPr>
          <w:vertAlign w:val="subscript"/>
        </w:rPr>
        <w:t>10</w:t>
      </w:r>
      <w:r>
        <w:rPr>
          <w:rFonts w:hint="eastAsia"/>
        </w:rPr>
        <w:t>叠加背景值后超标0.038倍</w:t>
      </w:r>
      <w:r>
        <w:t>。</w:t>
      </w:r>
    </w:p>
    <w:p>
      <w:pPr>
        <w:adjustRightInd w:val="0"/>
        <w:snapToGrid w:val="0"/>
        <w:spacing w:line="480" w:lineRule="exact"/>
        <w:ind w:firstLine="420" w:firstLineChars="200"/>
      </w:pPr>
      <w:r>
        <w:rPr>
          <w:rFonts w:hint="eastAsia" w:ascii="宋体" w:hAnsi="宋体" w:cs="宋体"/>
        </w:rPr>
        <w:t>③</w:t>
      </w:r>
      <w:r>
        <w:t>年均浓度预测</w:t>
      </w:r>
    </w:p>
    <w:p>
      <w:pPr>
        <w:adjustRightInd w:val="0"/>
        <w:snapToGrid w:val="0"/>
        <w:spacing w:line="480" w:lineRule="exact"/>
        <w:ind w:firstLine="420" w:firstLineChars="200"/>
      </w:pPr>
      <w:r>
        <w:t>对评价范围内的年均浓度进行预测，预测结果见表</w:t>
      </w:r>
      <w:r>
        <w:rPr>
          <w:rFonts w:hint="eastAsia"/>
        </w:rPr>
        <w:t>8</w:t>
      </w:r>
      <w:r>
        <w:t>-</w:t>
      </w:r>
      <w:r>
        <w:rPr>
          <w:rFonts w:hint="eastAsia"/>
        </w:rPr>
        <w:t>11</w:t>
      </w:r>
      <w:r>
        <w:t>。</w:t>
      </w:r>
    </w:p>
    <w:p>
      <w:pPr>
        <w:adjustRightInd w:val="0"/>
        <w:snapToGrid w:val="0"/>
        <w:spacing w:line="480" w:lineRule="exact"/>
        <w:jc w:val="center"/>
        <w:rPr>
          <w:b/>
        </w:rPr>
      </w:pPr>
      <w:r>
        <w:rPr>
          <w:b/>
        </w:rPr>
        <w:t>表</w:t>
      </w:r>
      <w:r>
        <w:rPr>
          <w:rFonts w:hint="eastAsia"/>
          <w:b/>
        </w:rPr>
        <w:t>8</w:t>
      </w:r>
      <w:r>
        <w:rPr>
          <w:b/>
        </w:rPr>
        <w:t>-</w:t>
      </w:r>
      <w:r>
        <w:rPr>
          <w:rFonts w:hint="eastAsia"/>
          <w:b/>
        </w:rPr>
        <w:t>11</w:t>
      </w:r>
      <w:r>
        <w:rPr>
          <w:b/>
        </w:rPr>
        <w:t xml:space="preserve"> 评价范围内年均影响浓度和出现位置</w:t>
      </w:r>
    </w:p>
    <w:tbl>
      <w:tblPr>
        <w:tblStyle w:val="21"/>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529"/>
        <w:gridCol w:w="1440"/>
        <w:gridCol w:w="162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819" w:type="dxa"/>
            <w:noWrap w:val="0"/>
            <w:vAlign w:val="center"/>
          </w:tcPr>
          <w:p>
            <w:pPr>
              <w:adjustRightInd w:val="0"/>
              <w:snapToGrid w:val="0"/>
              <w:spacing w:line="400" w:lineRule="exact"/>
              <w:jc w:val="center"/>
              <w:rPr>
                <w:sz w:val="21"/>
                <w:szCs w:val="21"/>
              </w:rPr>
            </w:pPr>
            <w:r>
              <w:rPr>
                <w:sz w:val="21"/>
                <w:szCs w:val="21"/>
              </w:rPr>
              <w:t>污染物名称</w:t>
            </w:r>
          </w:p>
        </w:tc>
        <w:tc>
          <w:tcPr>
            <w:tcW w:w="1529" w:type="dxa"/>
            <w:noWrap w:val="0"/>
            <w:vAlign w:val="center"/>
          </w:tcPr>
          <w:p>
            <w:pPr>
              <w:adjustRightInd w:val="0"/>
              <w:snapToGrid w:val="0"/>
              <w:spacing w:line="400" w:lineRule="exact"/>
              <w:jc w:val="center"/>
              <w:rPr>
                <w:sz w:val="21"/>
                <w:szCs w:val="21"/>
              </w:rPr>
            </w:pPr>
            <w:r>
              <w:rPr>
                <w:sz w:val="21"/>
                <w:szCs w:val="21"/>
              </w:rPr>
              <w:t>区域最大值</w:t>
            </w:r>
          </w:p>
        </w:tc>
        <w:tc>
          <w:tcPr>
            <w:tcW w:w="1440" w:type="dxa"/>
            <w:noWrap w:val="0"/>
            <w:vAlign w:val="center"/>
          </w:tcPr>
          <w:p>
            <w:pPr>
              <w:adjustRightInd w:val="0"/>
              <w:snapToGrid w:val="0"/>
              <w:spacing w:line="400" w:lineRule="exact"/>
              <w:jc w:val="center"/>
              <w:rPr>
                <w:sz w:val="21"/>
                <w:szCs w:val="21"/>
              </w:rPr>
            </w:pPr>
            <w:r>
              <w:rPr>
                <w:sz w:val="21"/>
                <w:szCs w:val="21"/>
              </w:rPr>
              <w:t>占标率（%）</w:t>
            </w:r>
          </w:p>
        </w:tc>
        <w:tc>
          <w:tcPr>
            <w:tcW w:w="1620" w:type="dxa"/>
            <w:noWrap w:val="0"/>
            <w:vAlign w:val="center"/>
          </w:tcPr>
          <w:p>
            <w:pPr>
              <w:adjustRightInd w:val="0"/>
              <w:snapToGrid w:val="0"/>
              <w:spacing w:line="400" w:lineRule="exact"/>
              <w:jc w:val="center"/>
              <w:rPr>
                <w:sz w:val="21"/>
                <w:szCs w:val="21"/>
              </w:rPr>
            </w:pPr>
            <w:r>
              <w:rPr>
                <w:sz w:val="21"/>
                <w:szCs w:val="21"/>
              </w:rPr>
              <w:t>X坐标(m)</w:t>
            </w:r>
          </w:p>
        </w:tc>
        <w:tc>
          <w:tcPr>
            <w:tcW w:w="1980" w:type="dxa"/>
            <w:noWrap w:val="0"/>
            <w:vAlign w:val="center"/>
          </w:tcPr>
          <w:p>
            <w:pPr>
              <w:adjustRightInd w:val="0"/>
              <w:snapToGrid w:val="0"/>
              <w:spacing w:line="400" w:lineRule="exact"/>
              <w:jc w:val="center"/>
              <w:rPr>
                <w:sz w:val="21"/>
                <w:szCs w:val="21"/>
              </w:rPr>
            </w:pPr>
            <w:r>
              <w:rPr>
                <w:sz w:val="21"/>
                <w:szCs w:val="21"/>
              </w:rPr>
              <w:t>Y坐标(m)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noWrap w:val="0"/>
            <w:vAlign w:val="center"/>
          </w:tcPr>
          <w:p>
            <w:pPr>
              <w:adjustRightInd w:val="0"/>
              <w:snapToGrid w:val="0"/>
              <w:spacing w:line="400" w:lineRule="exact"/>
              <w:jc w:val="center"/>
              <w:rPr>
                <w:sz w:val="21"/>
                <w:szCs w:val="21"/>
              </w:rPr>
            </w:pPr>
            <w:r>
              <w:rPr>
                <w:sz w:val="21"/>
                <w:szCs w:val="21"/>
              </w:rPr>
              <w:t>PM</w:t>
            </w:r>
            <w:r>
              <w:rPr>
                <w:sz w:val="21"/>
                <w:szCs w:val="21"/>
                <w:vertAlign w:val="subscript"/>
              </w:rPr>
              <w:t>10</w:t>
            </w:r>
          </w:p>
        </w:tc>
        <w:tc>
          <w:tcPr>
            <w:tcW w:w="1529" w:type="dxa"/>
            <w:noWrap w:val="0"/>
            <w:vAlign w:val="center"/>
          </w:tcPr>
          <w:p>
            <w:pPr>
              <w:adjustRightInd w:val="0"/>
              <w:snapToGrid w:val="0"/>
              <w:spacing w:line="400" w:lineRule="exact"/>
              <w:jc w:val="center"/>
              <w:rPr>
                <w:rFonts w:hint="eastAsia"/>
                <w:sz w:val="21"/>
                <w:szCs w:val="21"/>
              </w:rPr>
            </w:pPr>
            <w:r>
              <w:rPr>
                <w:rFonts w:hint="eastAsia"/>
                <w:sz w:val="21"/>
                <w:szCs w:val="21"/>
              </w:rPr>
              <w:t>0.0162</w:t>
            </w:r>
          </w:p>
        </w:tc>
        <w:tc>
          <w:tcPr>
            <w:tcW w:w="1440" w:type="dxa"/>
            <w:noWrap w:val="0"/>
            <w:vAlign w:val="center"/>
          </w:tcPr>
          <w:p>
            <w:pPr>
              <w:adjustRightInd w:val="0"/>
              <w:snapToGrid w:val="0"/>
              <w:spacing w:line="400" w:lineRule="exact"/>
              <w:jc w:val="center"/>
              <w:rPr>
                <w:rFonts w:hint="eastAsia"/>
                <w:sz w:val="21"/>
                <w:szCs w:val="21"/>
              </w:rPr>
            </w:pPr>
            <w:r>
              <w:rPr>
                <w:rFonts w:hint="eastAsia"/>
                <w:sz w:val="21"/>
                <w:szCs w:val="21"/>
              </w:rPr>
              <w:t>16.2</w:t>
            </w:r>
          </w:p>
        </w:tc>
        <w:tc>
          <w:tcPr>
            <w:tcW w:w="162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624</w:t>
            </w:r>
            <w:r>
              <w:rPr>
                <w:rFonts w:hint="eastAsia" w:ascii="宋体" w:hAnsi="宋体" w:cs="宋体"/>
                <w:sz w:val="21"/>
                <w:szCs w:val="21"/>
              </w:rPr>
              <w:t>312</w:t>
            </w:r>
          </w:p>
        </w:tc>
        <w:tc>
          <w:tcPr>
            <w:tcW w:w="198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32829</w:t>
            </w:r>
            <w:r>
              <w:rPr>
                <w:rFonts w:hint="eastAsia" w:ascii="宋体" w:hAnsi="宋体" w:cs="宋体"/>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noWrap w:val="0"/>
            <w:vAlign w:val="center"/>
          </w:tcPr>
          <w:p>
            <w:pPr>
              <w:adjustRightInd w:val="0"/>
              <w:snapToGrid w:val="0"/>
              <w:spacing w:line="400" w:lineRule="exact"/>
              <w:jc w:val="center"/>
              <w:rPr>
                <w:sz w:val="21"/>
                <w:szCs w:val="21"/>
              </w:rPr>
            </w:pPr>
            <w:r>
              <w:rPr>
                <w:sz w:val="21"/>
                <w:szCs w:val="21"/>
              </w:rPr>
              <w:t>SO</w:t>
            </w:r>
            <w:r>
              <w:rPr>
                <w:sz w:val="21"/>
                <w:szCs w:val="21"/>
                <w:vertAlign w:val="subscript"/>
              </w:rPr>
              <w:t>2</w:t>
            </w:r>
          </w:p>
        </w:tc>
        <w:tc>
          <w:tcPr>
            <w:tcW w:w="1529" w:type="dxa"/>
            <w:noWrap w:val="0"/>
            <w:vAlign w:val="center"/>
          </w:tcPr>
          <w:p>
            <w:pPr>
              <w:adjustRightInd w:val="0"/>
              <w:snapToGrid w:val="0"/>
              <w:spacing w:line="400" w:lineRule="exact"/>
              <w:jc w:val="center"/>
              <w:rPr>
                <w:rFonts w:hint="eastAsia"/>
                <w:sz w:val="21"/>
                <w:szCs w:val="21"/>
              </w:rPr>
            </w:pPr>
            <w:r>
              <w:rPr>
                <w:sz w:val="21"/>
                <w:szCs w:val="21"/>
              </w:rPr>
              <w:t>0.000</w:t>
            </w:r>
            <w:r>
              <w:rPr>
                <w:rFonts w:hint="eastAsia"/>
                <w:sz w:val="21"/>
                <w:szCs w:val="21"/>
              </w:rPr>
              <w:t>1</w:t>
            </w:r>
          </w:p>
        </w:tc>
        <w:tc>
          <w:tcPr>
            <w:tcW w:w="1440" w:type="dxa"/>
            <w:noWrap w:val="0"/>
            <w:vAlign w:val="center"/>
          </w:tcPr>
          <w:p>
            <w:pPr>
              <w:adjustRightInd w:val="0"/>
              <w:snapToGrid w:val="0"/>
              <w:spacing w:line="400" w:lineRule="exact"/>
              <w:jc w:val="center"/>
              <w:rPr>
                <w:rFonts w:hint="eastAsia"/>
                <w:sz w:val="21"/>
                <w:szCs w:val="21"/>
              </w:rPr>
            </w:pPr>
            <w:r>
              <w:rPr>
                <w:rFonts w:hint="eastAsia"/>
                <w:sz w:val="21"/>
                <w:szCs w:val="21"/>
              </w:rPr>
              <w:t>0.17</w:t>
            </w:r>
          </w:p>
        </w:tc>
        <w:tc>
          <w:tcPr>
            <w:tcW w:w="162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6909</w:t>
            </w:r>
          </w:p>
        </w:tc>
        <w:tc>
          <w:tcPr>
            <w:tcW w:w="198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0508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9" w:type="dxa"/>
            <w:noWrap w:val="0"/>
            <w:vAlign w:val="center"/>
          </w:tcPr>
          <w:p>
            <w:pPr>
              <w:adjustRightInd w:val="0"/>
              <w:snapToGrid w:val="0"/>
              <w:spacing w:line="400" w:lineRule="exact"/>
              <w:jc w:val="center"/>
              <w:rPr>
                <w:sz w:val="21"/>
                <w:szCs w:val="21"/>
              </w:rPr>
            </w:pPr>
            <w:r>
              <w:rPr>
                <w:rFonts w:hint="eastAsia"/>
                <w:sz w:val="21"/>
                <w:szCs w:val="21"/>
              </w:rPr>
              <w:t>N</w:t>
            </w:r>
            <w:r>
              <w:rPr>
                <w:sz w:val="21"/>
                <w:szCs w:val="21"/>
              </w:rPr>
              <w:t>O</w:t>
            </w:r>
            <w:r>
              <w:rPr>
                <w:sz w:val="21"/>
                <w:szCs w:val="21"/>
                <w:vertAlign w:val="subscript"/>
              </w:rPr>
              <w:t>2</w:t>
            </w:r>
          </w:p>
        </w:tc>
        <w:tc>
          <w:tcPr>
            <w:tcW w:w="1529" w:type="dxa"/>
            <w:noWrap w:val="0"/>
            <w:vAlign w:val="center"/>
          </w:tcPr>
          <w:p>
            <w:pPr>
              <w:adjustRightInd w:val="0"/>
              <w:snapToGrid w:val="0"/>
              <w:spacing w:line="400" w:lineRule="exact"/>
              <w:jc w:val="center"/>
              <w:rPr>
                <w:rFonts w:hint="eastAsia"/>
                <w:sz w:val="21"/>
                <w:szCs w:val="21"/>
              </w:rPr>
            </w:pPr>
            <w:r>
              <w:rPr>
                <w:rFonts w:hint="eastAsia"/>
                <w:sz w:val="21"/>
                <w:szCs w:val="21"/>
              </w:rPr>
              <w:t>0.0259</w:t>
            </w:r>
          </w:p>
        </w:tc>
        <w:tc>
          <w:tcPr>
            <w:tcW w:w="1440" w:type="dxa"/>
            <w:noWrap w:val="0"/>
            <w:vAlign w:val="center"/>
          </w:tcPr>
          <w:p>
            <w:pPr>
              <w:adjustRightInd w:val="0"/>
              <w:snapToGrid w:val="0"/>
              <w:spacing w:line="400" w:lineRule="exact"/>
              <w:jc w:val="center"/>
              <w:rPr>
                <w:rFonts w:hint="eastAsia"/>
                <w:sz w:val="21"/>
                <w:szCs w:val="21"/>
              </w:rPr>
            </w:pPr>
            <w:r>
              <w:rPr>
                <w:rFonts w:hint="eastAsia"/>
                <w:sz w:val="21"/>
                <w:szCs w:val="21"/>
              </w:rPr>
              <w:t>32.38</w:t>
            </w:r>
          </w:p>
        </w:tc>
        <w:tc>
          <w:tcPr>
            <w:tcW w:w="162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62</w:t>
            </w:r>
            <w:r>
              <w:rPr>
                <w:rFonts w:hint="eastAsia" w:ascii="宋体" w:hAnsi="宋体" w:cs="宋体"/>
                <w:sz w:val="21"/>
                <w:szCs w:val="21"/>
              </w:rPr>
              <w:t>4301</w:t>
            </w:r>
          </w:p>
        </w:tc>
        <w:tc>
          <w:tcPr>
            <w:tcW w:w="1980" w:type="dxa"/>
            <w:noWrap w:val="0"/>
            <w:vAlign w:val="center"/>
          </w:tcPr>
          <w:p>
            <w:pPr>
              <w:spacing w:line="400" w:lineRule="exact"/>
              <w:jc w:val="center"/>
              <w:rPr>
                <w:rFonts w:hint="eastAsia" w:ascii="宋体" w:hAnsi="宋体" w:cs="宋体"/>
                <w:sz w:val="21"/>
                <w:szCs w:val="21"/>
              </w:rPr>
            </w:pPr>
            <w:r>
              <w:rPr>
                <w:rFonts w:ascii="宋体" w:hAnsi="宋体" w:cs="宋体"/>
                <w:sz w:val="21"/>
                <w:szCs w:val="21"/>
              </w:rPr>
              <w:t>328</w:t>
            </w:r>
            <w:r>
              <w:rPr>
                <w:rFonts w:hint="eastAsia" w:ascii="宋体" w:hAnsi="宋体" w:cs="宋体"/>
                <w:sz w:val="21"/>
                <w:szCs w:val="21"/>
              </w:rPr>
              <w:t>3556</w:t>
            </w:r>
          </w:p>
        </w:tc>
      </w:tr>
    </w:tbl>
    <w:p>
      <w:pPr>
        <w:adjustRightInd w:val="0"/>
        <w:snapToGrid w:val="0"/>
        <w:spacing w:line="480" w:lineRule="exact"/>
        <w:ind w:firstLine="420" w:firstLineChars="200"/>
      </w:pPr>
      <w:r>
        <w:t>经预测，PM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年平均浓度最大贡献值分别为</w:t>
      </w:r>
      <w:r>
        <w:rPr>
          <w:rFonts w:hint="eastAsia"/>
        </w:rPr>
        <w:t>0.0162</w:t>
      </w:r>
      <w:r>
        <w:t>mg/m</w:t>
      </w:r>
      <w:r>
        <w:rPr>
          <w:vertAlign w:val="superscript"/>
        </w:rPr>
        <w:t>3</w:t>
      </w:r>
      <w:r>
        <w:t>、</w:t>
      </w:r>
      <w:r>
        <w:rPr>
          <w:rFonts w:hint="eastAsia"/>
        </w:rPr>
        <w:t>0.0002</w:t>
      </w:r>
      <w:r>
        <w:t>mg/m</w:t>
      </w:r>
      <w:r>
        <w:rPr>
          <w:vertAlign w:val="superscript"/>
        </w:rPr>
        <w:t>3</w:t>
      </w:r>
      <w:r>
        <w:t>、和</w:t>
      </w:r>
      <w:r>
        <w:rPr>
          <w:rFonts w:hint="eastAsia"/>
        </w:rPr>
        <w:t>0.0259</w:t>
      </w:r>
      <w:r>
        <w:t>mg/m</w:t>
      </w:r>
      <w:r>
        <w:rPr>
          <w:vertAlign w:val="superscript"/>
        </w:rPr>
        <w:t>3</w:t>
      </w:r>
      <w:r>
        <w:t>，PM</w:t>
      </w:r>
      <w:r>
        <w:rPr>
          <w:vertAlign w:val="subscript"/>
        </w:rPr>
        <w:t>10</w:t>
      </w:r>
      <w:r>
        <w:rPr>
          <w:rFonts w:hint="eastAsia"/>
        </w:rPr>
        <w:t>、</w:t>
      </w:r>
      <w:r>
        <w:t>SO</w:t>
      </w:r>
      <w:r>
        <w:rPr>
          <w:vertAlign w:val="subscript"/>
        </w:rPr>
        <w:t>2</w:t>
      </w:r>
      <w:r>
        <w:t>和</w:t>
      </w:r>
      <w:r>
        <w:rPr>
          <w:rFonts w:hint="eastAsia"/>
        </w:rPr>
        <w:t>NO</w:t>
      </w:r>
      <w:r>
        <w:rPr>
          <w:rFonts w:hint="eastAsia"/>
          <w:vertAlign w:val="subscript"/>
        </w:rPr>
        <w:t>2</w:t>
      </w:r>
      <w:r>
        <w:t>分别占《环境空气质量标准》（GB3095-1996）二级标准限值的</w:t>
      </w:r>
      <w:r>
        <w:rPr>
          <w:rFonts w:hint="eastAsia"/>
        </w:rPr>
        <w:t>16.2%、0.33</w:t>
      </w:r>
      <w:r>
        <w:t>%和</w:t>
      </w:r>
      <w:r>
        <w:rPr>
          <w:rFonts w:hint="eastAsia"/>
        </w:rPr>
        <w:t>32.38</w:t>
      </w:r>
      <w:r>
        <w:t>%。年均浓度分布见图</w:t>
      </w:r>
      <w:r>
        <w:rPr>
          <w:rFonts w:hint="eastAsia"/>
        </w:rPr>
        <w:t>8</w:t>
      </w:r>
      <w:r>
        <w:t>.1</w:t>
      </w:r>
      <w:r>
        <w:rPr>
          <w:rFonts w:hint="eastAsia"/>
        </w:rPr>
        <w:t>6</w:t>
      </w:r>
      <w:r>
        <w:t>～图</w:t>
      </w:r>
      <w:r>
        <w:rPr>
          <w:rFonts w:hint="eastAsia"/>
        </w:rPr>
        <w:t>8</w:t>
      </w:r>
      <w:r>
        <w:t>.1</w:t>
      </w:r>
      <w:r>
        <w:rPr>
          <w:rFonts w:hint="eastAsia"/>
        </w:rPr>
        <w:t>8</w:t>
      </w:r>
      <w:r>
        <w:t>。</w:t>
      </w:r>
    </w:p>
    <w:p>
      <w:pPr>
        <w:adjustRightInd w:val="0"/>
        <w:snapToGrid w:val="0"/>
        <w:spacing w:line="480" w:lineRule="exact"/>
        <w:ind w:firstLine="420" w:firstLineChars="200"/>
      </w:pPr>
      <w:r>
        <w:t>B、环境空气敏感点预测结果分析</w:t>
      </w:r>
    </w:p>
    <w:p>
      <w:pPr>
        <w:adjustRightInd w:val="0"/>
        <w:snapToGrid w:val="0"/>
        <w:spacing w:line="480" w:lineRule="exact"/>
        <w:ind w:firstLine="420" w:firstLineChars="200"/>
      </w:pPr>
      <w:r>
        <w:rPr>
          <w:rFonts w:hint="eastAsia" w:ascii="宋体" w:hAnsi="宋体" w:cs="宋体"/>
        </w:rPr>
        <w:t>①</w:t>
      </w:r>
      <w:r>
        <w:t>小时最大浓度</w:t>
      </w:r>
    </w:p>
    <w:p>
      <w:pPr>
        <w:adjustRightInd w:val="0"/>
        <w:snapToGrid w:val="0"/>
        <w:spacing w:line="480" w:lineRule="exact"/>
        <w:ind w:firstLine="382" w:firstLineChars="182"/>
        <w:rPr>
          <w:rFonts w:hint="eastAsia"/>
        </w:rPr>
      </w:pPr>
      <w:r>
        <w:t>结合技改项目环境现状监测内容，技改项目排放的PM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对环境空气敏感点的小时最大落地浓度影响预测结果与现状值进行叠加，结果见表</w:t>
      </w:r>
      <w:r>
        <w:rPr>
          <w:rFonts w:hint="eastAsia"/>
        </w:rPr>
        <w:t>8</w:t>
      </w:r>
      <w:r>
        <w:t>-1</w:t>
      </w:r>
      <w:r>
        <w:rPr>
          <w:rFonts w:hint="eastAsia"/>
        </w:rPr>
        <w:t>2</w:t>
      </w:r>
      <w:r>
        <w:t>。</w:t>
      </w:r>
    </w:p>
    <w:p>
      <w:pPr>
        <w:adjustRightInd w:val="0"/>
        <w:snapToGrid w:val="0"/>
        <w:spacing w:line="480" w:lineRule="exact"/>
        <w:ind w:firstLine="480"/>
        <w:rPr>
          <w:rFonts w:hint="eastAsia"/>
        </w:rPr>
      </w:pPr>
      <w:r>
        <w:t>从表</w:t>
      </w:r>
      <w:r>
        <w:rPr>
          <w:rFonts w:hint="eastAsia"/>
        </w:rPr>
        <w:t>8</w:t>
      </w:r>
      <w:r>
        <w:t>-1</w:t>
      </w:r>
      <w:r>
        <w:rPr>
          <w:rFonts w:hint="eastAsia"/>
        </w:rPr>
        <w:t>2</w:t>
      </w:r>
      <w:r>
        <w:t>可</w:t>
      </w:r>
      <w:r>
        <w:rPr>
          <w:rFonts w:hint="eastAsia"/>
        </w:rPr>
        <w:t>见</w:t>
      </w:r>
      <w:r>
        <w:t>，</w:t>
      </w:r>
      <w:r>
        <w:rPr>
          <w:rFonts w:hint="eastAsia"/>
        </w:rPr>
        <w:t>由2007年逐时浓度计算结果表明，本技改项目排放的污染物对各关心点的浓度贡献值除了NO</w:t>
      </w:r>
      <w:r>
        <w:rPr>
          <w:rFonts w:hint="eastAsia"/>
          <w:vertAlign w:val="subscript"/>
        </w:rPr>
        <w:t>2</w:t>
      </w:r>
      <w:r>
        <w:rPr>
          <w:rFonts w:hint="eastAsia"/>
        </w:rPr>
        <w:t>以外均未出现超标，在叠加了环境现状监测最大值后，福里树村、青鹏煤业公司家属院和青木关镇的小时浓度叠加值出现超标，其占标率分别为136.88%、203.38%和106.08%。</w:t>
      </w:r>
    </w:p>
    <w:p>
      <w:pPr>
        <w:spacing w:line="360" w:lineRule="auto"/>
        <w:sectPr>
          <w:pgSz w:w="11906" w:h="16838"/>
          <w:pgMar w:top="1440" w:right="1418" w:bottom="1440" w:left="1418" w:header="851" w:footer="992" w:gutter="0"/>
          <w:paperSrc w:first="20070" w:other="20070"/>
          <w:cols w:space="425" w:num="1"/>
          <w:docGrid w:linePitch="312" w:charSpace="0"/>
        </w:sectPr>
      </w:pPr>
    </w:p>
    <w:p>
      <w:pPr>
        <w:pStyle w:val="29"/>
        <w:rPr>
          <w:rFonts w:hint="eastAsia"/>
          <w:sz w:val="24"/>
          <w:szCs w:val="24"/>
        </w:rPr>
      </w:pPr>
    </w:p>
    <w:p>
      <w:pPr>
        <w:pStyle w:val="29"/>
        <w:rPr>
          <w:rFonts w:hint="eastAsia" w:ascii="宋体" w:hAnsi="宋体" w:eastAsia="宋体"/>
          <w:b/>
          <w:sz w:val="24"/>
          <w:szCs w:val="24"/>
          <w:vertAlign w:val="superscript"/>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2</w:t>
      </w:r>
      <w:r>
        <w:rPr>
          <w:rFonts w:ascii="宋体" w:hAnsi="宋体" w:eastAsia="宋体"/>
          <w:b/>
          <w:sz w:val="24"/>
          <w:szCs w:val="24"/>
        </w:rPr>
        <w:t xml:space="preserve"> 关心点处</w:t>
      </w:r>
      <w:r>
        <w:rPr>
          <w:rFonts w:ascii="宋体" w:hAnsi="宋体" w:eastAsia="宋体"/>
          <w:b/>
          <w:sz w:val="24"/>
        </w:rPr>
        <w:t>小时浓度叠加结果</w:t>
      </w:r>
      <w:r>
        <w:rPr>
          <w:rFonts w:ascii="宋体" w:hAnsi="宋体" w:eastAsia="宋体"/>
          <w:b/>
          <w:sz w:val="24"/>
          <w:szCs w:val="24"/>
        </w:rPr>
        <w:t xml:space="preserve">     单位：</w:t>
      </w:r>
      <w:r>
        <w:rPr>
          <w:rFonts w:hint="eastAsia" w:ascii="宋体" w:hAnsi="宋体" w:eastAsia="宋体"/>
          <w:b/>
          <w:sz w:val="24"/>
          <w:szCs w:val="24"/>
        </w:rPr>
        <w:t>m</w:t>
      </w:r>
      <w:r>
        <w:rPr>
          <w:rFonts w:ascii="宋体" w:hAnsi="宋体" w:eastAsia="宋体"/>
          <w:b/>
          <w:sz w:val="24"/>
          <w:szCs w:val="24"/>
        </w:rPr>
        <w:t>g/m</w:t>
      </w:r>
      <w:r>
        <w:rPr>
          <w:rFonts w:ascii="宋体" w:hAnsi="宋体" w:eastAsia="宋体"/>
          <w:b/>
          <w:sz w:val="24"/>
          <w:szCs w:val="24"/>
          <w:vertAlign w:val="superscript"/>
        </w:rPr>
        <w:t>3</w:t>
      </w:r>
    </w:p>
    <w:p>
      <w:pPr>
        <w:rPr>
          <w:rFonts w:hint="eastAsia" w:ascii="宋体" w:hAnsi="宋体"/>
          <w:b/>
        </w:rPr>
      </w:pPr>
    </w:p>
    <w:tbl>
      <w:tblPr>
        <w:tblStyle w:val="20"/>
        <w:tblW w:w="13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16"/>
        <w:gridCol w:w="913"/>
        <w:gridCol w:w="913"/>
        <w:gridCol w:w="913"/>
        <w:gridCol w:w="936"/>
        <w:gridCol w:w="1116"/>
        <w:gridCol w:w="913"/>
        <w:gridCol w:w="1836"/>
        <w:gridCol w:w="936"/>
        <w:gridCol w:w="913"/>
        <w:gridCol w:w="936"/>
        <w:gridCol w:w="936"/>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713" w:type="dxa"/>
            <w:gridSpan w:val="2"/>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点位</w:t>
            </w:r>
          </w:p>
        </w:tc>
        <w:tc>
          <w:tcPr>
            <w:tcW w:w="913" w:type="dxa"/>
            <w:shd w:val="clear" w:color="auto" w:fill="auto"/>
            <w:noWrap/>
            <w:vAlign w:val="center"/>
          </w:tcPr>
          <w:p>
            <w:pPr>
              <w:spacing w:line="480" w:lineRule="exact"/>
              <w:jc w:val="center"/>
              <w:rPr>
                <w:sz w:val="18"/>
                <w:szCs w:val="18"/>
              </w:rPr>
            </w:pPr>
            <w:r>
              <w:rPr>
                <w:sz w:val="18"/>
                <w:szCs w:val="18"/>
              </w:rPr>
              <w:t>大路镇</w:t>
            </w:r>
          </w:p>
        </w:tc>
        <w:tc>
          <w:tcPr>
            <w:tcW w:w="913" w:type="dxa"/>
            <w:shd w:val="clear" w:color="auto" w:fill="auto"/>
            <w:noWrap/>
            <w:vAlign w:val="center"/>
          </w:tcPr>
          <w:p>
            <w:pPr>
              <w:spacing w:line="480" w:lineRule="exact"/>
              <w:jc w:val="center"/>
              <w:rPr>
                <w:sz w:val="18"/>
                <w:szCs w:val="18"/>
              </w:rPr>
            </w:pPr>
            <w:r>
              <w:rPr>
                <w:sz w:val="18"/>
                <w:szCs w:val="18"/>
              </w:rPr>
              <w:t>六塘镇</w:t>
            </w:r>
          </w:p>
        </w:tc>
        <w:tc>
          <w:tcPr>
            <w:tcW w:w="913" w:type="dxa"/>
            <w:shd w:val="clear" w:color="auto" w:fill="auto"/>
            <w:noWrap/>
            <w:vAlign w:val="center"/>
          </w:tcPr>
          <w:p>
            <w:pPr>
              <w:spacing w:line="480" w:lineRule="exact"/>
              <w:jc w:val="center"/>
              <w:rPr>
                <w:sz w:val="18"/>
                <w:szCs w:val="18"/>
              </w:rPr>
            </w:pPr>
            <w:r>
              <w:rPr>
                <w:sz w:val="18"/>
                <w:szCs w:val="18"/>
              </w:rPr>
              <w:t>接龙镇</w:t>
            </w:r>
          </w:p>
        </w:tc>
        <w:tc>
          <w:tcPr>
            <w:tcW w:w="936" w:type="dxa"/>
            <w:shd w:val="clear" w:color="auto" w:fill="auto"/>
            <w:noWrap/>
            <w:vAlign w:val="center"/>
          </w:tcPr>
          <w:p>
            <w:pPr>
              <w:spacing w:line="480" w:lineRule="exact"/>
              <w:jc w:val="center"/>
              <w:rPr>
                <w:sz w:val="18"/>
                <w:szCs w:val="18"/>
              </w:rPr>
            </w:pPr>
            <w:r>
              <w:rPr>
                <w:sz w:val="18"/>
                <w:szCs w:val="18"/>
              </w:rPr>
              <w:t>福里树村</w:t>
            </w:r>
          </w:p>
        </w:tc>
        <w:tc>
          <w:tcPr>
            <w:tcW w:w="1116" w:type="dxa"/>
            <w:shd w:val="clear" w:color="auto" w:fill="auto"/>
            <w:noWrap/>
            <w:vAlign w:val="center"/>
          </w:tcPr>
          <w:p>
            <w:pPr>
              <w:spacing w:line="480" w:lineRule="exact"/>
              <w:jc w:val="center"/>
              <w:rPr>
                <w:sz w:val="18"/>
                <w:szCs w:val="18"/>
              </w:rPr>
            </w:pPr>
            <w:r>
              <w:rPr>
                <w:sz w:val="18"/>
                <w:szCs w:val="18"/>
              </w:rPr>
              <w:t>殷家老院子</w:t>
            </w:r>
          </w:p>
        </w:tc>
        <w:tc>
          <w:tcPr>
            <w:tcW w:w="913" w:type="dxa"/>
            <w:shd w:val="clear" w:color="auto" w:fill="auto"/>
            <w:noWrap/>
            <w:vAlign w:val="center"/>
          </w:tcPr>
          <w:p>
            <w:pPr>
              <w:spacing w:line="480" w:lineRule="exact"/>
              <w:jc w:val="center"/>
              <w:rPr>
                <w:sz w:val="18"/>
                <w:szCs w:val="18"/>
              </w:rPr>
            </w:pPr>
            <w:r>
              <w:rPr>
                <w:sz w:val="18"/>
                <w:szCs w:val="18"/>
              </w:rPr>
              <w:t>璧山县</w:t>
            </w:r>
          </w:p>
        </w:tc>
        <w:tc>
          <w:tcPr>
            <w:tcW w:w="1836" w:type="dxa"/>
            <w:noWrap w:val="0"/>
            <w:vAlign w:val="center"/>
          </w:tcPr>
          <w:p>
            <w:pPr>
              <w:spacing w:line="480" w:lineRule="exact"/>
              <w:jc w:val="center"/>
              <w:rPr>
                <w:rFonts w:hint="eastAsia"/>
                <w:sz w:val="18"/>
                <w:szCs w:val="18"/>
              </w:rPr>
            </w:pPr>
            <w:r>
              <w:rPr>
                <w:sz w:val="18"/>
                <w:szCs w:val="18"/>
              </w:rPr>
              <w:t>青鹏煤业公司</w:t>
            </w:r>
            <w:r>
              <w:rPr>
                <w:rFonts w:hint="eastAsia"/>
                <w:sz w:val="18"/>
                <w:szCs w:val="18"/>
              </w:rPr>
              <w:t>家属院</w:t>
            </w:r>
          </w:p>
        </w:tc>
        <w:tc>
          <w:tcPr>
            <w:tcW w:w="936" w:type="dxa"/>
            <w:noWrap w:val="0"/>
            <w:vAlign w:val="center"/>
          </w:tcPr>
          <w:p>
            <w:pPr>
              <w:spacing w:line="480" w:lineRule="exact"/>
              <w:jc w:val="center"/>
              <w:rPr>
                <w:sz w:val="18"/>
                <w:szCs w:val="18"/>
              </w:rPr>
            </w:pPr>
            <w:r>
              <w:rPr>
                <w:sz w:val="18"/>
                <w:szCs w:val="18"/>
              </w:rPr>
              <w:t>青木关镇</w:t>
            </w:r>
          </w:p>
        </w:tc>
        <w:tc>
          <w:tcPr>
            <w:tcW w:w="913" w:type="dxa"/>
            <w:noWrap w:val="0"/>
            <w:vAlign w:val="center"/>
          </w:tcPr>
          <w:p>
            <w:pPr>
              <w:spacing w:line="480" w:lineRule="exact"/>
              <w:jc w:val="center"/>
              <w:rPr>
                <w:sz w:val="18"/>
                <w:szCs w:val="18"/>
              </w:rPr>
            </w:pPr>
            <w:r>
              <w:rPr>
                <w:sz w:val="18"/>
                <w:szCs w:val="18"/>
              </w:rPr>
              <w:t>凤凰镇</w:t>
            </w:r>
          </w:p>
        </w:tc>
        <w:tc>
          <w:tcPr>
            <w:tcW w:w="936" w:type="dxa"/>
            <w:noWrap w:val="0"/>
            <w:vAlign w:val="center"/>
          </w:tcPr>
          <w:p>
            <w:pPr>
              <w:spacing w:line="480" w:lineRule="exact"/>
              <w:jc w:val="center"/>
              <w:rPr>
                <w:sz w:val="18"/>
                <w:szCs w:val="18"/>
              </w:rPr>
            </w:pPr>
            <w:r>
              <w:rPr>
                <w:sz w:val="18"/>
                <w:szCs w:val="18"/>
              </w:rPr>
              <w:t>管家桥村</w:t>
            </w:r>
          </w:p>
        </w:tc>
        <w:tc>
          <w:tcPr>
            <w:tcW w:w="936" w:type="dxa"/>
            <w:noWrap w:val="0"/>
            <w:vAlign w:val="center"/>
          </w:tcPr>
          <w:p>
            <w:pPr>
              <w:spacing w:line="480" w:lineRule="exact"/>
              <w:jc w:val="center"/>
              <w:rPr>
                <w:sz w:val="18"/>
                <w:szCs w:val="18"/>
              </w:rPr>
            </w:pPr>
            <w:r>
              <w:rPr>
                <w:sz w:val="18"/>
                <w:szCs w:val="18"/>
              </w:rPr>
              <w:t>陈家桥镇</w:t>
            </w:r>
          </w:p>
        </w:tc>
        <w:tc>
          <w:tcPr>
            <w:tcW w:w="913" w:type="dxa"/>
            <w:noWrap w:val="0"/>
            <w:vAlign w:val="center"/>
          </w:tcPr>
          <w:p>
            <w:pPr>
              <w:spacing w:line="480" w:lineRule="exact"/>
              <w:jc w:val="center"/>
              <w:rPr>
                <w:sz w:val="18"/>
                <w:szCs w:val="18"/>
              </w:rPr>
            </w:pPr>
            <w:r>
              <w:rPr>
                <w:sz w:val="18"/>
                <w:szCs w:val="18"/>
              </w:rPr>
              <w:t>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97" w:type="dxa"/>
            <w:vMerge w:val="restart"/>
            <w:shd w:val="clear" w:color="auto" w:fill="auto"/>
            <w:noWrap/>
            <w:vAlign w:val="center"/>
          </w:tcPr>
          <w:p>
            <w:pPr>
              <w:widowControl/>
              <w:adjustRightInd w:val="0"/>
              <w:snapToGrid w:val="0"/>
              <w:spacing w:line="480" w:lineRule="exact"/>
              <w:jc w:val="center"/>
              <w:rPr>
                <w:kern w:val="0"/>
                <w:sz w:val="18"/>
                <w:szCs w:val="18"/>
              </w:rPr>
            </w:pPr>
            <w:r>
              <w:rPr>
                <w:sz w:val="18"/>
                <w:szCs w:val="18"/>
              </w:rPr>
              <w:t>PM</w:t>
            </w:r>
            <w:r>
              <w:rPr>
                <w:sz w:val="18"/>
                <w:szCs w:val="18"/>
                <w:vertAlign w:val="subscript"/>
              </w:rPr>
              <w:t>10</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noWrap/>
            <w:vAlign w:val="center"/>
          </w:tcPr>
          <w:p>
            <w:pPr>
              <w:spacing w:line="480" w:lineRule="exact"/>
              <w:jc w:val="center"/>
              <w:rPr>
                <w:sz w:val="18"/>
                <w:szCs w:val="18"/>
              </w:rPr>
            </w:pPr>
            <w:r>
              <w:rPr>
                <w:sz w:val="18"/>
                <w:szCs w:val="18"/>
              </w:rPr>
              <w:t>2.75×10</w:t>
            </w:r>
            <w:r>
              <w:rPr>
                <w:sz w:val="18"/>
                <w:szCs w:val="18"/>
                <w:vertAlign w:val="superscript"/>
              </w:rPr>
              <w:t>-3</w:t>
            </w:r>
          </w:p>
        </w:tc>
        <w:tc>
          <w:tcPr>
            <w:tcW w:w="913" w:type="dxa"/>
            <w:shd w:val="clear" w:color="auto" w:fill="auto"/>
            <w:noWrap/>
            <w:vAlign w:val="center"/>
          </w:tcPr>
          <w:p>
            <w:pPr>
              <w:spacing w:line="480" w:lineRule="exact"/>
              <w:jc w:val="center"/>
              <w:rPr>
                <w:sz w:val="18"/>
                <w:szCs w:val="18"/>
              </w:rPr>
            </w:pPr>
            <w:r>
              <w:rPr>
                <w:sz w:val="18"/>
                <w:szCs w:val="18"/>
              </w:rPr>
              <w:t>3.81×10</w:t>
            </w:r>
            <w:r>
              <w:rPr>
                <w:sz w:val="18"/>
                <w:szCs w:val="18"/>
                <w:vertAlign w:val="superscript"/>
              </w:rPr>
              <w:t>-3</w:t>
            </w:r>
          </w:p>
        </w:tc>
        <w:tc>
          <w:tcPr>
            <w:tcW w:w="913" w:type="dxa"/>
            <w:shd w:val="clear" w:color="auto" w:fill="F3F3F3"/>
            <w:noWrap/>
            <w:vAlign w:val="center"/>
          </w:tcPr>
          <w:p>
            <w:pPr>
              <w:spacing w:line="480" w:lineRule="exact"/>
              <w:jc w:val="center"/>
              <w:rPr>
                <w:sz w:val="18"/>
                <w:szCs w:val="18"/>
              </w:rPr>
            </w:pPr>
            <w:r>
              <w:rPr>
                <w:sz w:val="18"/>
                <w:szCs w:val="18"/>
              </w:rPr>
              <w:t>6.85×10</w:t>
            </w:r>
            <w:r>
              <w:rPr>
                <w:sz w:val="18"/>
                <w:szCs w:val="18"/>
                <w:vertAlign w:val="superscript"/>
              </w:rPr>
              <w:t>-3</w:t>
            </w:r>
          </w:p>
        </w:tc>
        <w:tc>
          <w:tcPr>
            <w:tcW w:w="936" w:type="dxa"/>
            <w:shd w:val="clear" w:color="auto" w:fill="auto"/>
            <w:noWrap/>
            <w:vAlign w:val="center"/>
          </w:tcPr>
          <w:p>
            <w:pPr>
              <w:spacing w:line="480" w:lineRule="exact"/>
              <w:jc w:val="center"/>
              <w:rPr>
                <w:sz w:val="18"/>
                <w:szCs w:val="18"/>
              </w:rPr>
            </w:pPr>
            <w:r>
              <w:rPr>
                <w:sz w:val="18"/>
                <w:szCs w:val="18"/>
              </w:rPr>
              <w:t>2.27×10</w:t>
            </w:r>
            <w:r>
              <w:rPr>
                <w:sz w:val="18"/>
                <w:szCs w:val="18"/>
                <w:vertAlign w:val="superscript"/>
              </w:rPr>
              <w:t>-2</w:t>
            </w:r>
          </w:p>
        </w:tc>
        <w:tc>
          <w:tcPr>
            <w:tcW w:w="1116" w:type="dxa"/>
            <w:shd w:val="clear" w:color="auto" w:fill="auto"/>
            <w:noWrap/>
            <w:vAlign w:val="center"/>
          </w:tcPr>
          <w:p>
            <w:pPr>
              <w:spacing w:line="480" w:lineRule="exact"/>
              <w:jc w:val="center"/>
              <w:rPr>
                <w:sz w:val="18"/>
                <w:szCs w:val="18"/>
              </w:rPr>
            </w:pPr>
            <w:r>
              <w:rPr>
                <w:sz w:val="18"/>
                <w:szCs w:val="18"/>
              </w:rPr>
              <w:t>1.26×10</w:t>
            </w:r>
            <w:r>
              <w:rPr>
                <w:sz w:val="18"/>
                <w:szCs w:val="18"/>
                <w:vertAlign w:val="superscript"/>
              </w:rPr>
              <w:t>-2</w:t>
            </w:r>
          </w:p>
        </w:tc>
        <w:tc>
          <w:tcPr>
            <w:tcW w:w="913" w:type="dxa"/>
            <w:noWrap w:val="0"/>
            <w:vAlign w:val="center"/>
          </w:tcPr>
          <w:p>
            <w:pPr>
              <w:spacing w:line="480" w:lineRule="exact"/>
              <w:jc w:val="center"/>
              <w:rPr>
                <w:sz w:val="18"/>
                <w:szCs w:val="18"/>
              </w:rPr>
            </w:pPr>
            <w:r>
              <w:rPr>
                <w:sz w:val="18"/>
                <w:szCs w:val="18"/>
              </w:rPr>
              <w:t>3.22×10</w:t>
            </w:r>
            <w:r>
              <w:rPr>
                <w:sz w:val="18"/>
                <w:szCs w:val="18"/>
                <w:vertAlign w:val="superscript"/>
              </w:rPr>
              <w:t>-3</w:t>
            </w:r>
          </w:p>
        </w:tc>
        <w:tc>
          <w:tcPr>
            <w:tcW w:w="1836" w:type="dxa"/>
            <w:noWrap w:val="0"/>
            <w:vAlign w:val="center"/>
          </w:tcPr>
          <w:p>
            <w:pPr>
              <w:spacing w:line="480" w:lineRule="exact"/>
              <w:jc w:val="center"/>
              <w:rPr>
                <w:sz w:val="18"/>
                <w:szCs w:val="18"/>
              </w:rPr>
            </w:pPr>
            <w:r>
              <w:rPr>
                <w:sz w:val="18"/>
                <w:szCs w:val="18"/>
              </w:rPr>
              <w:t>5.66×10</w:t>
            </w:r>
            <w:r>
              <w:rPr>
                <w:sz w:val="18"/>
                <w:szCs w:val="18"/>
                <w:vertAlign w:val="superscript"/>
              </w:rPr>
              <w:t>-2</w:t>
            </w:r>
          </w:p>
        </w:tc>
        <w:tc>
          <w:tcPr>
            <w:tcW w:w="936" w:type="dxa"/>
            <w:noWrap w:val="0"/>
            <w:vAlign w:val="center"/>
          </w:tcPr>
          <w:p>
            <w:pPr>
              <w:spacing w:line="480" w:lineRule="exact"/>
              <w:jc w:val="center"/>
              <w:rPr>
                <w:sz w:val="18"/>
                <w:szCs w:val="18"/>
              </w:rPr>
            </w:pPr>
            <w:r>
              <w:rPr>
                <w:sz w:val="18"/>
                <w:szCs w:val="18"/>
              </w:rPr>
              <w:t>1.83×10</w:t>
            </w:r>
            <w:r>
              <w:rPr>
                <w:sz w:val="18"/>
                <w:szCs w:val="18"/>
                <w:vertAlign w:val="superscript"/>
              </w:rPr>
              <w:t>-2</w:t>
            </w:r>
          </w:p>
        </w:tc>
        <w:tc>
          <w:tcPr>
            <w:tcW w:w="913" w:type="dxa"/>
            <w:noWrap w:val="0"/>
            <w:vAlign w:val="center"/>
          </w:tcPr>
          <w:p>
            <w:pPr>
              <w:spacing w:line="480" w:lineRule="exact"/>
              <w:jc w:val="center"/>
              <w:rPr>
                <w:sz w:val="18"/>
                <w:szCs w:val="18"/>
              </w:rPr>
            </w:pPr>
            <w:r>
              <w:rPr>
                <w:sz w:val="18"/>
                <w:szCs w:val="18"/>
              </w:rPr>
              <w:t>4.58×10</w:t>
            </w:r>
            <w:r>
              <w:rPr>
                <w:sz w:val="18"/>
                <w:szCs w:val="18"/>
                <w:vertAlign w:val="superscript"/>
              </w:rPr>
              <w:t>-3</w:t>
            </w:r>
          </w:p>
        </w:tc>
        <w:tc>
          <w:tcPr>
            <w:tcW w:w="936" w:type="dxa"/>
            <w:noWrap w:val="0"/>
            <w:vAlign w:val="center"/>
          </w:tcPr>
          <w:p>
            <w:pPr>
              <w:spacing w:line="480" w:lineRule="exact"/>
              <w:jc w:val="center"/>
              <w:rPr>
                <w:sz w:val="18"/>
                <w:szCs w:val="18"/>
              </w:rPr>
            </w:pPr>
            <w:r>
              <w:rPr>
                <w:sz w:val="18"/>
                <w:szCs w:val="18"/>
              </w:rPr>
              <w:t>7.89×10</w:t>
            </w:r>
            <w:r>
              <w:rPr>
                <w:sz w:val="18"/>
                <w:szCs w:val="18"/>
                <w:vertAlign w:val="superscript"/>
              </w:rPr>
              <w:t>-3</w:t>
            </w:r>
          </w:p>
        </w:tc>
        <w:tc>
          <w:tcPr>
            <w:tcW w:w="936" w:type="dxa"/>
            <w:noWrap w:val="0"/>
            <w:vAlign w:val="center"/>
          </w:tcPr>
          <w:p>
            <w:pPr>
              <w:spacing w:line="480" w:lineRule="exact"/>
              <w:jc w:val="center"/>
              <w:rPr>
                <w:sz w:val="18"/>
                <w:szCs w:val="18"/>
              </w:rPr>
            </w:pPr>
            <w:r>
              <w:rPr>
                <w:sz w:val="18"/>
                <w:szCs w:val="18"/>
              </w:rPr>
              <w:t>3.91×10</w:t>
            </w:r>
            <w:r>
              <w:rPr>
                <w:sz w:val="18"/>
                <w:szCs w:val="18"/>
                <w:vertAlign w:val="superscript"/>
              </w:rPr>
              <w:t>-3</w:t>
            </w:r>
          </w:p>
        </w:tc>
        <w:tc>
          <w:tcPr>
            <w:tcW w:w="913" w:type="dxa"/>
            <w:noWrap w:val="0"/>
            <w:vAlign w:val="center"/>
          </w:tcPr>
          <w:p>
            <w:pPr>
              <w:spacing w:line="480" w:lineRule="exact"/>
              <w:jc w:val="center"/>
              <w:rPr>
                <w:sz w:val="18"/>
                <w:szCs w:val="18"/>
              </w:rPr>
            </w:pPr>
            <w:r>
              <w:rPr>
                <w:sz w:val="18"/>
                <w:szCs w:val="18"/>
              </w:rPr>
              <w:t>3.76×10</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F3F3F3"/>
            <w:noWrap/>
            <w:vAlign w:val="center"/>
          </w:tcPr>
          <w:p>
            <w:pPr>
              <w:spacing w:line="480" w:lineRule="exact"/>
              <w:jc w:val="center"/>
              <w:rPr>
                <w:sz w:val="18"/>
                <w:szCs w:val="18"/>
              </w:rPr>
            </w:pPr>
            <w:r>
              <w:rPr>
                <w:sz w:val="18"/>
                <w:szCs w:val="18"/>
              </w:rPr>
              <w:t>/</w:t>
            </w:r>
          </w:p>
        </w:tc>
        <w:tc>
          <w:tcPr>
            <w:tcW w:w="936" w:type="dxa"/>
            <w:shd w:val="clear" w:color="auto" w:fill="auto"/>
            <w:noWrap/>
            <w:vAlign w:val="center"/>
          </w:tcPr>
          <w:p>
            <w:pPr>
              <w:spacing w:line="480" w:lineRule="exact"/>
              <w:jc w:val="center"/>
              <w:rPr>
                <w:sz w:val="18"/>
                <w:szCs w:val="18"/>
              </w:rPr>
            </w:pPr>
            <w:r>
              <w:rPr>
                <w:sz w:val="18"/>
                <w:szCs w:val="18"/>
              </w:rPr>
              <w:t>/</w:t>
            </w:r>
          </w:p>
        </w:tc>
        <w:tc>
          <w:tcPr>
            <w:tcW w:w="1116" w:type="dxa"/>
            <w:shd w:val="clear" w:color="auto" w:fill="auto"/>
            <w:noWrap/>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c>
          <w:tcPr>
            <w:tcW w:w="1836"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F3F3F3"/>
            <w:noWrap/>
            <w:vAlign w:val="center"/>
          </w:tcPr>
          <w:p>
            <w:pPr>
              <w:spacing w:line="480" w:lineRule="exact"/>
              <w:jc w:val="center"/>
              <w:rPr>
                <w:sz w:val="18"/>
                <w:szCs w:val="18"/>
              </w:rPr>
            </w:pPr>
            <w:r>
              <w:rPr>
                <w:sz w:val="18"/>
                <w:szCs w:val="18"/>
              </w:rPr>
              <w:t>/</w:t>
            </w:r>
          </w:p>
        </w:tc>
        <w:tc>
          <w:tcPr>
            <w:tcW w:w="936" w:type="dxa"/>
            <w:shd w:val="clear" w:color="auto" w:fill="auto"/>
            <w:noWrap/>
            <w:vAlign w:val="center"/>
          </w:tcPr>
          <w:p>
            <w:pPr>
              <w:spacing w:line="480" w:lineRule="exact"/>
              <w:jc w:val="center"/>
              <w:rPr>
                <w:sz w:val="18"/>
                <w:szCs w:val="18"/>
              </w:rPr>
            </w:pPr>
            <w:r>
              <w:rPr>
                <w:sz w:val="18"/>
                <w:szCs w:val="18"/>
              </w:rPr>
              <w:t>/</w:t>
            </w:r>
          </w:p>
        </w:tc>
        <w:tc>
          <w:tcPr>
            <w:tcW w:w="1116" w:type="dxa"/>
            <w:shd w:val="clear" w:color="auto" w:fill="auto"/>
            <w:noWrap/>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c>
          <w:tcPr>
            <w:tcW w:w="1836"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noWrap/>
            <w:vAlign w:val="center"/>
          </w:tcPr>
          <w:p>
            <w:pPr>
              <w:spacing w:line="480" w:lineRule="exact"/>
              <w:jc w:val="center"/>
              <w:rPr>
                <w:sz w:val="18"/>
                <w:szCs w:val="18"/>
              </w:rPr>
            </w:pPr>
            <w:r>
              <w:rPr>
                <w:sz w:val="18"/>
                <w:szCs w:val="18"/>
              </w:rPr>
              <w:t>0.61</w:t>
            </w:r>
          </w:p>
        </w:tc>
        <w:tc>
          <w:tcPr>
            <w:tcW w:w="913" w:type="dxa"/>
            <w:shd w:val="clear" w:color="auto" w:fill="auto"/>
            <w:noWrap/>
            <w:vAlign w:val="center"/>
          </w:tcPr>
          <w:p>
            <w:pPr>
              <w:spacing w:line="480" w:lineRule="exact"/>
              <w:jc w:val="center"/>
              <w:rPr>
                <w:sz w:val="18"/>
                <w:szCs w:val="18"/>
              </w:rPr>
            </w:pPr>
            <w:r>
              <w:rPr>
                <w:sz w:val="18"/>
                <w:szCs w:val="18"/>
              </w:rPr>
              <w:t>0.85</w:t>
            </w:r>
          </w:p>
        </w:tc>
        <w:tc>
          <w:tcPr>
            <w:tcW w:w="913" w:type="dxa"/>
            <w:shd w:val="clear" w:color="auto" w:fill="F3F3F3"/>
            <w:noWrap/>
            <w:vAlign w:val="center"/>
          </w:tcPr>
          <w:p>
            <w:pPr>
              <w:spacing w:line="480" w:lineRule="exact"/>
              <w:jc w:val="center"/>
              <w:rPr>
                <w:sz w:val="18"/>
                <w:szCs w:val="18"/>
              </w:rPr>
            </w:pPr>
            <w:r>
              <w:rPr>
                <w:sz w:val="18"/>
                <w:szCs w:val="18"/>
              </w:rPr>
              <w:t>1.52</w:t>
            </w:r>
          </w:p>
        </w:tc>
        <w:tc>
          <w:tcPr>
            <w:tcW w:w="936" w:type="dxa"/>
            <w:shd w:val="clear" w:color="auto" w:fill="auto"/>
            <w:noWrap/>
            <w:vAlign w:val="center"/>
          </w:tcPr>
          <w:p>
            <w:pPr>
              <w:spacing w:line="480" w:lineRule="exact"/>
              <w:jc w:val="center"/>
              <w:rPr>
                <w:sz w:val="18"/>
                <w:szCs w:val="18"/>
              </w:rPr>
            </w:pPr>
            <w:r>
              <w:rPr>
                <w:sz w:val="18"/>
                <w:szCs w:val="18"/>
              </w:rPr>
              <w:t>5.05</w:t>
            </w:r>
          </w:p>
        </w:tc>
        <w:tc>
          <w:tcPr>
            <w:tcW w:w="1116" w:type="dxa"/>
            <w:shd w:val="clear" w:color="auto" w:fill="auto"/>
            <w:noWrap/>
            <w:vAlign w:val="center"/>
          </w:tcPr>
          <w:p>
            <w:pPr>
              <w:spacing w:line="480" w:lineRule="exact"/>
              <w:jc w:val="center"/>
              <w:rPr>
                <w:sz w:val="18"/>
                <w:szCs w:val="18"/>
              </w:rPr>
            </w:pPr>
            <w:r>
              <w:rPr>
                <w:sz w:val="18"/>
                <w:szCs w:val="18"/>
              </w:rPr>
              <w:t>2.80</w:t>
            </w:r>
          </w:p>
        </w:tc>
        <w:tc>
          <w:tcPr>
            <w:tcW w:w="913" w:type="dxa"/>
            <w:noWrap w:val="0"/>
            <w:vAlign w:val="center"/>
          </w:tcPr>
          <w:p>
            <w:pPr>
              <w:spacing w:line="480" w:lineRule="exact"/>
              <w:jc w:val="center"/>
              <w:rPr>
                <w:sz w:val="18"/>
                <w:szCs w:val="18"/>
              </w:rPr>
            </w:pPr>
            <w:r>
              <w:rPr>
                <w:sz w:val="18"/>
                <w:szCs w:val="18"/>
              </w:rPr>
              <w:t>0.72</w:t>
            </w:r>
          </w:p>
        </w:tc>
        <w:tc>
          <w:tcPr>
            <w:tcW w:w="1836" w:type="dxa"/>
            <w:noWrap w:val="0"/>
            <w:vAlign w:val="center"/>
          </w:tcPr>
          <w:p>
            <w:pPr>
              <w:spacing w:line="480" w:lineRule="exact"/>
              <w:jc w:val="center"/>
              <w:rPr>
                <w:sz w:val="18"/>
                <w:szCs w:val="18"/>
              </w:rPr>
            </w:pPr>
            <w:r>
              <w:rPr>
                <w:sz w:val="18"/>
                <w:szCs w:val="18"/>
              </w:rPr>
              <w:t>12.57</w:t>
            </w:r>
          </w:p>
        </w:tc>
        <w:tc>
          <w:tcPr>
            <w:tcW w:w="936" w:type="dxa"/>
            <w:noWrap w:val="0"/>
            <w:vAlign w:val="center"/>
          </w:tcPr>
          <w:p>
            <w:pPr>
              <w:spacing w:line="480" w:lineRule="exact"/>
              <w:jc w:val="center"/>
              <w:rPr>
                <w:sz w:val="18"/>
                <w:szCs w:val="18"/>
              </w:rPr>
            </w:pPr>
            <w:r>
              <w:rPr>
                <w:sz w:val="18"/>
                <w:szCs w:val="18"/>
              </w:rPr>
              <w:t>4.07</w:t>
            </w:r>
          </w:p>
        </w:tc>
        <w:tc>
          <w:tcPr>
            <w:tcW w:w="913" w:type="dxa"/>
            <w:noWrap w:val="0"/>
            <w:vAlign w:val="center"/>
          </w:tcPr>
          <w:p>
            <w:pPr>
              <w:spacing w:line="480" w:lineRule="exact"/>
              <w:jc w:val="center"/>
              <w:rPr>
                <w:sz w:val="18"/>
                <w:szCs w:val="18"/>
              </w:rPr>
            </w:pPr>
            <w:r>
              <w:rPr>
                <w:sz w:val="18"/>
                <w:szCs w:val="18"/>
              </w:rPr>
              <w:t>1.02</w:t>
            </w:r>
          </w:p>
        </w:tc>
        <w:tc>
          <w:tcPr>
            <w:tcW w:w="936" w:type="dxa"/>
            <w:noWrap w:val="0"/>
            <w:vAlign w:val="center"/>
          </w:tcPr>
          <w:p>
            <w:pPr>
              <w:spacing w:line="480" w:lineRule="exact"/>
              <w:jc w:val="center"/>
              <w:rPr>
                <w:sz w:val="18"/>
                <w:szCs w:val="18"/>
              </w:rPr>
            </w:pPr>
            <w:r>
              <w:rPr>
                <w:sz w:val="18"/>
                <w:szCs w:val="18"/>
              </w:rPr>
              <w:t>1.75</w:t>
            </w:r>
          </w:p>
        </w:tc>
        <w:tc>
          <w:tcPr>
            <w:tcW w:w="936" w:type="dxa"/>
            <w:noWrap w:val="0"/>
            <w:vAlign w:val="center"/>
          </w:tcPr>
          <w:p>
            <w:pPr>
              <w:spacing w:line="480" w:lineRule="exact"/>
              <w:jc w:val="center"/>
              <w:rPr>
                <w:sz w:val="18"/>
                <w:szCs w:val="18"/>
              </w:rPr>
            </w:pPr>
            <w:r>
              <w:rPr>
                <w:sz w:val="18"/>
                <w:szCs w:val="18"/>
              </w:rPr>
              <w:t>0.87</w:t>
            </w:r>
          </w:p>
        </w:tc>
        <w:tc>
          <w:tcPr>
            <w:tcW w:w="913" w:type="dxa"/>
            <w:noWrap w:val="0"/>
            <w:vAlign w:val="center"/>
          </w:tcPr>
          <w:p>
            <w:pPr>
              <w:spacing w:line="480" w:lineRule="exact"/>
              <w:jc w:val="center"/>
              <w:rPr>
                <w:sz w:val="18"/>
                <w:szCs w:val="18"/>
              </w:rPr>
            </w:pPr>
            <w:r>
              <w:rPr>
                <w:sz w:val="18"/>
                <w:szCs w:val="18"/>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97" w:type="dxa"/>
            <w:vMerge w:val="restart"/>
            <w:shd w:val="clear" w:color="auto" w:fill="auto"/>
            <w:noWrap/>
            <w:vAlign w:val="center"/>
          </w:tcPr>
          <w:p>
            <w:pPr>
              <w:widowControl/>
              <w:adjustRightInd w:val="0"/>
              <w:snapToGrid w:val="0"/>
              <w:spacing w:line="480" w:lineRule="exact"/>
              <w:jc w:val="center"/>
              <w:rPr>
                <w:kern w:val="0"/>
                <w:sz w:val="18"/>
                <w:szCs w:val="18"/>
              </w:rPr>
            </w:pPr>
            <w:r>
              <w:rPr>
                <w:sz w:val="18"/>
                <w:szCs w:val="18"/>
              </w:rPr>
              <w:t>SO</w:t>
            </w:r>
            <w:r>
              <w:rPr>
                <w:sz w:val="18"/>
                <w:szCs w:val="18"/>
                <w:vertAlign w:val="subscript"/>
              </w:rPr>
              <w:t>2</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noWrap/>
            <w:vAlign w:val="center"/>
          </w:tcPr>
          <w:p>
            <w:pPr>
              <w:spacing w:line="480" w:lineRule="exact"/>
              <w:jc w:val="center"/>
              <w:rPr>
                <w:sz w:val="18"/>
                <w:szCs w:val="18"/>
              </w:rPr>
            </w:pPr>
            <w:r>
              <w:rPr>
                <w:sz w:val="18"/>
                <w:szCs w:val="18"/>
              </w:rPr>
              <w:t>3.20×10</w:t>
            </w:r>
            <w:r>
              <w:rPr>
                <w:sz w:val="18"/>
                <w:szCs w:val="18"/>
                <w:vertAlign w:val="superscript"/>
              </w:rPr>
              <w:t>-3</w:t>
            </w:r>
          </w:p>
        </w:tc>
        <w:tc>
          <w:tcPr>
            <w:tcW w:w="913" w:type="dxa"/>
            <w:shd w:val="clear" w:color="auto" w:fill="auto"/>
            <w:noWrap/>
            <w:vAlign w:val="center"/>
          </w:tcPr>
          <w:p>
            <w:pPr>
              <w:spacing w:line="480" w:lineRule="exact"/>
              <w:jc w:val="center"/>
              <w:rPr>
                <w:sz w:val="18"/>
                <w:szCs w:val="18"/>
              </w:rPr>
            </w:pPr>
            <w:r>
              <w:rPr>
                <w:sz w:val="18"/>
                <w:szCs w:val="18"/>
              </w:rPr>
              <w:t>3.66×10</w:t>
            </w:r>
            <w:r>
              <w:rPr>
                <w:sz w:val="18"/>
                <w:szCs w:val="18"/>
                <w:vertAlign w:val="superscript"/>
              </w:rPr>
              <w:t>-3</w:t>
            </w:r>
          </w:p>
        </w:tc>
        <w:tc>
          <w:tcPr>
            <w:tcW w:w="913" w:type="dxa"/>
            <w:shd w:val="clear" w:color="auto" w:fill="F3F3F3"/>
            <w:noWrap/>
            <w:vAlign w:val="center"/>
          </w:tcPr>
          <w:p>
            <w:pPr>
              <w:spacing w:line="480" w:lineRule="exact"/>
              <w:jc w:val="center"/>
              <w:rPr>
                <w:sz w:val="18"/>
                <w:szCs w:val="18"/>
              </w:rPr>
            </w:pPr>
            <w:r>
              <w:rPr>
                <w:sz w:val="18"/>
                <w:szCs w:val="18"/>
              </w:rPr>
              <w:t>1.53×10</w:t>
            </w:r>
            <w:r>
              <w:rPr>
                <w:sz w:val="18"/>
                <w:szCs w:val="18"/>
                <w:vertAlign w:val="superscript"/>
              </w:rPr>
              <w:t>-2</w:t>
            </w:r>
          </w:p>
        </w:tc>
        <w:tc>
          <w:tcPr>
            <w:tcW w:w="936" w:type="dxa"/>
            <w:shd w:val="clear" w:color="auto" w:fill="auto"/>
            <w:noWrap/>
            <w:vAlign w:val="center"/>
          </w:tcPr>
          <w:p>
            <w:pPr>
              <w:spacing w:line="480" w:lineRule="exact"/>
              <w:jc w:val="center"/>
              <w:rPr>
                <w:sz w:val="18"/>
                <w:szCs w:val="18"/>
              </w:rPr>
            </w:pPr>
            <w:r>
              <w:rPr>
                <w:sz w:val="18"/>
                <w:szCs w:val="18"/>
              </w:rPr>
              <w:t>4.57×10</w:t>
            </w:r>
            <w:r>
              <w:rPr>
                <w:sz w:val="18"/>
                <w:szCs w:val="18"/>
                <w:vertAlign w:val="superscript"/>
              </w:rPr>
              <w:t>-2</w:t>
            </w:r>
          </w:p>
        </w:tc>
        <w:tc>
          <w:tcPr>
            <w:tcW w:w="1116" w:type="dxa"/>
            <w:shd w:val="clear" w:color="auto" w:fill="auto"/>
            <w:noWrap/>
            <w:vAlign w:val="center"/>
          </w:tcPr>
          <w:p>
            <w:pPr>
              <w:spacing w:line="480" w:lineRule="exact"/>
              <w:jc w:val="center"/>
              <w:rPr>
                <w:sz w:val="18"/>
                <w:szCs w:val="18"/>
              </w:rPr>
            </w:pPr>
            <w:r>
              <w:rPr>
                <w:sz w:val="18"/>
                <w:szCs w:val="18"/>
              </w:rPr>
              <w:t>2.09×10</w:t>
            </w:r>
            <w:r>
              <w:rPr>
                <w:sz w:val="18"/>
                <w:szCs w:val="18"/>
                <w:vertAlign w:val="superscript"/>
              </w:rPr>
              <w:t>-2</w:t>
            </w:r>
          </w:p>
        </w:tc>
        <w:tc>
          <w:tcPr>
            <w:tcW w:w="913" w:type="dxa"/>
            <w:noWrap w:val="0"/>
            <w:vAlign w:val="center"/>
          </w:tcPr>
          <w:p>
            <w:pPr>
              <w:spacing w:line="480" w:lineRule="exact"/>
              <w:jc w:val="center"/>
              <w:rPr>
                <w:sz w:val="18"/>
                <w:szCs w:val="18"/>
              </w:rPr>
            </w:pPr>
            <w:r>
              <w:rPr>
                <w:sz w:val="18"/>
                <w:szCs w:val="18"/>
              </w:rPr>
              <w:t>2.60×10</w:t>
            </w:r>
            <w:r>
              <w:rPr>
                <w:sz w:val="18"/>
                <w:szCs w:val="18"/>
                <w:vertAlign w:val="superscript"/>
              </w:rPr>
              <w:t>-3</w:t>
            </w:r>
          </w:p>
        </w:tc>
        <w:tc>
          <w:tcPr>
            <w:tcW w:w="1836" w:type="dxa"/>
            <w:noWrap w:val="0"/>
            <w:vAlign w:val="center"/>
          </w:tcPr>
          <w:p>
            <w:pPr>
              <w:spacing w:line="480" w:lineRule="exact"/>
              <w:jc w:val="center"/>
              <w:rPr>
                <w:sz w:val="18"/>
                <w:szCs w:val="18"/>
              </w:rPr>
            </w:pPr>
            <w:r>
              <w:rPr>
                <w:sz w:val="18"/>
                <w:szCs w:val="18"/>
              </w:rPr>
              <w:t>6.69×10</w:t>
            </w:r>
            <w:r>
              <w:rPr>
                <w:sz w:val="18"/>
                <w:szCs w:val="18"/>
                <w:vertAlign w:val="superscript"/>
              </w:rPr>
              <w:t>-2</w:t>
            </w:r>
          </w:p>
        </w:tc>
        <w:tc>
          <w:tcPr>
            <w:tcW w:w="936" w:type="dxa"/>
            <w:noWrap w:val="0"/>
            <w:vAlign w:val="center"/>
          </w:tcPr>
          <w:p>
            <w:pPr>
              <w:spacing w:line="480" w:lineRule="exact"/>
              <w:jc w:val="center"/>
              <w:rPr>
                <w:sz w:val="18"/>
                <w:szCs w:val="18"/>
              </w:rPr>
            </w:pPr>
            <w:r>
              <w:rPr>
                <w:sz w:val="18"/>
                <w:szCs w:val="18"/>
              </w:rPr>
              <w:t>2.83×10</w:t>
            </w:r>
            <w:r>
              <w:rPr>
                <w:sz w:val="18"/>
                <w:szCs w:val="18"/>
                <w:vertAlign w:val="superscript"/>
              </w:rPr>
              <w:t>-2</w:t>
            </w:r>
          </w:p>
        </w:tc>
        <w:tc>
          <w:tcPr>
            <w:tcW w:w="913" w:type="dxa"/>
            <w:noWrap w:val="0"/>
            <w:vAlign w:val="center"/>
          </w:tcPr>
          <w:p>
            <w:pPr>
              <w:spacing w:line="480" w:lineRule="exact"/>
              <w:jc w:val="center"/>
              <w:rPr>
                <w:sz w:val="18"/>
                <w:szCs w:val="18"/>
              </w:rPr>
            </w:pPr>
            <w:r>
              <w:rPr>
                <w:sz w:val="18"/>
                <w:szCs w:val="18"/>
              </w:rPr>
              <w:t>8.39×10</w:t>
            </w:r>
            <w:r>
              <w:rPr>
                <w:sz w:val="18"/>
                <w:szCs w:val="18"/>
                <w:vertAlign w:val="superscript"/>
              </w:rPr>
              <w:t>-3</w:t>
            </w:r>
          </w:p>
        </w:tc>
        <w:tc>
          <w:tcPr>
            <w:tcW w:w="936" w:type="dxa"/>
            <w:noWrap w:val="0"/>
            <w:vAlign w:val="center"/>
          </w:tcPr>
          <w:p>
            <w:pPr>
              <w:spacing w:line="480" w:lineRule="exact"/>
              <w:jc w:val="center"/>
              <w:rPr>
                <w:sz w:val="18"/>
                <w:szCs w:val="18"/>
              </w:rPr>
            </w:pPr>
            <w:r>
              <w:rPr>
                <w:sz w:val="18"/>
                <w:szCs w:val="18"/>
              </w:rPr>
              <w:t>1.51×10</w:t>
            </w:r>
            <w:r>
              <w:rPr>
                <w:sz w:val="18"/>
                <w:szCs w:val="18"/>
                <w:vertAlign w:val="superscript"/>
              </w:rPr>
              <w:t>-2</w:t>
            </w:r>
          </w:p>
        </w:tc>
        <w:tc>
          <w:tcPr>
            <w:tcW w:w="936" w:type="dxa"/>
            <w:noWrap w:val="0"/>
            <w:vAlign w:val="center"/>
          </w:tcPr>
          <w:p>
            <w:pPr>
              <w:spacing w:line="480" w:lineRule="exact"/>
              <w:jc w:val="center"/>
              <w:rPr>
                <w:sz w:val="18"/>
                <w:szCs w:val="18"/>
              </w:rPr>
            </w:pPr>
            <w:r>
              <w:rPr>
                <w:sz w:val="18"/>
                <w:szCs w:val="18"/>
              </w:rPr>
              <w:t>4.89×10</w:t>
            </w:r>
            <w:r>
              <w:rPr>
                <w:sz w:val="18"/>
                <w:szCs w:val="18"/>
                <w:vertAlign w:val="superscript"/>
              </w:rPr>
              <w:t>-3</w:t>
            </w:r>
          </w:p>
        </w:tc>
        <w:tc>
          <w:tcPr>
            <w:tcW w:w="913" w:type="dxa"/>
            <w:noWrap w:val="0"/>
            <w:vAlign w:val="center"/>
          </w:tcPr>
          <w:p>
            <w:pPr>
              <w:spacing w:line="480" w:lineRule="exact"/>
              <w:jc w:val="center"/>
              <w:rPr>
                <w:sz w:val="18"/>
                <w:szCs w:val="18"/>
              </w:rPr>
            </w:pPr>
            <w:r>
              <w:rPr>
                <w:sz w:val="18"/>
                <w:szCs w:val="18"/>
              </w:rPr>
              <w:t>4.15×10</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F3F3F3"/>
            <w:noWrap/>
            <w:vAlign w:val="center"/>
          </w:tcPr>
          <w:p>
            <w:pPr>
              <w:spacing w:line="480" w:lineRule="exact"/>
              <w:jc w:val="center"/>
              <w:rPr>
                <w:sz w:val="18"/>
                <w:szCs w:val="18"/>
              </w:rPr>
            </w:pPr>
            <w:r>
              <w:rPr>
                <w:sz w:val="18"/>
                <w:szCs w:val="18"/>
              </w:rPr>
              <w:t>/</w:t>
            </w:r>
          </w:p>
        </w:tc>
        <w:tc>
          <w:tcPr>
            <w:tcW w:w="936" w:type="dxa"/>
            <w:shd w:val="clear" w:color="auto" w:fill="auto"/>
            <w:noWrap/>
            <w:vAlign w:val="center"/>
          </w:tcPr>
          <w:p>
            <w:pPr>
              <w:spacing w:line="480" w:lineRule="exact"/>
              <w:jc w:val="center"/>
              <w:rPr>
                <w:sz w:val="18"/>
                <w:szCs w:val="18"/>
              </w:rPr>
            </w:pPr>
            <w:r>
              <w:rPr>
                <w:sz w:val="18"/>
                <w:szCs w:val="18"/>
              </w:rPr>
              <w:t>0.0780</w:t>
            </w:r>
          </w:p>
        </w:tc>
        <w:tc>
          <w:tcPr>
            <w:tcW w:w="1116" w:type="dxa"/>
            <w:shd w:val="clear" w:color="auto" w:fill="auto"/>
            <w:noWrap/>
            <w:vAlign w:val="center"/>
          </w:tcPr>
          <w:p>
            <w:pPr>
              <w:spacing w:line="480" w:lineRule="exact"/>
              <w:jc w:val="center"/>
              <w:rPr>
                <w:sz w:val="18"/>
                <w:szCs w:val="18"/>
              </w:rPr>
            </w:pPr>
            <w:r>
              <w:rPr>
                <w:sz w:val="18"/>
                <w:szCs w:val="18"/>
              </w:rPr>
              <w:t>0.0730</w:t>
            </w:r>
          </w:p>
        </w:tc>
        <w:tc>
          <w:tcPr>
            <w:tcW w:w="913" w:type="dxa"/>
            <w:noWrap w:val="0"/>
            <w:vAlign w:val="center"/>
          </w:tcPr>
          <w:p>
            <w:pPr>
              <w:spacing w:line="480" w:lineRule="exact"/>
              <w:jc w:val="center"/>
              <w:rPr>
                <w:sz w:val="18"/>
                <w:szCs w:val="18"/>
              </w:rPr>
            </w:pPr>
            <w:r>
              <w:rPr>
                <w:sz w:val="18"/>
                <w:szCs w:val="18"/>
              </w:rPr>
              <w:t>/</w:t>
            </w:r>
          </w:p>
        </w:tc>
        <w:tc>
          <w:tcPr>
            <w:tcW w:w="1836" w:type="dxa"/>
            <w:noWrap w:val="0"/>
            <w:vAlign w:val="center"/>
          </w:tcPr>
          <w:p>
            <w:pPr>
              <w:spacing w:line="480" w:lineRule="exact"/>
              <w:jc w:val="center"/>
              <w:rPr>
                <w:sz w:val="18"/>
                <w:szCs w:val="18"/>
              </w:rPr>
            </w:pPr>
            <w:r>
              <w:rPr>
                <w:sz w:val="18"/>
                <w:szCs w:val="18"/>
              </w:rPr>
              <w:t>0.1060</w:t>
            </w:r>
          </w:p>
        </w:tc>
        <w:tc>
          <w:tcPr>
            <w:tcW w:w="936" w:type="dxa"/>
            <w:noWrap w:val="0"/>
            <w:vAlign w:val="center"/>
          </w:tcPr>
          <w:p>
            <w:pPr>
              <w:spacing w:line="480" w:lineRule="exact"/>
              <w:jc w:val="center"/>
              <w:rPr>
                <w:sz w:val="18"/>
                <w:szCs w:val="18"/>
              </w:rPr>
            </w:pPr>
            <w:r>
              <w:rPr>
                <w:sz w:val="18"/>
                <w:szCs w:val="18"/>
              </w:rPr>
              <w:t>0.1050</w:t>
            </w:r>
          </w:p>
        </w:tc>
        <w:tc>
          <w:tcPr>
            <w:tcW w:w="913"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0.1280</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0.0690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noWrap/>
            <w:vAlign w:val="center"/>
          </w:tcPr>
          <w:p>
            <w:pPr>
              <w:spacing w:line="480" w:lineRule="exact"/>
              <w:jc w:val="center"/>
              <w:rPr>
                <w:sz w:val="18"/>
                <w:szCs w:val="18"/>
              </w:rPr>
            </w:pPr>
            <w:r>
              <w:rPr>
                <w:sz w:val="18"/>
                <w:szCs w:val="18"/>
              </w:rPr>
              <w:t>3.20×10</w:t>
            </w:r>
            <w:r>
              <w:rPr>
                <w:sz w:val="18"/>
                <w:szCs w:val="18"/>
                <w:vertAlign w:val="superscript"/>
              </w:rPr>
              <w:t>-3</w:t>
            </w:r>
          </w:p>
        </w:tc>
        <w:tc>
          <w:tcPr>
            <w:tcW w:w="913" w:type="dxa"/>
            <w:shd w:val="clear" w:color="auto" w:fill="auto"/>
            <w:noWrap/>
            <w:vAlign w:val="center"/>
          </w:tcPr>
          <w:p>
            <w:pPr>
              <w:spacing w:line="480" w:lineRule="exact"/>
              <w:jc w:val="center"/>
              <w:rPr>
                <w:sz w:val="18"/>
                <w:szCs w:val="18"/>
              </w:rPr>
            </w:pPr>
            <w:r>
              <w:rPr>
                <w:sz w:val="18"/>
                <w:szCs w:val="18"/>
              </w:rPr>
              <w:t>3.66×10</w:t>
            </w:r>
            <w:r>
              <w:rPr>
                <w:sz w:val="18"/>
                <w:szCs w:val="18"/>
                <w:vertAlign w:val="superscript"/>
              </w:rPr>
              <w:t>-3</w:t>
            </w:r>
          </w:p>
        </w:tc>
        <w:tc>
          <w:tcPr>
            <w:tcW w:w="913" w:type="dxa"/>
            <w:shd w:val="clear" w:color="auto" w:fill="F3F3F3"/>
            <w:noWrap/>
            <w:vAlign w:val="center"/>
          </w:tcPr>
          <w:p>
            <w:pPr>
              <w:spacing w:line="480" w:lineRule="exact"/>
              <w:jc w:val="center"/>
              <w:rPr>
                <w:sz w:val="18"/>
                <w:szCs w:val="18"/>
              </w:rPr>
            </w:pPr>
            <w:r>
              <w:rPr>
                <w:sz w:val="18"/>
                <w:szCs w:val="18"/>
              </w:rPr>
              <w:t>1.53×10</w:t>
            </w:r>
            <w:r>
              <w:rPr>
                <w:sz w:val="18"/>
                <w:szCs w:val="18"/>
                <w:vertAlign w:val="superscript"/>
              </w:rPr>
              <w:t>-2</w:t>
            </w:r>
          </w:p>
        </w:tc>
        <w:tc>
          <w:tcPr>
            <w:tcW w:w="936" w:type="dxa"/>
            <w:shd w:val="clear" w:color="auto" w:fill="auto"/>
            <w:noWrap/>
            <w:vAlign w:val="center"/>
          </w:tcPr>
          <w:p>
            <w:pPr>
              <w:spacing w:line="480" w:lineRule="exact"/>
              <w:jc w:val="center"/>
              <w:rPr>
                <w:sz w:val="18"/>
                <w:szCs w:val="18"/>
              </w:rPr>
            </w:pPr>
            <w:r>
              <w:rPr>
                <w:sz w:val="18"/>
                <w:szCs w:val="18"/>
              </w:rPr>
              <w:t>1.24×10</w:t>
            </w:r>
            <w:r>
              <w:rPr>
                <w:sz w:val="18"/>
                <w:szCs w:val="18"/>
                <w:vertAlign w:val="superscript"/>
              </w:rPr>
              <w:t>-1</w:t>
            </w:r>
          </w:p>
        </w:tc>
        <w:tc>
          <w:tcPr>
            <w:tcW w:w="1116" w:type="dxa"/>
            <w:shd w:val="clear" w:color="auto" w:fill="auto"/>
            <w:noWrap/>
            <w:vAlign w:val="center"/>
          </w:tcPr>
          <w:p>
            <w:pPr>
              <w:spacing w:line="480" w:lineRule="exact"/>
              <w:jc w:val="center"/>
              <w:rPr>
                <w:sz w:val="18"/>
                <w:szCs w:val="18"/>
              </w:rPr>
            </w:pPr>
            <w:r>
              <w:rPr>
                <w:sz w:val="18"/>
                <w:szCs w:val="18"/>
              </w:rPr>
              <w:t>9.39×10</w:t>
            </w:r>
            <w:r>
              <w:rPr>
                <w:sz w:val="18"/>
                <w:szCs w:val="18"/>
                <w:vertAlign w:val="superscript"/>
              </w:rPr>
              <w:t>-2</w:t>
            </w:r>
          </w:p>
        </w:tc>
        <w:tc>
          <w:tcPr>
            <w:tcW w:w="913" w:type="dxa"/>
            <w:noWrap w:val="0"/>
            <w:vAlign w:val="center"/>
          </w:tcPr>
          <w:p>
            <w:pPr>
              <w:spacing w:line="480" w:lineRule="exact"/>
              <w:jc w:val="center"/>
              <w:rPr>
                <w:sz w:val="18"/>
                <w:szCs w:val="18"/>
              </w:rPr>
            </w:pPr>
            <w:r>
              <w:rPr>
                <w:sz w:val="18"/>
                <w:szCs w:val="18"/>
              </w:rPr>
              <w:t>2.60×10</w:t>
            </w:r>
            <w:r>
              <w:rPr>
                <w:sz w:val="18"/>
                <w:szCs w:val="18"/>
                <w:vertAlign w:val="superscript"/>
              </w:rPr>
              <w:t>-3</w:t>
            </w:r>
          </w:p>
        </w:tc>
        <w:tc>
          <w:tcPr>
            <w:tcW w:w="1836" w:type="dxa"/>
            <w:noWrap w:val="0"/>
            <w:vAlign w:val="center"/>
          </w:tcPr>
          <w:p>
            <w:pPr>
              <w:spacing w:line="480" w:lineRule="exact"/>
              <w:jc w:val="center"/>
              <w:rPr>
                <w:sz w:val="18"/>
                <w:szCs w:val="18"/>
              </w:rPr>
            </w:pPr>
            <w:r>
              <w:rPr>
                <w:sz w:val="18"/>
                <w:szCs w:val="18"/>
              </w:rPr>
              <w:t>1.73×10</w:t>
            </w:r>
            <w:r>
              <w:rPr>
                <w:sz w:val="18"/>
                <w:szCs w:val="18"/>
                <w:vertAlign w:val="superscript"/>
              </w:rPr>
              <w:t>-1</w:t>
            </w:r>
          </w:p>
        </w:tc>
        <w:tc>
          <w:tcPr>
            <w:tcW w:w="936" w:type="dxa"/>
            <w:noWrap w:val="0"/>
            <w:vAlign w:val="center"/>
          </w:tcPr>
          <w:p>
            <w:pPr>
              <w:spacing w:line="480" w:lineRule="exact"/>
              <w:jc w:val="center"/>
              <w:rPr>
                <w:sz w:val="18"/>
                <w:szCs w:val="18"/>
              </w:rPr>
            </w:pPr>
            <w:r>
              <w:rPr>
                <w:sz w:val="18"/>
                <w:szCs w:val="18"/>
              </w:rPr>
              <w:t>1.33×10</w:t>
            </w:r>
            <w:r>
              <w:rPr>
                <w:sz w:val="18"/>
                <w:szCs w:val="18"/>
                <w:vertAlign w:val="superscript"/>
              </w:rPr>
              <w:t>-1</w:t>
            </w:r>
          </w:p>
        </w:tc>
        <w:tc>
          <w:tcPr>
            <w:tcW w:w="913" w:type="dxa"/>
            <w:noWrap w:val="0"/>
            <w:vAlign w:val="center"/>
          </w:tcPr>
          <w:p>
            <w:pPr>
              <w:spacing w:line="480" w:lineRule="exact"/>
              <w:jc w:val="center"/>
              <w:rPr>
                <w:sz w:val="18"/>
                <w:szCs w:val="18"/>
              </w:rPr>
            </w:pPr>
            <w:r>
              <w:rPr>
                <w:sz w:val="18"/>
                <w:szCs w:val="18"/>
              </w:rPr>
              <w:t>8.39×10</w:t>
            </w:r>
            <w:r>
              <w:rPr>
                <w:sz w:val="18"/>
                <w:szCs w:val="18"/>
                <w:vertAlign w:val="superscript"/>
              </w:rPr>
              <w:t>-3</w:t>
            </w:r>
          </w:p>
        </w:tc>
        <w:tc>
          <w:tcPr>
            <w:tcW w:w="936" w:type="dxa"/>
            <w:noWrap w:val="0"/>
            <w:vAlign w:val="center"/>
          </w:tcPr>
          <w:p>
            <w:pPr>
              <w:spacing w:line="480" w:lineRule="exact"/>
              <w:jc w:val="center"/>
              <w:rPr>
                <w:sz w:val="18"/>
                <w:szCs w:val="18"/>
              </w:rPr>
            </w:pPr>
            <w:r>
              <w:rPr>
                <w:sz w:val="18"/>
                <w:szCs w:val="18"/>
              </w:rPr>
              <w:t>1.43×10</w:t>
            </w:r>
            <w:r>
              <w:rPr>
                <w:sz w:val="18"/>
                <w:szCs w:val="18"/>
                <w:vertAlign w:val="superscript"/>
              </w:rPr>
              <w:t>-1</w:t>
            </w:r>
          </w:p>
        </w:tc>
        <w:tc>
          <w:tcPr>
            <w:tcW w:w="936" w:type="dxa"/>
            <w:noWrap w:val="0"/>
            <w:vAlign w:val="center"/>
          </w:tcPr>
          <w:p>
            <w:pPr>
              <w:spacing w:line="480" w:lineRule="exact"/>
              <w:jc w:val="center"/>
              <w:rPr>
                <w:sz w:val="18"/>
                <w:szCs w:val="18"/>
              </w:rPr>
            </w:pPr>
            <w:r>
              <w:rPr>
                <w:sz w:val="18"/>
                <w:szCs w:val="18"/>
              </w:rPr>
              <w:t>4.89×10</w:t>
            </w:r>
            <w:r>
              <w:rPr>
                <w:sz w:val="18"/>
                <w:szCs w:val="18"/>
                <w:vertAlign w:val="superscript"/>
              </w:rPr>
              <w:t>-3</w:t>
            </w:r>
          </w:p>
        </w:tc>
        <w:tc>
          <w:tcPr>
            <w:tcW w:w="913" w:type="dxa"/>
            <w:noWrap w:val="0"/>
            <w:vAlign w:val="center"/>
          </w:tcPr>
          <w:p>
            <w:pPr>
              <w:spacing w:line="480" w:lineRule="exact"/>
              <w:jc w:val="center"/>
              <w:rPr>
                <w:sz w:val="18"/>
                <w:szCs w:val="18"/>
              </w:rPr>
            </w:pPr>
            <w:r>
              <w:rPr>
                <w:sz w:val="18"/>
                <w:szCs w:val="18"/>
              </w:rPr>
              <w:t>7.31×10</w:t>
            </w:r>
            <w:r>
              <w:rPr>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noWrap/>
            <w:vAlign w:val="center"/>
          </w:tcPr>
          <w:p>
            <w:pPr>
              <w:spacing w:line="480" w:lineRule="exact"/>
              <w:jc w:val="center"/>
              <w:rPr>
                <w:sz w:val="18"/>
                <w:szCs w:val="18"/>
              </w:rPr>
            </w:pPr>
            <w:r>
              <w:rPr>
                <w:sz w:val="18"/>
                <w:szCs w:val="18"/>
              </w:rPr>
              <w:t>0.64</w:t>
            </w:r>
          </w:p>
        </w:tc>
        <w:tc>
          <w:tcPr>
            <w:tcW w:w="913" w:type="dxa"/>
            <w:shd w:val="clear" w:color="auto" w:fill="auto"/>
            <w:noWrap/>
            <w:vAlign w:val="center"/>
          </w:tcPr>
          <w:p>
            <w:pPr>
              <w:spacing w:line="480" w:lineRule="exact"/>
              <w:jc w:val="center"/>
              <w:rPr>
                <w:sz w:val="18"/>
                <w:szCs w:val="18"/>
              </w:rPr>
            </w:pPr>
            <w:r>
              <w:rPr>
                <w:sz w:val="18"/>
                <w:szCs w:val="18"/>
              </w:rPr>
              <w:t>0.73</w:t>
            </w:r>
          </w:p>
        </w:tc>
        <w:tc>
          <w:tcPr>
            <w:tcW w:w="913" w:type="dxa"/>
            <w:shd w:val="clear" w:color="auto" w:fill="F3F3F3"/>
            <w:noWrap/>
            <w:vAlign w:val="center"/>
          </w:tcPr>
          <w:p>
            <w:pPr>
              <w:spacing w:line="480" w:lineRule="exact"/>
              <w:jc w:val="center"/>
              <w:rPr>
                <w:sz w:val="18"/>
                <w:szCs w:val="18"/>
              </w:rPr>
            </w:pPr>
            <w:r>
              <w:rPr>
                <w:sz w:val="18"/>
                <w:szCs w:val="18"/>
              </w:rPr>
              <w:t>3.06</w:t>
            </w:r>
          </w:p>
        </w:tc>
        <w:tc>
          <w:tcPr>
            <w:tcW w:w="936" w:type="dxa"/>
            <w:shd w:val="clear" w:color="auto" w:fill="auto"/>
            <w:noWrap/>
            <w:vAlign w:val="center"/>
          </w:tcPr>
          <w:p>
            <w:pPr>
              <w:spacing w:line="480" w:lineRule="exact"/>
              <w:jc w:val="center"/>
              <w:rPr>
                <w:sz w:val="18"/>
                <w:szCs w:val="18"/>
              </w:rPr>
            </w:pPr>
            <w:r>
              <w:rPr>
                <w:sz w:val="18"/>
                <w:szCs w:val="18"/>
              </w:rPr>
              <w:t>24.74</w:t>
            </w:r>
          </w:p>
        </w:tc>
        <w:tc>
          <w:tcPr>
            <w:tcW w:w="1116" w:type="dxa"/>
            <w:shd w:val="clear" w:color="auto" w:fill="auto"/>
            <w:noWrap/>
            <w:vAlign w:val="center"/>
          </w:tcPr>
          <w:p>
            <w:pPr>
              <w:spacing w:line="480" w:lineRule="exact"/>
              <w:jc w:val="center"/>
              <w:rPr>
                <w:sz w:val="18"/>
                <w:szCs w:val="18"/>
              </w:rPr>
            </w:pPr>
            <w:r>
              <w:rPr>
                <w:sz w:val="18"/>
                <w:szCs w:val="18"/>
              </w:rPr>
              <w:t>18.77</w:t>
            </w:r>
          </w:p>
        </w:tc>
        <w:tc>
          <w:tcPr>
            <w:tcW w:w="913" w:type="dxa"/>
            <w:noWrap w:val="0"/>
            <w:vAlign w:val="center"/>
          </w:tcPr>
          <w:p>
            <w:pPr>
              <w:spacing w:line="480" w:lineRule="exact"/>
              <w:jc w:val="center"/>
              <w:rPr>
                <w:sz w:val="18"/>
                <w:szCs w:val="18"/>
              </w:rPr>
            </w:pPr>
            <w:r>
              <w:rPr>
                <w:sz w:val="18"/>
                <w:szCs w:val="18"/>
              </w:rPr>
              <w:t>0.52</w:t>
            </w:r>
          </w:p>
        </w:tc>
        <w:tc>
          <w:tcPr>
            <w:tcW w:w="1836" w:type="dxa"/>
            <w:noWrap w:val="0"/>
            <w:vAlign w:val="center"/>
          </w:tcPr>
          <w:p>
            <w:pPr>
              <w:spacing w:line="480" w:lineRule="exact"/>
              <w:jc w:val="center"/>
              <w:rPr>
                <w:sz w:val="18"/>
                <w:szCs w:val="18"/>
              </w:rPr>
            </w:pPr>
            <w:r>
              <w:rPr>
                <w:sz w:val="18"/>
                <w:szCs w:val="18"/>
              </w:rPr>
              <w:t>34.59</w:t>
            </w:r>
          </w:p>
        </w:tc>
        <w:tc>
          <w:tcPr>
            <w:tcW w:w="936" w:type="dxa"/>
            <w:noWrap w:val="0"/>
            <w:vAlign w:val="center"/>
          </w:tcPr>
          <w:p>
            <w:pPr>
              <w:spacing w:line="480" w:lineRule="exact"/>
              <w:jc w:val="center"/>
              <w:rPr>
                <w:sz w:val="18"/>
                <w:szCs w:val="18"/>
              </w:rPr>
            </w:pPr>
            <w:r>
              <w:rPr>
                <w:sz w:val="18"/>
                <w:szCs w:val="18"/>
              </w:rPr>
              <w:t>26.67</w:t>
            </w:r>
          </w:p>
        </w:tc>
        <w:tc>
          <w:tcPr>
            <w:tcW w:w="913" w:type="dxa"/>
            <w:noWrap w:val="0"/>
            <w:vAlign w:val="center"/>
          </w:tcPr>
          <w:p>
            <w:pPr>
              <w:spacing w:line="480" w:lineRule="exact"/>
              <w:jc w:val="center"/>
              <w:rPr>
                <w:sz w:val="18"/>
                <w:szCs w:val="18"/>
              </w:rPr>
            </w:pPr>
            <w:r>
              <w:rPr>
                <w:sz w:val="18"/>
                <w:szCs w:val="18"/>
              </w:rPr>
              <w:t>1.68</w:t>
            </w:r>
          </w:p>
        </w:tc>
        <w:tc>
          <w:tcPr>
            <w:tcW w:w="936" w:type="dxa"/>
            <w:noWrap w:val="0"/>
            <w:vAlign w:val="center"/>
          </w:tcPr>
          <w:p>
            <w:pPr>
              <w:spacing w:line="480" w:lineRule="exact"/>
              <w:jc w:val="center"/>
              <w:rPr>
                <w:sz w:val="18"/>
                <w:szCs w:val="18"/>
              </w:rPr>
            </w:pPr>
            <w:r>
              <w:rPr>
                <w:sz w:val="18"/>
                <w:szCs w:val="18"/>
              </w:rPr>
              <w:t>28.62</w:t>
            </w:r>
          </w:p>
        </w:tc>
        <w:tc>
          <w:tcPr>
            <w:tcW w:w="936" w:type="dxa"/>
            <w:noWrap w:val="0"/>
            <w:vAlign w:val="center"/>
          </w:tcPr>
          <w:p>
            <w:pPr>
              <w:spacing w:line="480" w:lineRule="exact"/>
              <w:jc w:val="center"/>
              <w:rPr>
                <w:sz w:val="18"/>
                <w:szCs w:val="18"/>
              </w:rPr>
            </w:pPr>
            <w:r>
              <w:rPr>
                <w:sz w:val="18"/>
                <w:szCs w:val="18"/>
              </w:rPr>
              <w:t>0.98</w:t>
            </w:r>
          </w:p>
        </w:tc>
        <w:tc>
          <w:tcPr>
            <w:tcW w:w="913" w:type="dxa"/>
            <w:noWrap w:val="0"/>
            <w:vAlign w:val="center"/>
          </w:tcPr>
          <w:p>
            <w:pPr>
              <w:spacing w:line="480" w:lineRule="exact"/>
              <w:jc w:val="center"/>
              <w:rPr>
                <w:sz w:val="18"/>
                <w:szCs w:val="18"/>
              </w:rPr>
            </w:pPr>
            <w:r>
              <w:rPr>
                <w:sz w:val="18"/>
                <w:szCs w:val="18"/>
              </w:rPr>
              <w:t>14.63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97" w:type="dxa"/>
            <w:vMerge w:val="restart"/>
            <w:shd w:val="clear" w:color="auto" w:fill="auto"/>
            <w:noWrap w:val="0"/>
            <w:vAlign w:val="center"/>
          </w:tcPr>
          <w:p>
            <w:pPr>
              <w:widowControl/>
              <w:adjustRightInd w:val="0"/>
              <w:snapToGrid w:val="0"/>
              <w:spacing w:line="480" w:lineRule="exact"/>
              <w:jc w:val="center"/>
              <w:rPr>
                <w:kern w:val="0"/>
                <w:sz w:val="18"/>
                <w:szCs w:val="18"/>
              </w:rPr>
            </w:pPr>
            <w:r>
              <w:rPr>
                <w:kern w:val="0"/>
                <w:sz w:val="18"/>
                <w:szCs w:val="18"/>
              </w:rPr>
              <w:t>NO</w:t>
            </w:r>
            <w:r>
              <w:rPr>
                <w:kern w:val="0"/>
                <w:sz w:val="18"/>
                <w:szCs w:val="18"/>
                <w:vertAlign w:val="subscript"/>
              </w:rPr>
              <w:t>2</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913" w:type="dxa"/>
            <w:shd w:val="clear" w:color="auto" w:fill="auto"/>
            <w:noWrap/>
            <w:vAlign w:val="center"/>
          </w:tcPr>
          <w:p>
            <w:pPr>
              <w:spacing w:line="480" w:lineRule="exact"/>
              <w:jc w:val="center"/>
              <w:rPr>
                <w:sz w:val="18"/>
                <w:szCs w:val="18"/>
              </w:rPr>
            </w:pPr>
            <w:r>
              <w:rPr>
                <w:sz w:val="18"/>
                <w:szCs w:val="18"/>
              </w:rPr>
              <w:t>0.0217</w:t>
            </w:r>
          </w:p>
        </w:tc>
        <w:tc>
          <w:tcPr>
            <w:tcW w:w="913" w:type="dxa"/>
            <w:shd w:val="clear" w:color="auto" w:fill="auto"/>
            <w:noWrap/>
            <w:vAlign w:val="center"/>
          </w:tcPr>
          <w:p>
            <w:pPr>
              <w:spacing w:line="480" w:lineRule="exact"/>
              <w:jc w:val="center"/>
              <w:rPr>
                <w:sz w:val="18"/>
                <w:szCs w:val="18"/>
              </w:rPr>
            </w:pPr>
            <w:r>
              <w:rPr>
                <w:sz w:val="18"/>
                <w:szCs w:val="18"/>
              </w:rPr>
              <w:t>0.0248</w:t>
            </w:r>
          </w:p>
        </w:tc>
        <w:tc>
          <w:tcPr>
            <w:tcW w:w="913" w:type="dxa"/>
            <w:shd w:val="clear" w:color="auto" w:fill="F3F3F3"/>
            <w:noWrap/>
            <w:vAlign w:val="center"/>
          </w:tcPr>
          <w:p>
            <w:pPr>
              <w:spacing w:line="480" w:lineRule="exact"/>
              <w:jc w:val="center"/>
              <w:rPr>
                <w:sz w:val="18"/>
                <w:szCs w:val="18"/>
              </w:rPr>
            </w:pPr>
            <w:r>
              <w:rPr>
                <w:sz w:val="18"/>
                <w:szCs w:val="18"/>
              </w:rPr>
              <w:t>0.1035</w:t>
            </w:r>
          </w:p>
        </w:tc>
        <w:tc>
          <w:tcPr>
            <w:tcW w:w="936" w:type="dxa"/>
            <w:shd w:val="clear" w:color="auto" w:fill="auto"/>
            <w:noWrap/>
            <w:vAlign w:val="center"/>
          </w:tcPr>
          <w:p>
            <w:pPr>
              <w:spacing w:line="480" w:lineRule="exact"/>
              <w:jc w:val="center"/>
              <w:rPr>
                <w:b/>
                <w:sz w:val="18"/>
                <w:szCs w:val="18"/>
              </w:rPr>
            </w:pPr>
            <w:r>
              <w:rPr>
                <w:b/>
                <w:sz w:val="18"/>
                <w:szCs w:val="18"/>
              </w:rPr>
              <w:t>0.2745</w:t>
            </w:r>
          </w:p>
        </w:tc>
        <w:tc>
          <w:tcPr>
            <w:tcW w:w="1116" w:type="dxa"/>
            <w:shd w:val="clear" w:color="auto" w:fill="auto"/>
            <w:noWrap/>
            <w:vAlign w:val="center"/>
          </w:tcPr>
          <w:p>
            <w:pPr>
              <w:spacing w:line="480" w:lineRule="exact"/>
              <w:jc w:val="center"/>
              <w:rPr>
                <w:sz w:val="18"/>
                <w:szCs w:val="18"/>
              </w:rPr>
            </w:pPr>
            <w:r>
              <w:rPr>
                <w:sz w:val="18"/>
                <w:szCs w:val="18"/>
              </w:rPr>
              <w:t>0.1411</w:t>
            </w:r>
          </w:p>
        </w:tc>
        <w:tc>
          <w:tcPr>
            <w:tcW w:w="913" w:type="dxa"/>
            <w:noWrap w:val="0"/>
            <w:vAlign w:val="center"/>
          </w:tcPr>
          <w:p>
            <w:pPr>
              <w:spacing w:line="480" w:lineRule="exact"/>
              <w:jc w:val="center"/>
              <w:rPr>
                <w:sz w:val="18"/>
                <w:szCs w:val="18"/>
              </w:rPr>
            </w:pPr>
            <w:r>
              <w:rPr>
                <w:sz w:val="18"/>
                <w:szCs w:val="18"/>
              </w:rPr>
              <w:t>0.0176</w:t>
            </w:r>
          </w:p>
        </w:tc>
        <w:tc>
          <w:tcPr>
            <w:tcW w:w="1836" w:type="dxa"/>
            <w:noWrap w:val="0"/>
            <w:vAlign w:val="center"/>
          </w:tcPr>
          <w:p>
            <w:pPr>
              <w:spacing w:line="480" w:lineRule="exact"/>
              <w:jc w:val="center"/>
              <w:rPr>
                <w:b/>
                <w:sz w:val="18"/>
                <w:szCs w:val="18"/>
              </w:rPr>
            </w:pPr>
            <w:r>
              <w:rPr>
                <w:b/>
                <w:sz w:val="18"/>
                <w:szCs w:val="18"/>
              </w:rPr>
              <w:t>0.4251</w:t>
            </w:r>
          </w:p>
        </w:tc>
        <w:tc>
          <w:tcPr>
            <w:tcW w:w="936" w:type="dxa"/>
            <w:noWrap w:val="0"/>
            <w:vAlign w:val="center"/>
          </w:tcPr>
          <w:p>
            <w:pPr>
              <w:spacing w:line="480" w:lineRule="exact"/>
              <w:jc w:val="center"/>
              <w:rPr>
                <w:sz w:val="18"/>
                <w:szCs w:val="18"/>
              </w:rPr>
            </w:pPr>
            <w:r>
              <w:rPr>
                <w:sz w:val="18"/>
                <w:szCs w:val="18"/>
              </w:rPr>
              <w:t>0.1916</w:t>
            </w:r>
          </w:p>
        </w:tc>
        <w:tc>
          <w:tcPr>
            <w:tcW w:w="913" w:type="dxa"/>
            <w:noWrap w:val="0"/>
            <w:vAlign w:val="center"/>
          </w:tcPr>
          <w:p>
            <w:pPr>
              <w:spacing w:line="480" w:lineRule="exact"/>
              <w:jc w:val="center"/>
              <w:rPr>
                <w:sz w:val="18"/>
                <w:szCs w:val="18"/>
              </w:rPr>
            </w:pPr>
            <w:r>
              <w:rPr>
                <w:sz w:val="18"/>
                <w:szCs w:val="18"/>
              </w:rPr>
              <w:t>0.0567</w:t>
            </w:r>
          </w:p>
        </w:tc>
        <w:tc>
          <w:tcPr>
            <w:tcW w:w="936" w:type="dxa"/>
            <w:noWrap w:val="0"/>
            <w:vAlign w:val="center"/>
          </w:tcPr>
          <w:p>
            <w:pPr>
              <w:spacing w:line="480" w:lineRule="exact"/>
              <w:jc w:val="center"/>
              <w:rPr>
                <w:sz w:val="18"/>
                <w:szCs w:val="18"/>
              </w:rPr>
            </w:pPr>
            <w:r>
              <w:rPr>
                <w:sz w:val="18"/>
                <w:szCs w:val="18"/>
              </w:rPr>
              <w:t>0.1022</w:t>
            </w:r>
          </w:p>
        </w:tc>
        <w:tc>
          <w:tcPr>
            <w:tcW w:w="936" w:type="dxa"/>
            <w:noWrap w:val="0"/>
            <w:vAlign w:val="center"/>
          </w:tcPr>
          <w:p>
            <w:pPr>
              <w:spacing w:line="480" w:lineRule="exact"/>
              <w:jc w:val="center"/>
              <w:rPr>
                <w:sz w:val="18"/>
                <w:szCs w:val="18"/>
              </w:rPr>
            </w:pPr>
            <w:r>
              <w:rPr>
                <w:sz w:val="18"/>
                <w:szCs w:val="18"/>
              </w:rPr>
              <w:t>0.0331</w:t>
            </w:r>
          </w:p>
        </w:tc>
        <w:tc>
          <w:tcPr>
            <w:tcW w:w="913" w:type="dxa"/>
            <w:noWrap w:val="0"/>
            <w:vAlign w:val="center"/>
          </w:tcPr>
          <w:p>
            <w:pPr>
              <w:spacing w:line="480" w:lineRule="exact"/>
              <w:jc w:val="center"/>
              <w:rPr>
                <w:sz w:val="18"/>
                <w:szCs w:val="18"/>
              </w:rPr>
            </w:pPr>
            <w:r>
              <w:rPr>
                <w:sz w:val="18"/>
                <w:szCs w:val="18"/>
              </w:rPr>
              <w:t>0.0281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auto"/>
            <w:noWrap/>
            <w:vAlign w:val="center"/>
          </w:tcPr>
          <w:p>
            <w:pPr>
              <w:spacing w:line="480" w:lineRule="exact"/>
              <w:jc w:val="center"/>
              <w:rPr>
                <w:sz w:val="18"/>
                <w:szCs w:val="18"/>
              </w:rPr>
            </w:pPr>
            <w:r>
              <w:rPr>
                <w:sz w:val="18"/>
                <w:szCs w:val="18"/>
              </w:rPr>
              <w:t>/</w:t>
            </w:r>
          </w:p>
        </w:tc>
        <w:tc>
          <w:tcPr>
            <w:tcW w:w="913" w:type="dxa"/>
            <w:shd w:val="clear" w:color="auto" w:fill="F3F3F3"/>
            <w:noWrap/>
            <w:vAlign w:val="center"/>
          </w:tcPr>
          <w:p>
            <w:pPr>
              <w:spacing w:line="480" w:lineRule="exact"/>
              <w:jc w:val="center"/>
              <w:rPr>
                <w:sz w:val="18"/>
                <w:szCs w:val="18"/>
              </w:rPr>
            </w:pPr>
            <w:r>
              <w:rPr>
                <w:sz w:val="18"/>
                <w:szCs w:val="18"/>
              </w:rPr>
              <w:t>/</w:t>
            </w:r>
          </w:p>
        </w:tc>
        <w:tc>
          <w:tcPr>
            <w:tcW w:w="936" w:type="dxa"/>
            <w:shd w:val="clear" w:color="auto" w:fill="auto"/>
            <w:noWrap/>
            <w:vAlign w:val="center"/>
          </w:tcPr>
          <w:p>
            <w:pPr>
              <w:spacing w:line="480" w:lineRule="exact"/>
              <w:jc w:val="center"/>
              <w:rPr>
                <w:sz w:val="18"/>
                <w:szCs w:val="18"/>
              </w:rPr>
            </w:pPr>
            <w:r>
              <w:rPr>
                <w:sz w:val="18"/>
                <w:szCs w:val="18"/>
              </w:rPr>
              <w:t>0.0540</w:t>
            </w:r>
          </w:p>
        </w:tc>
        <w:tc>
          <w:tcPr>
            <w:tcW w:w="1116" w:type="dxa"/>
            <w:shd w:val="clear" w:color="auto" w:fill="auto"/>
            <w:noWrap/>
            <w:vAlign w:val="center"/>
          </w:tcPr>
          <w:p>
            <w:pPr>
              <w:spacing w:line="480" w:lineRule="exact"/>
              <w:jc w:val="center"/>
              <w:rPr>
                <w:sz w:val="18"/>
                <w:szCs w:val="18"/>
              </w:rPr>
            </w:pPr>
            <w:r>
              <w:rPr>
                <w:sz w:val="18"/>
                <w:szCs w:val="18"/>
              </w:rPr>
              <w:t>0.0360</w:t>
            </w:r>
          </w:p>
        </w:tc>
        <w:tc>
          <w:tcPr>
            <w:tcW w:w="913" w:type="dxa"/>
            <w:noWrap w:val="0"/>
            <w:vAlign w:val="center"/>
          </w:tcPr>
          <w:p>
            <w:pPr>
              <w:spacing w:line="480" w:lineRule="exact"/>
              <w:jc w:val="center"/>
              <w:rPr>
                <w:sz w:val="18"/>
                <w:szCs w:val="18"/>
              </w:rPr>
            </w:pPr>
            <w:r>
              <w:rPr>
                <w:sz w:val="18"/>
                <w:szCs w:val="18"/>
              </w:rPr>
              <w:t>/</w:t>
            </w:r>
          </w:p>
        </w:tc>
        <w:tc>
          <w:tcPr>
            <w:tcW w:w="1836" w:type="dxa"/>
            <w:noWrap w:val="0"/>
            <w:vAlign w:val="center"/>
          </w:tcPr>
          <w:p>
            <w:pPr>
              <w:spacing w:line="480" w:lineRule="exact"/>
              <w:jc w:val="center"/>
              <w:rPr>
                <w:sz w:val="18"/>
                <w:szCs w:val="18"/>
              </w:rPr>
            </w:pPr>
            <w:r>
              <w:rPr>
                <w:sz w:val="18"/>
                <w:szCs w:val="18"/>
              </w:rPr>
              <w:t>0.0630</w:t>
            </w:r>
          </w:p>
        </w:tc>
        <w:tc>
          <w:tcPr>
            <w:tcW w:w="936" w:type="dxa"/>
            <w:noWrap w:val="0"/>
            <w:vAlign w:val="center"/>
          </w:tcPr>
          <w:p>
            <w:pPr>
              <w:spacing w:line="480" w:lineRule="exact"/>
              <w:jc w:val="center"/>
              <w:rPr>
                <w:sz w:val="18"/>
                <w:szCs w:val="18"/>
              </w:rPr>
            </w:pPr>
            <w:r>
              <w:rPr>
                <w:sz w:val="18"/>
                <w:szCs w:val="18"/>
              </w:rPr>
              <w:t>0.0630</w:t>
            </w:r>
          </w:p>
        </w:tc>
        <w:tc>
          <w:tcPr>
            <w:tcW w:w="913" w:type="dxa"/>
            <w:noWrap w:val="0"/>
            <w:vAlign w:val="center"/>
          </w:tcPr>
          <w:p>
            <w:pPr>
              <w:spacing w:line="480" w:lineRule="exact"/>
              <w:jc w:val="center"/>
              <w:rPr>
                <w:sz w:val="18"/>
                <w:szCs w:val="18"/>
              </w:rPr>
            </w:pPr>
            <w:r>
              <w:rPr>
                <w:sz w:val="18"/>
                <w:szCs w:val="18"/>
              </w:rPr>
              <w:t>/</w:t>
            </w:r>
          </w:p>
        </w:tc>
        <w:tc>
          <w:tcPr>
            <w:tcW w:w="936" w:type="dxa"/>
            <w:noWrap w:val="0"/>
            <w:vAlign w:val="center"/>
          </w:tcPr>
          <w:p>
            <w:pPr>
              <w:spacing w:line="480" w:lineRule="exact"/>
              <w:jc w:val="center"/>
              <w:rPr>
                <w:sz w:val="18"/>
                <w:szCs w:val="18"/>
              </w:rPr>
            </w:pPr>
            <w:r>
              <w:rPr>
                <w:sz w:val="18"/>
                <w:szCs w:val="18"/>
              </w:rPr>
              <w:t>0.0570</w:t>
            </w:r>
          </w:p>
        </w:tc>
        <w:tc>
          <w:tcPr>
            <w:tcW w:w="936" w:type="dxa"/>
            <w:noWrap w:val="0"/>
            <w:vAlign w:val="center"/>
          </w:tcPr>
          <w:p>
            <w:pPr>
              <w:spacing w:line="480" w:lineRule="exact"/>
              <w:jc w:val="center"/>
              <w:rPr>
                <w:sz w:val="18"/>
                <w:szCs w:val="18"/>
              </w:rPr>
            </w:pPr>
            <w:r>
              <w:rPr>
                <w:sz w:val="18"/>
                <w:szCs w:val="18"/>
              </w:rPr>
              <w:t>/</w:t>
            </w:r>
          </w:p>
        </w:tc>
        <w:tc>
          <w:tcPr>
            <w:tcW w:w="913" w:type="dxa"/>
            <w:noWrap w:val="0"/>
            <w:vAlign w:val="center"/>
          </w:tcPr>
          <w:p>
            <w:pPr>
              <w:spacing w:line="480" w:lineRule="exact"/>
              <w:jc w:val="center"/>
              <w:rPr>
                <w:sz w:val="18"/>
                <w:szCs w:val="18"/>
              </w:rPr>
            </w:pPr>
            <w:r>
              <w:rPr>
                <w:sz w:val="18"/>
                <w:szCs w:val="18"/>
              </w:rPr>
              <w:t>0.0480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913" w:type="dxa"/>
            <w:shd w:val="clear" w:color="auto" w:fill="auto"/>
            <w:noWrap/>
            <w:vAlign w:val="center"/>
          </w:tcPr>
          <w:p>
            <w:pPr>
              <w:spacing w:line="480" w:lineRule="exact"/>
              <w:jc w:val="center"/>
              <w:rPr>
                <w:sz w:val="18"/>
                <w:szCs w:val="18"/>
              </w:rPr>
            </w:pPr>
            <w:r>
              <w:rPr>
                <w:sz w:val="18"/>
                <w:szCs w:val="18"/>
              </w:rPr>
              <w:t>0.0217</w:t>
            </w:r>
          </w:p>
        </w:tc>
        <w:tc>
          <w:tcPr>
            <w:tcW w:w="913" w:type="dxa"/>
            <w:shd w:val="clear" w:color="auto" w:fill="auto"/>
            <w:noWrap/>
            <w:vAlign w:val="center"/>
          </w:tcPr>
          <w:p>
            <w:pPr>
              <w:spacing w:line="480" w:lineRule="exact"/>
              <w:jc w:val="center"/>
              <w:rPr>
                <w:sz w:val="18"/>
                <w:szCs w:val="18"/>
              </w:rPr>
            </w:pPr>
            <w:r>
              <w:rPr>
                <w:sz w:val="18"/>
                <w:szCs w:val="18"/>
              </w:rPr>
              <w:t>0.0248</w:t>
            </w:r>
          </w:p>
        </w:tc>
        <w:tc>
          <w:tcPr>
            <w:tcW w:w="913" w:type="dxa"/>
            <w:shd w:val="clear" w:color="auto" w:fill="F3F3F3"/>
            <w:noWrap/>
            <w:vAlign w:val="center"/>
          </w:tcPr>
          <w:p>
            <w:pPr>
              <w:spacing w:line="480" w:lineRule="exact"/>
              <w:jc w:val="center"/>
              <w:rPr>
                <w:sz w:val="18"/>
                <w:szCs w:val="18"/>
              </w:rPr>
            </w:pPr>
            <w:r>
              <w:rPr>
                <w:sz w:val="18"/>
                <w:szCs w:val="18"/>
              </w:rPr>
              <w:t>0.1035</w:t>
            </w:r>
          </w:p>
        </w:tc>
        <w:tc>
          <w:tcPr>
            <w:tcW w:w="936" w:type="dxa"/>
            <w:shd w:val="clear" w:color="auto" w:fill="auto"/>
            <w:noWrap/>
            <w:vAlign w:val="center"/>
          </w:tcPr>
          <w:p>
            <w:pPr>
              <w:spacing w:line="480" w:lineRule="exact"/>
              <w:jc w:val="center"/>
              <w:rPr>
                <w:sz w:val="18"/>
                <w:szCs w:val="18"/>
              </w:rPr>
            </w:pPr>
            <w:r>
              <w:rPr>
                <w:sz w:val="18"/>
                <w:szCs w:val="18"/>
              </w:rPr>
              <w:t>0.3285</w:t>
            </w:r>
          </w:p>
        </w:tc>
        <w:tc>
          <w:tcPr>
            <w:tcW w:w="1116" w:type="dxa"/>
            <w:shd w:val="clear" w:color="auto" w:fill="auto"/>
            <w:noWrap/>
            <w:vAlign w:val="center"/>
          </w:tcPr>
          <w:p>
            <w:pPr>
              <w:spacing w:line="480" w:lineRule="exact"/>
              <w:jc w:val="center"/>
              <w:rPr>
                <w:sz w:val="18"/>
                <w:szCs w:val="18"/>
              </w:rPr>
            </w:pPr>
            <w:r>
              <w:rPr>
                <w:sz w:val="18"/>
                <w:szCs w:val="18"/>
              </w:rPr>
              <w:t>0.1771</w:t>
            </w:r>
          </w:p>
        </w:tc>
        <w:tc>
          <w:tcPr>
            <w:tcW w:w="913" w:type="dxa"/>
            <w:noWrap w:val="0"/>
            <w:vAlign w:val="center"/>
          </w:tcPr>
          <w:p>
            <w:pPr>
              <w:spacing w:line="480" w:lineRule="exact"/>
              <w:jc w:val="center"/>
              <w:rPr>
                <w:sz w:val="18"/>
                <w:szCs w:val="18"/>
              </w:rPr>
            </w:pPr>
            <w:r>
              <w:rPr>
                <w:sz w:val="18"/>
                <w:szCs w:val="18"/>
              </w:rPr>
              <w:t>0.0176</w:t>
            </w:r>
          </w:p>
        </w:tc>
        <w:tc>
          <w:tcPr>
            <w:tcW w:w="1836" w:type="dxa"/>
            <w:noWrap w:val="0"/>
            <w:vAlign w:val="center"/>
          </w:tcPr>
          <w:p>
            <w:pPr>
              <w:spacing w:line="480" w:lineRule="exact"/>
              <w:jc w:val="center"/>
              <w:rPr>
                <w:sz w:val="18"/>
                <w:szCs w:val="18"/>
              </w:rPr>
            </w:pPr>
            <w:r>
              <w:rPr>
                <w:sz w:val="18"/>
                <w:szCs w:val="18"/>
              </w:rPr>
              <w:t>0.4881</w:t>
            </w:r>
          </w:p>
        </w:tc>
        <w:tc>
          <w:tcPr>
            <w:tcW w:w="936" w:type="dxa"/>
            <w:noWrap w:val="0"/>
            <w:vAlign w:val="center"/>
          </w:tcPr>
          <w:p>
            <w:pPr>
              <w:spacing w:line="480" w:lineRule="exact"/>
              <w:jc w:val="center"/>
              <w:rPr>
                <w:b/>
                <w:sz w:val="18"/>
                <w:szCs w:val="18"/>
              </w:rPr>
            </w:pPr>
            <w:r>
              <w:rPr>
                <w:b/>
                <w:sz w:val="18"/>
                <w:szCs w:val="18"/>
              </w:rPr>
              <w:t>0.2546</w:t>
            </w:r>
          </w:p>
        </w:tc>
        <w:tc>
          <w:tcPr>
            <w:tcW w:w="913" w:type="dxa"/>
            <w:noWrap w:val="0"/>
            <w:vAlign w:val="center"/>
          </w:tcPr>
          <w:p>
            <w:pPr>
              <w:spacing w:line="480" w:lineRule="exact"/>
              <w:jc w:val="center"/>
              <w:rPr>
                <w:sz w:val="18"/>
                <w:szCs w:val="18"/>
              </w:rPr>
            </w:pPr>
            <w:r>
              <w:rPr>
                <w:sz w:val="18"/>
                <w:szCs w:val="18"/>
              </w:rPr>
              <w:t>0.0567</w:t>
            </w:r>
          </w:p>
        </w:tc>
        <w:tc>
          <w:tcPr>
            <w:tcW w:w="936" w:type="dxa"/>
            <w:noWrap w:val="0"/>
            <w:vAlign w:val="center"/>
          </w:tcPr>
          <w:p>
            <w:pPr>
              <w:spacing w:line="480" w:lineRule="exact"/>
              <w:jc w:val="center"/>
              <w:rPr>
                <w:sz w:val="18"/>
                <w:szCs w:val="18"/>
              </w:rPr>
            </w:pPr>
            <w:r>
              <w:rPr>
                <w:sz w:val="18"/>
                <w:szCs w:val="18"/>
              </w:rPr>
              <w:t>0.1592</w:t>
            </w:r>
          </w:p>
        </w:tc>
        <w:tc>
          <w:tcPr>
            <w:tcW w:w="936" w:type="dxa"/>
            <w:noWrap w:val="0"/>
            <w:vAlign w:val="center"/>
          </w:tcPr>
          <w:p>
            <w:pPr>
              <w:spacing w:line="480" w:lineRule="exact"/>
              <w:jc w:val="center"/>
              <w:rPr>
                <w:sz w:val="18"/>
                <w:szCs w:val="18"/>
              </w:rPr>
            </w:pPr>
            <w:r>
              <w:rPr>
                <w:sz w:val="18"/>
                <w:szCs w:val="18"/>
              </w:rPr>
              <w:t>0.0331</w:t>
            </w:r>
          </w:p>
        </w:tc>
        <w:tc>
          <w:tcPr>
            <w:tcW w:w="913" w:type="dxa"/>
            <w:noWrap w:val="0"/>
            <w:vAlign w:val="center"/>
          </w:tcPr>
          <w:p>
            <w:pPr>
              <w:spacing w:line="480" w:lineRule="exact"/>
              <w:jc w:val="center"/>
              <w:rPr>
                <w:sz w:val="18"/>
                <w:szCs w:val="18"/>
              </w:rPr>
            </w:pPr>
            <w:r>
              <w:rPr>
                <w:sz w:val="18"/>
                <w:szCs w:val="18"/>
              </w:rPr>
              <w:t>0.0761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913" w:type="dxa"/>
            <w:shd w:val="clear" w:color="auto" w:fill="auto"/>
            <w:noWrap/>
            <w:vAlign w:val="center"/>
          </w:tcPr>
          <w:p>
            <w:pPr>
              <w:spacing w:line="480" w:lineRule="exact"/>
              <w:jc w:val="center"/>
              <w:rPr>
                <w:sz w:val="18"/>
                <w:szCs w:val="18"/>
              </w:rPr>
            </w:pPr>
            <w:r>
              <w:rPr>
                <w:sz w:val="18"/>
                <w:szCs w:val="18"/>
              </w:rPr>
              <w:t>9.02</w:t>
            </w:r>
          </w:p>
        </w:tc>
        <w:tc>
          <w:tcPr>
            <w:tcW w:w="913" w:type="dxa"/>
            <w:shd w:val="clear" w:color="auto" w:fill="auto"/>
            <w:noWrap/>
            <w:vAlign w:val="center"/>
          </w:tcPr>
          <w:p>
            <w:pPr>
              <w:spacing w:line="480" w:lineRule="exact"/>
              <w:jc w:val="center"/>
              <w:rPr>
                <w:sz w:val="18"/>
                <w:szCs w:val="18"/>
              </w:rPr>
            </w:pPr>
            <w:r>
              <w:rPr>
                <w:sz w:val="18"/>
                <w:szCs w:val="18"/>
              </w:rPr>
              <w:t>10.32</w:t>
            </w:r>
          </w:p>
        </w:tc>
        <w:tc>
          <w:tcPr>
            <w:tcW w:w="913" w:type="dxa"/>
            <w:shd w:val="clear" w:color="auto" w:fill="F3F3F3"/>
            <w:noWrap/>
            <w:vAlign w:val="center"/>
          </w:tcPr>
          <w:p>
            <w:pPr>
              <w:spacing w:line="480" w:lineRule="exact"/>
              <w:jc w:val="center"/>
              <w:rPr>
                <w:sz w:val="18"/>
                <w:szCs w:val="18"/>
              </w:rPr>
            </w:pPr>
            <w:r>
              <w:rPr>
                <w:sz w:val="18"/>
                <w:szCs w:val="18"/>
              </w:rPr>
              <w:t>43.14</w:t>
            </w:r>
          </w:p>
        </w:tc>
        <w:tc>
          <w:tcPr>
            <w:tcW w:w="936" w:type="dxa"/>
            <w:shd w:val="clear" w:color="auto" w:fill="auto"/>
            <w:noWrap/>
            <w:vAlign w:val="center"/>
          </w:tcPr>
          <w:p>
            <w:pPr>
              <w:spacing w:line="480" w:lineRule="exact"/>
              <w:jc w:val="center"/>
              <w:rPr>
                <w:rFonts w:hint="eastAsia"/>
                <w:sz w:val="18"/>
                <w:szCs w:val="18"/>
              </w:rPr>
            </w:pPr>
            <w:r>
              <w:rPr>
                <w:rFonts w:hint="eastAsia"/>
                <w:sz w:val="18"/>
                <w:szCs w:val="18"/>
              </w:rPr>
              <w:t>136.88</w:t>
            </w:r>
          </w:p>
        </w:tc>
        <w:tc>
          <w:tcPr>
            <w:tcW w:w="1116" w:type="dxa"/>
            <w:shd w:val="clear" w:color="auto" w:fill="auto"/>
            <w:noWrap/>
            <w:vAlign w:val="center"/>
          </w:tcPr>
          <w:p>
            <w:pPr>
              <w:spacing w:line="480" w:lineRule="exact"/>
              <w:jc w:val="center"/>
              <w:rPr>
                <w:sz w:val="18"/>
                <w:szCs w:val="18"/>
              </w:rPr>
            </w:pPr>
            <w:r>
              <w:rPr>
                <w:sz w:val="18"/>
                <w:szCs w:val="18"/>
              </w:rPr>
              <w:t>73.79</w:t>
            </w:r>
          </w:p>
        </w:tc>
        <w:tc>
          <w:tcPr>
            <w:tcW w:w="913" w:type="dxa"/>
            <w:noWrap w:val="0"/>
            <w:vAlign w:val="center"/>
          </w:tcPr>
          <w:p>
            <w:pPr>
              <w:spacing w:line="480" w:lineRule="exact"/>
              <w:jc w:val="center"/>
              <w:rPr>
                <w:sz w:val="18"/>
                <w:szCs w:val="18"/>
              </w:rPr>
            </w:pPr>
            <w:r>
              <w:rPr>
                <w:sz w:val="18"/>
                <w:szCs w:val="18"/>
              </w:rPr>
              <w:t>7.34</w:t>
            </w:r>
          </w:p>
        </w:tc>
        <w:tc>
          <w:tcPr>
            <w:tcW w:w="1836" w:type="dxa"/>
            <w:noWrap w:val="0"/>
            <w:vAlign w:val="center"/>
          </w:tcPr>
          <w:p>
            <w:pPr>
              <w:spacing w:line="480" w:lineRule="exact"/>
              <w:jc w:val="center"/>
              <w:rPr>
                <w:rFonts w:hint="eastAsia"/>
                <w:sz w:val="18"/>
                <w:szCs w:val="18"/>
              </w:rPr>
            </w:pPr>
            <w:r>
              <w:rPr>
                <w:rFonts w:hint="eastAsia"/>
                <w:sz w:val="18"/>
                <w:szCs w:val="18"/>
              </w:rPr>
              <w:t>203.38</w:t>
            </w:r>
          </w:p>
        </w:tc>
        <w:tc>
          <w:tcPr>
            <w:tcW w:w="936" w:type="dxa"/>
            <w:noWrap w:val="0"/>
            <w:vAlign w:val="center"/>
          </w:tcPr>
          <w:p>
            <w:pPr>
              <w:spacing w:line="480" w:lineRule="exact"/>
              <w:jc w:val="center"/>
              <w:rPr>
                <w:rFonts w:hint="eastAsia"/>
                <w:sz w:val="18"/>
                <w:szCs w:val="18"/>
              </w:rPr>
            </w:pPr>
            <w:r>
              <w:rPr>
                <w:rFonts w:hint="eastAsia"/>
                <w:sz w:val="18"/>
                <w:szCs w:val="18"/>
              </w:rPr>
              <w:t>106.08</w:t>
            </w:r>
          </w:p>
        </w:tc>
        <w:tc>
          <w:tcPr>
            <w:tcW w:w="913" w:type="dxa"/>
            <w:noWrap w:val="0"/>
            <w:vAlign w:val="center"/>
          </w:tcPr>
          <w:p>
            <w:pPr>
              <w:spacing w:line="480" w:lineRule="exact"/>
              <w:jc w:val="center"/>
              <w:rPr>
                <w:sz w:val="18"/>
                <w:szCs w:val="18"/>
              </w:rPr>
            </w:pPr>
            <w:r>
              <w:rPr>
                <w:sz w:val="18"/>
                <w:szCs w:val="18"/>
              </w:rPr>
              <w:t>23.64</w:t>
            </w:r>
          </w:p>
        </w:tc>
        <w:tc>
          <w:tcPr>
            <w:tcW w:w="936" w:type="dxa"/>
            <w:noWrap w:val="0"/>
            <w:vAlign w:val="center"/>
          </w:tcPr>
          <w:p>
            <w:pPr>
              <w:spacing w:line="480" w:lineRule="exact"/>
              <w:jc w:val="center"/>
              <w:rPr>
                <w:sz w:val="18"/>
                <w:szCs w:val="18"/>
              </w:rPr>
            </w:pPr>
            <w:r>
              <w:rPr>
                <w:sz w:val="18"/>
                <w:szCs w:val="18"/>
              </w:rPr>
              <w:t>66.34</w:t>
            </w:r>
          </w:p>
        </w:tc>
        <w:tc>
          <w:tcPr>
            <w:tcW w:w="936" w:type="dxa"/>
            <w:noWrap w:val="0"/>
            <w:vAlign w:val="center"/>
          </w:tcPr>
          <w:p>
            <w:pPr>
              <w:spacing w:line="480" w:lineRule="exact"/>
              <w:jc w:val="center"/>
              <w:rPr>
                <w:sz w:val="18"/>
                <w:szCs w:val="18"/>
              </w:rPr>
            </w:pPr>
            <w:r>
              <w:rPr>
                <w:sz w:val="18"/>
                <w:szCs w:val="18"/>
              </w:rPr>
              <w:t>13.77</w:t>
            </w:r>
          </w:p>
        </w:tc>
        <w:tc>
          <w:tcPr>
            <w:tcW w:w="913" w:type="dxa"/>
            <w:noWrap w:val="0"/>
            <w:vAlign w:val="center"/>
          </w:tcPr>
          <w:p>
            <w:pPr>
              <w:spacing w:line="480" w:lineRule="exact"/>
              <w:jc w:val="center"/>
              <w:rPr>
                <w:sz w:val="18"/>
                <w:szCs w:val="18"/>
              </w:rPr>
            </w:pPr>
            <w:r>
              <w:rPr>
                <w:sz w:val="18"/>
                <w:szCs w:val="18"/>
              </w:rPr>
              <w:t>31.69</w:t>
            </w:r>
          </w:p>
        </w:tc>
      </w:tr>
    </w:tbl>
    <w:p>
      <w:pPr>
        <w:adjustRightInd w:val="0"/>
        <w:snapToGrid w:val="0"/>
        <w:spacing w:line="360" w:lineRule="auto"/>
        <w:rPr>
          <w:rFonts w:hint="eastAsia"/>
          <w:sz w:val="18"/>
          <w:szCs w:val="18"/>
        </w:rPr>
      </w:pPr>
      <w:r>
        <w:rPr>
          <w:sz w:val="18"/>
          <w:szCs w:val="18"/>
        </w:rPr>
        <w:t>注：* PM</w:t>
      </w:r>
      <w:r>
        <w:rPr>
          <w:sz w:val="18"/>
          <w:szCs w:val="18"/>
          <w:vertAlign w:val="subscript"/>
        </w:rPr>
        <w:t>10</w:t>
      </w:r>
      <w:r>
        <w:rPr>
          <w:sz w:val="18"/>
          <w:szCs w:val="18"/>
        </w:rPr>
        <w:t>的小时浓度标准按照</w:t>
      </w:r>
      <w:r>
        <w:rPr>
          <w:rFonts w:hint="eastAsia"/>
          <w:sz w:val="18"/>
          <w:szCs w:val="18"/>
        </w:rPr>
        <w:t>大气</w:t>
      </w:r>
      <w:r>
        <w:rPr>
          <w:sz w:val="18"/>
          <w:szCs w:val="18"/>
        </w:rPr>
        <w:t>导则要求为其日均浓度标准3倍</w:t>
      </w:r>
      <w:r>
        <w:rPr>
          <w:rFonts w:hint="eastAsia"/>
          <w:sz w:val="18"/>
          <w:szCs w:val="18"/>
        </w:rPr>
        <w:t>。</w:t>
      </w:r>
      <w:r>
        <w:rPr>
          <w:sz w:val="18"/>
          <w:szCs w:val="18"/>
        </w:rPr>
        <w:t xml:space="preserve"> </w:t>
      </w:r>
    </w:p>
    <w:p>
      <w:pPr>
        <w:adjustRightInd w:val="0"/>
        <w:snapToGrid w:val="0"/>
        <w:spacing w:line="360" w:lineRule="auto"/>
        <w:rPr>
          <w:rFonts w:hint="eastAsia"/>
          <w:szCs w:val="21"/>
        </w:rPr>
      </w:pPr>
    </w:p>
    <w:p>
      <w:pPr>
        <w:spacing w:line="360" w:lineRule="auto"/>
        <w:sectPr>
          <w:pgSz w:w="16838" w:h="11906" w:orient="landscape"/>
          <w:pgMar w:top="1418" w:right="1418" w:bottom="1418" w:left="1418" w:header="851" w:footer="992" w:gutter="0"/>
          <w:paperSrc w:first="20070" w:other="20070"/>
          <w:cols w:space="425" w:num="1"/>
          <w:docGrid w:linePitch="312" w:charSpace="0"/>
        </w:sectPr>
      </w:pPr>
    </w:p>
    <w:p>
      <w:pPr>
        <w:adjustRightInd w:val="0"/>
        <w:snapToGrid w:val="0"/>
        <w:spacing w:line="480" w:lineRule="exact"/>
        <w:ind w:firstLine="480"/>
        <w:rPr>
          <w:rFonts w:hint="eastAsia"/>
        </w:rPr>
      </w:pPr>
      <w:r>
        <w:rPr>
          <w:rFonts w:hint="eastAsia"/>
        </w:rPr>
        <w:t>为进一步分析技改项目NO</w:t>
      </w:r>
      <w:r>
        <w:rPr>
          <w:rFonts w:hint="eastAsia"/>
          <w:vertAlign w:val="subscript"/>
        </w:rPr>
        <w:t>2</w:t>
      </w:r>
      <w:r>
        <w:rPr>
          <w:rFonts w:hint="eastAsia"/>
        </w:rPr>
        <w:t>对各超标敏感点的影响，本评价对其超标的小时值（叠加现状背景值后）进行了统计，结果见表8-13。</w:t>
      </w:r>
    </w:p>
    <w:p>
      <w:pPr>
        <w:pStyle w:val="29"/>
        <w:spacing w:line="480" w:lineRule="exact"/>
        <w:rPr>
          <w:rFonts w:hint="eastAsia" w:ascii="宋体" w:hAnsi="宋体" w:eastAsia="宋体"/>
          <w:b/>
          <w:sz w:val="24"/>
          <w:szCs w:val="24"/>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3</w:t>
      </w:r>
      <w:r>
        <w:rPr>
          <w:rFonts w:ascii="宋体" w:hAnsi="宋体" w:eastAsia="宋体"/>
          <w:b/>
          <w:sz w:val="24"/>
          <w:szCs w:val="24"/>
        </w:rPr>
        <w:t xml:space="preserve">  关心点处</w:t>
      </w:r>
      <w:r>
        <w:rPr>
          <w:rFonts w:hint="eastAsia"/>
          <w:b/>
        </w:rPr>
        <w:t>NO</w:t>
      </w:r>
      <w:r>
        <w:rPr>
          <w:rFonts w:hint="eastAsia"/>
          <w:b/>
          <w:vertAlign w:val="subscript"/>
        </w:rPr>
        <w:t>2</w:t>
      </w:r>
      <w:r>
        <w:rPr>
          <w:rFonts w:ascii="宋体" w:hAnsi="宋体" w:eastAsia="宋体"/>
          <w:b/>
          <w:sz w:val="24"/>
        </w:rPr>
        <w:t>小时浓度叠加</w:t>
      </w:r>
      <w:r>
        <w:rPr>
          <w:rFonts w:hint="eastAsia" w:ascii="宋体" w:hAnsi="宋体" w:eastAsia="宋体"/>
          <w:b/>
          <w:sz w:val="24"/>
        </w:rPr>
        <w:t>超标频率统计</w:t>
      </w:r>
      <w:r>
        <w:rPr>
          <w:rFonts w:ascii="宋体" w:hAnsi="宋体" w:eastAsia="宋体"/>
          <w:b/>
          <w:sz w:val="24"/>
          <w:szCs w:val="24"/>
        </w:rPr>
        <w:t xml:space="preserve">     单位：µg/m</w:t>
      </w:r>
      <w:r>
        <w:rPr>
          <w:rFonts w:ascii="宋体" w:hAnsi="宋体" w:eastAsia="宋体"/>
          <w:b/>
          <w:sz w:val="24"/>
          <w:szCs w:val="24"/>
          <w:vertAlign w:val="superscript"/>
        </w:rPr>
        <w:t>3</w:t>
      </w:r>
    </w:p>
    <w:tbl>
      <w:tblPr>
        <w:tblStyle w:val="20"/>
        <w:tblW w:w="8331"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2"/>
        <w:gridCol w:w="676"/>
        <w:gridCol w:w="517"/>
        <w:gridCol w:w="457"/>
        <w:gridCol w:w="711"/>
        <w:gridCol w:w="1188"/>
        <w:gridCol w:w="1241"/>
        <w:gridCol w:w="1439"/>
        <w:gridCol w:w="103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restart"/>
            <w:shd w:val="clear" w:color="auto" w:fill="auto"/>
            <w:noWrap w:val="0"/>
            <w:vAlign w:val="center"/>
          </w:tcPr>
          <w:p>
            <w:pPr>
              <w:spacing w:line="240" w:lineRule="exact"/>
              <w:jc w:val="center"/>
              <w:rPr>
                <w:rFonts w:ascii="宋体" w:hAnsi="宋体" w:cs="宋体"/>
                <w:sz w:val="18"/>
                <w:szCs w:val="18"/>
              </w:rPr>
            </w:pPr>
            <w:r>
              <w:rPr>
                <w:rFonts w:hint="eastAsia"/>
                <w:sz w:val="18"/>
                <w:szCs w:val="18"/>
              </w:rPr>
              <w:t>环境保护目标</w:t>
            </w:r>
          </w:p>
        </w:tc>
        <w:tc>
          <w:tcPr>
            <w:tcW w:w="676"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浓度</w:t>
            </w:r>
          </w:p>
        </w:tc>
        <w:tc>
          <w:tcPr>
            <w:tcW w:w="517" w:type="dxa"/>
            <w:vMerge w:val="restart"/>
            <w:shd w:val="clear" w:color="auto" w:fill="auto"/>
            <w:noWrap w:val="0"/>
            <w:vAlign w:val="center"/>
          </w:tcPr>
          <w:p>
            <w:pPr>
              <w:spacing w:line="240" w:lineRule="exact"/>
              <w:jc w:val="center"/>
              <w:rPr>
                <w:rFonts w:ascii="宋体" w:hAnsi="宋体" w:cs="宋体"/>
                <w:sz w:val="18"/>
                <w:szCs w:val="18"/>
              </w:rPr>
            </w:pPr>
            <w:r>
              <w:rPr>
                <w:rFonts w:hint="eastAsia"/>
                <w:sz w:val="18"/>
                <w:szCs w:val="18"/>
              </w:rPr>
              <w:t>日期</w:t>
            </w:r>
          </w:p>
        </w:tc>
        <w:tc>
          <w:tcPr>
            <w:tcW w:w="457" w:type="dxa"/>
            <w:vMerge w:val="restart"/>
            <w:shd w:val="clear" w:color="auto" w:fill="auto"/>
            <w:noWrap w:val="0"/>
            <w:vAlign w:val="center"/>
          </w:tcPr>
          <w:p>
            <w:pPr>
              <w:spacing w:line="240" w:lineRule="exact"/>
              <w:jc w:val="center"/>
              <w:rPr>
                <w:rFonts w:ascii="宋体" w:hAnsi="宋体" w:cs="宋体"/>
                <w:sz w:val="18"/>
                <w:szCs w:val="18"/>
              </w:rPr>
            </w:pPr>
            <w:r>
              <w:rPr>
                <w:rFonts w:hint="eastAsia"/>
                <w:sz w:val="18"/>
                <w:szCs w:val="18"/>
              </w:rPr>
              <w:t>小时</w:t>
            </w:r>
          </w:p>
        </w:tc>
        <w:tc>
          <w:tcPr>
            <w:tcW w:w="5609" w:type="dxa"/>
            <w:gridSpan w:val="5"/>
            <w:shd w:val="clear" w:color="auto" w:fill="auto"/>
            <w:noWrap w:val="0"/>
            <w:vAlign w:val="center"/>
          </w:tcPr>
          <w:p>
            <w:pPr>
              <w:spacing w:line="240" w:lineRule="exact"/>
              <w:jc w:val="center"/>
              <w:rPr>
                <w:rFonts w:hint="eastAsia"/>
                <w:sz w:val="18"/>
                <w:szCs w:val="18"/>
              </w:rPr>
            </w:pPr>
            <w:r>
              <w:rPr>
                <w:rFonts w:hint="eastAsia"/>
                <w:sz w:val="18"/>
                <w:szCs w:val="18"/>
              </w:rPr>
              <w:t>NO</w:t>
            </w:r>
            <w:r>
              <w:rPr>
                <w:rFonts w:hint="eastAsia"/>
                <w:sz w:val="18"/>
                <w:szCs w:val="18"/>
                <w:vertAlign w:val="subscript"/>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rFonts w:ascii="宋体" w:hAnsi="宋体" w:cs="宋体"/>
                <w:sz w:val="18"/>
                <w:szCs w:val="18"/>
              </w:rPr>
            </w:pPr>
          </w:p>
        </w:tc>
        <w:tc>
          <w:tcPr>
            <w:tcW w:w="676"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排序</w:t>
            </w:r>
          </w:p>
        </w:tc>
        <w:tc>
          <w:tcPr>
            <w:tcW w:w="517" w:type="dxa"/>
            <w:vMerge w:val="continue"/>
            <w:shd w:val="clear" w:color="auto" w:fill="auto"/>
            <w:noWrap w:val="0"/>
            <w:vAlign w:val="center"/>
          </w:tcPr>
          <w:p>
            <w:pPr>
              <w:spacing w:line="240" w:lineRule="exact"/>
              <w:jc w:val="center"/>
              <w:rPr>
                <w:rFonts w:ascii="宋体" w:hAnsi="宋体" w:cs="宋体"/>
                <w:sz w:val="18"/>
                <w:szCs w:val="18"/>
              </w:rPr>
            </w:pPr>
          </w:p>
        </w:tc>
        <w:tc>
          <w:tcPr>
            <w:tcW w:w="457" w:type="dxa"/>
            <w:vMerge w:val="continue"/>
            <w:shd w:val="clear" w:color="auto" w:fill="auto"/>
            <w:noWrap w:val="0"/>
            <w:vAlign w:val="center"/>
          </w:tcPr>
          <w:p>
            <w:pPr>
              <w:spacing w:line="240" w:lineRule="exact"/>
              <w:jc w:val="center"/>
              <w:rPr>
                <w:rFonts w:ascii="宋体" w:hAnsi="宋体" w:cs="宋体"/>
                <w:sz w:val="18"/>
                <w:szCs w:val="18"/>
              </w:rPr>
            </w:pPr>
          </w:p>
        </w:tc>
        <w:tc>
          <w:tcPr>
            <w:tcW w:w="711"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浓度</w:t>
            </w:r>
          </w:p>
        </w:tc>
        <w:tc>
          <w:tcPr>
            <w:tcW w:w="1188" w:type="dxa"/>
            <w:shd w:val="clear" w:color="auto" w:fill="auto"/>
            <w:noWrap w:val="0"/>
            <w:vAlign w:val="center"/>
          </w:tcPr>
          <w:p>
            <w:pPr>
              <w:spacing w:line="240" w:lineRule="exact"/>
              <w:jc w:val="center"/>
              <w:rPr>
                <w:rFonts w:hint="eastAsia" w:ascii="宋体" w:hAnsi="宋体" w:cs="宋体"/>
                <w:sz w:val="18"/>
                <w:szCs w:val="18"/>
              </w:rPr>
            </w:pPr>
            <w:r>
              <w:rPr>
                <w:rFonts w:hint="eastAsia" w:ascii="宋体" w:hAnsi="宋体" w:cs="宋体"/>
                <w:sz w:val="18"/>
                <w:szCs w:val="18"/>
              </w:rPr>
              <w:t>敏感点背景浓度</w:t>
            </w:r>
          </w:p>
        </w:tc>
        <w:tc>
          <w:tcPr>
            <w:tcW w:w="1241"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叠加背景值后占标率（%）</w:t>
            </w:r>
          </w:p>
        </w:tc>
        <w:tc>
          <w:tcPr>
            <w:tcW w:w="1439"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年超标概率（%）</w:t>
            </w:r>
          </w:p>
        </w:tc>
        <w:tc>
          <w:tcPr>
            <w:tcW w:w="1030"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持续超标时间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福里树村</w:t>
            </w:r>
          </w:p>
        </w:tc>
        <w:tc>
          <w:tcPr>
            <w:tcW w:w="676" w:type="dxa"/>
            <w:shd w:val="clear" w:color="auto" w:fill="auto"/>
            <w:noWrap w:val="0"/>
            <w:vAlign w:val="center"/>
          </w:tcPr>
          <w:p>
            <w:pPr>
              <w:spacing w:line="240" w:lineRule="exact"/>
              <w:jc w:val="center"/>
              <w:rPr>
                <w:sz w:val="18"/>
                <w:szCs w:val="18"/>
              </w:rPr>
            </w:pPr>
            <w:r>
              <w:rPr>
                <w:sz w:val="18"/>
                <w:szCs w:val="18"/>
              </w:rPr>
              <w:t>1</w:t>
            </w:r>
          </w:p>
        </w:tc>
        <w:tc>
          <w:tcPr>
            <w:tcW w:w="51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59</w:t>
            </w:r>
          </w:p>
        </w:tc>
        <w:tc>
          <w:tcPr>
            <w:tcW w:w="45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13</w:t>
            </w:r>
          </w:p>
        </w:tc>
        <w:tc>
          <w:tcPr>
            <w:tcW w:w="711"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274.52</w:t>
            </w:r>
          </w:p>
        </w:tc>
        <w:tc>
          <w:tcPr>
            <w:tcW w:w="1188"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54</w:t>
            </w: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188.52</w:t>
            </w:r>
          </w:p>
        </w:tc>
        <w:tc>
          <w:tcPr>
            <w:tcW w:w="1439"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0.08</w:t>
            </w:r>
          </w:p>
        </w:tc>
        <w:tc>
          <w:tcPr>
            <w:tcW w:w="1030" w:type="dxa"/>
            <w:vMerge w:val="restart"/>
            <w:shd w:val="clear" w:color="auto" w:fill="auto"/>
            <w:noWrap w:val="0"/>
            <w:vAlign w:val="center"/>
          </w:tcPr>
          <w:p>
            <w:pPr>
              <w:spacing w:line="240" w:lineRule="exact"/>
              <w:jc w:val="center"/>
              <w:rPr>
                <w:sz w:val="18"/>
                <w:szCs w:val="18"/>
              </w:rPr>
            </w:pPr>
            <w:r>
              <w:rPr>
                <w:rFonts w:hint="eastAsia"/>
                <w:sz w:val="18"/>
                <w:szCs w:val="18"/>
              </w:rPr>
              <w:t>1h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2</w:t>
            </w:r>
          </w:p>
        </w:tc>
        <w:tc>
          <w:tcPr>
            <w:tcW w:w="51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82</w:t>
            </w:r>
          </w:p>
        </w:tc>
        <w:tc>
          <w:tcPr>
            <w:tcW w:w="45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17</w:t>
            </w:r>
          </w:p>
        </w:tc>
        <w:tc>
          <w:tcPr>
            <w:tcW w:w="711"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244.64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158.64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3</w:t>
            </w:r>
          </w:p>
        </w:tc>
        <w:tc>
          <w:tcPr>
            <w:tcW w:w="51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85</w:t>
            </w:r>
          </w:p>
        </w:tc>
        <w:tc>
          <w:tcPr>
            <w:tcW w:w="457"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18</w:t>
            </w:r>
          </w:p>
        </w:tc>
        <w:tc>
          <w:tcPr>
            <w:tcW w:w="711" w:type="dxa"/>
            <w:shd w:val="clear" w:color="auto" w:fill="auto"/>
            <w:noWrap w:val="0"/>
            <w:vAlign w:val="center"/>
          </w:tcPr>
          <w:p>
            <w:pPr>
              <w:spacing w:line="240" w:lineRule="exact"/>
              <w:jc w:val="center"/>
              <w:rPr>
                <w:rFonts w:ascii="宋体" w:hAnsi="宋体" w:cs="宋体"/>
                <w:sz w:val="18"/>
                <w:szCs w:val="18"/>
              </w:rPr>
            </w:pPr>
            <w:r>
              <w:rPr>
                <w:rFonts w:hint="eastAsia"/>
                <w:sz w:val="18"/>
                <w:szCs w:val="18"/>
              </w:rPr>
              <w:t>244.64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158.64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4</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320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16</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223.33</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137.33</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5</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117</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21</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199.37</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113.37</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6</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226</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18</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186.94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100.94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7</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101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10</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186.00</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100.00</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79" w:hRule="atLeast"/>
          <w:tblHeader/>
          <w:jc w:val="center"/>
        </w:trPr>
        <w:tc>
          <w:tcPr>
            <w:tcW w:w="1072"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青鹏煤业公司</w:t>
            </w:r>
          </w:p>
        </w:tc>
        <w:tc>
          <w:tcPr>
            <w:tcW w:w="676" w:type="dxa"/>
            <w:shd w:val="clear" w:color="auto" w:fill="auto"/>
            <w:noWrap w:val="0"/>
            <w:vAlign w:val="center"/>
          </w:tcPr>
          <w:p>
            <w:pPr>
              <w:spacing w:line="240" w:lineRule="exact"/>
              <w:jc w:val="center"/>
              <w:rPr>
                <w:sz w:val="18"/>
                <w:szCs w:val="18"/>
              </w:rPr>
            </w:pPr>
            <w:r>
              <w:rPr>
                <w:sz w:val="18"/>
                <w:szCs w:val="18"/>
              </w:rPr>
              <w:t>1</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77</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425.09</w:t>
            </w:r>
          </w:p>
        </w:tc>
        <w:tc>
          <w:tcPr>
            <w:tcW w:w="1188"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63</w:t>
            </w: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203.37</w:t>
            </w:r>
          </w:p>
        </w:tc>
        <w:tc>
          <w:tcPr>
            <w:tcW w:w="1439"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0.14</w:t>
            </w:r>
          </w:p>
        </w:tc>
        <w:tc>
          <w:tcPr>
            <w:tcW w:w="1030" w:type="dxa"/>
            <w:vMerge w:val="restart"/>
            <w:shd w:val="clear" w:color="auto" w:fill="auto"/>
            <w:noWrap w:val="0"/>
            <w:vAlign w:val="center"/>
          </w:tcPr>
          <w:p>
            <w:pPr>
              <w:spacing w:line="240" w:lineRule="exact"/>
              <w:jc w:val="center"/>
              <w:rPr>
                <w:rFonts w:hint="eastAsia"/>
                <w:sz w:val="18"/>
                <w:szCs w:val="18"/>
              </w:rPr>
            </w:pPr>
            <w:r>
              <w:rPr>
                <w:rFonts w:hint="eastAsia"/>
                <w:sz w:val="18"/>
                <w:szCs w:val="18"/>
              </w:rPr>
              <w:t>2h</w:t>
            </w:r>
          </w:p>
          <w:p>
            <w:pPr>
              <w:spacing w:line="240" w:lineRule="exact"/>
              <w:jc w:val="center"/>
              <w:rPr>
                <w:rFonts w:hint="eastAsia"/>
                <w:sz w:val="18"/>
                <w:szCs w:val="18"/>
              </w:rPr>
            </w:pPr>
            <w:r>
              <w:rPr>
                <w:rFonts w:hint="eastAsia"/>
                <w:sz w:val="18"/>
                <w:szCs w:val="18"/>
              </w:rPr>
              <w:t>（最大）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82"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2</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330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395.60</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191.08</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3</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330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349.06</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171.69</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4</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190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345.20</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170.08</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sz w:val="18"/>
                <w:szCs w:val="18"/>
              </w:rPr>
            </w:pPr>
            <w:r>
              <w:rPr>
                <w:sz w:val="18"/>
                <w:szCs w:val="18"/>
              </w:rPr>
              <w:t>5</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102</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322.16</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160.49</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6</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163</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300.72</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151.55</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7</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85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299.02</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150.84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8</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201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12</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286.54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145.64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9</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110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276.83</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141.60</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10</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135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12</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275.82</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141.18</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11</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171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12</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269.49</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138.54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12</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204</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242.68</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127.36</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13</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198</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9</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223.42</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119.34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14</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190</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16</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221.39</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118.50</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15</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89</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221.12</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118.38</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16</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105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9</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205.87</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112.03</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17</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171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13</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200.51</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109.80</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18</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115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198.60</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109.00</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19</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336</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7</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198.23</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108.85</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20</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331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0</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195.03</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107.51</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21</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161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15</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189.14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105.06</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22</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164</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104.16</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23</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175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19</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104.16</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24</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311</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9</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186.97</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104.16</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25</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85</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14</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185.98</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103.74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vMerge w:val="continue"/>
            <w:shd w:val="clear" w:color="auto" w:fill="auto"/>
            <w:noWrap w:val="0"/>
            <w:vAlign w:val="center"/>
          </w:tcPr>
          <w:p>
            <w:pPr>
              <w:spacing w:line="240" w:lineRule="exact"/>
              <w:jc w:val="center"/>
              <w:rPr>
                <w:sz w:val="18"/>
                <w:szCs w:val="18"/>
              </w:rPr>
            </w:pP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26</w:t>
            </w:r>
          </w:p>
        </w:tc>
        <w:tc>
          <w:tcPr>
            <w:tcW w:w="517" w:type="dxa"/>
            <w:shd w:val="clear" w:color="auto" w:fill="auto"/>
            <w:noWrap w:val="0"/>
            <w:vAlign w:val="center"/>
          </w:tcPr>
          <w:p>
            <w:pPr>
              <w:jc w:val="center"/>
              <w:rPr>
                <w:rFonts w:ascii="宋体" w:hAnsi="宋体" w:cs="宋体"/>
                <w:sz w:val="18"/>
                <w:szCs w:val="18"/>
              </w:rPr>
            </w:pPr>
            <w:r>
              <w:rPr>
                <w:rFonts w:hint="eastAsia"/>
                <w:sz w:val="18"/>
                <w:szCs w:val="18"/>
              </w:rPr>
              <w:t>206</w:t>
            </w:r>
          </w:p>
        </w:tc>
        <w:tc>
          <w:tcPr>
            <w:tcW w:w="457" w:type="dxa"/>
            <w:shd w:val="clear" w:color="auto" w:fill="auto"/>
            <w:noWrap w:val="0"/>
            <w:vAlign w:val="center"/>
          </w:tcPr>
          <w:p>
            <w:pPr>
              <w:jc w:val="center"/>
              <w:rPr>
                <w:rFonts w:ascii="宋体" w:hAnsi="宋体" w:cs="宋体"/>
                <w:sz w:val="18"/>
                <w:szCs w:val="18"/>
              </w:rPr>
            </w:pPr>
            <w:r>
              <w:rPr>
                <w:rFonts w:hint="eastAsia"/>
                <w:sz w:val="18"/>
                <w:szCs w:val="18"/>
              </w:rPr>
              <w:t>19</w:t>
            </w:r>
          </w:p>
        </w:tc>
        <w:tc>
          <w:tcPr>
            <w:tcW w:w="711" w:type="dxa"/>
            <w:shd w:val="clear" w:color="auto" w:fill="auto"/>
            <w:noWrap w:val="0"/>
            <w:vAlign w:val="center"/>
          </w:tcPr>
          <w:p>
            <w:pPr>
              <w:jc w:val="center"/>
              <w:rPr>
                <w:rFonts w:ascii="宋体" w:hAnsi="宋体" w:cs="宋体"/>
                <w:sz w:val="18"/>
                <w:szCs w:val="18"/>
              </w:rPr>
            </w:pPr>
            <w:r>
              <w:rPr>
                <w:rFonts w:hint="eastAsia"/>
                <w:sz w:val="18"/>
                <w:szCs w:val="18"/>
              </w:rPr>
              <w:t>183.34</w:t>
            </w:r>
          </w:p>
        </w:tc>
        <w:tc>
          <w:tcPr>
            <w:tcW w:w="1188" w:type="dxa"/>
            <w:vMerge w:val="continue"/>
            <w:shd w:val="clear" w:color="auto" w:fill="auto"/>
            <w:noWrap w:val="0"/>
            <w:vAlign w:val="center"/>
          </w:tcPr>
          <w:p>
            <w:pPr>
              <w:spacing w:line="240" w:lineRule="exact"/>
              <w:jc w:val="center"/>
              <w:rPr>
                <w:sz w:val="18"/>
                <w:szCs w:val="18"/>
              </w:rPr>
            </w:pPr>
          </w:p>
        </w:tc>
        <w:tc>
          <w:tcPr>
            <w:tcW w:w="1241" w:type="dxa"/>
            <w:shd w:val="clear" w:color="auto" w:fill="auto"/>
            <w:noWrap w:val="0"/>
            <w:vAlign w:val="center"/>
          </w:tcPr>
          <w:p>
            <w:pPr>
              <w:jc w:val="center"/>
              <w:rPr>
                <w:rFonts w:ascii="宋体" w:hAnsi="宋体" w:cs="宋体"/>
                <w:sz w:val="18"/>
                <w:szCs w:val="18"/>
              </w:rPr>
            </w:pPr>
            <w:r>
              <w:rPr>
                <w:rFonts w:hint="eastAsia"/>
                <w:sz w:val="18"/>
                <w:szCs w:val="18"/>
              </w:rPr>
              <w:t>102.64</w:t>
            </w:r>
          </w:p>
        </w:tc>
        <w:tc>
          <w:tcPr>
            <w:tcW w:w="1439" w:type="dxa"/>
            <w:vMerge w:val="continue"/>
            <w:noWrap w:val="0"/>
            <w:vAlign w:val="center"/>
          </w:tcPr>
          <w:p>
            <w:pPr>
              <w:spacing w:line="240" w:lineRule="exact"/>
              <w:jc w:val="center"/>
              <w:rPr>
                <w:sz w:val="18"/>
                <w:szCs w:val="18"/>
              </w:rPr>
            </w:pPr>
          </w:p>
        </w:tc>
        <w:tc>
          <w:tcPr>
            <w:tcW w:w="1030" w:type="dxa"/>
            <w:vMerge w:val="continue"/>
            <w:noWrap w:val="0"/>
            <w:vAlign w:val="center"/>
          </w:tcPr>
          <w:p>
            <w:pPr>
              <w:spacing w:line="240" w:lineRule="exact"/>
              <w:jc w:val="center"/>
              <w:rPr>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tblHeader/>
          <w:jc w:val="center"/>
        </w:trPr>
        <w:tc>
          <w:tcPr>
            <w:tcW w:w="1072" w:type="dxa"/>
            <w:shd w:val="clear" w:color="auto" w:fill="auto"/>
            <w:noWrap w:val="0"/>
            <w:vAlign w:val="center"/>
          </w:tcPr>
          <w:p>
            <w:pPr>
              <w:spacing w:line="240" w:lineRule="exact"/>
              <w:jc w:val="center"/>
              <w:rPr>
                <w:rFonts w:hint="eastAsia"/>
                <w:sz w:val="18"/>
                <w:szCs w:val="18"/>
              </w:rPr>
            </w:pPr>
            <w:r>
              <w:rPr>
                <w:rFonts w:hint="eastAsia"/>
                <w:sz w:val="18"/>
                <w:szCs w:val="18"/>
              </w:rPr>
              <w:t>青木关镇</w:t>
            </w:r>
          </w:p>
        </w:tc>
        <w:tc>
          <w:tcPr>
            <w:tcW w:w="676" w:type="dxa"/>
            <w:shd w:val="clear" w:color="auto" w:fill="auto"/>
            <w:noWrap w:val="0"/>
            <w:vAlign w:val="center"/>
          </w:tcPr>
          <w:p>
            <w:pPr>
              <w:spacing w:line="240" w:lineRule="exact"/>
              <w:jc w:val="center"/>
              <w:rPr>
                <w:rFonts w:hint="eastAsia"/>
                <w:sz w:val="18"/>
                <w:szCs w:val="18"/>
              </w:rPr>
            </w:pPr>
            <w:r>
              <w:rPr>
                <w:rFonts w:hint="eastAsia"/>
                <w:sz w:val="18"/>
                <w:szCs w:val="18"/>
              </w:rPr>
              <w:t>1</w:t>
            </w:r>
          </w:p>
        </w:tc>
        <w:tc>
          <w:tcPr>
            <w:tcW w:w="517" w:type="dxa"/>
            <w:shd w:val="clear" w:color="auto" w:fill="auto"/>
            <w:noWrap w:val="0"/>
            <w:vAlign w:val="center"/>
          </w:tcPr>
          <w:p>
            <w:pPr>
              <w:jc w:val="center"/>
              <w:rPr>
                <w:sz w:val="18"/>
                <w:szCs w:val="18"/>
              </w:rPr>
            </w:pPr>
            <w:r>
              <w:rPr>
                <w:rFonts w:hint="eastAsia"/>
                <w:sz w:val="18"/>
                <w:szCs w:val="18"/>
              </w:rPr>
              <w:t>302</w:t>
            </w:r>
          </w:p>
        </w:tc>
        <w:tc>
          <w:tcPr>
            <w:tcW w:w="457" w:type="dxa"/>
            <w:shd w:val="clear" w:color="auto" w:fill="auto"/>
            <w:noWrap w:val="0"/>
            <w:vAlign w:val="center"/>
          </w:tcPr>
          <w:p>
            <w:pPr>
              <w:jc w:val="center"/>
              <w:rPr>
                <w:sz w:val="18"/>
                <w:szCs w:val="18"/>
              </w:rPr>
            </w:pPr>
            <w:r>
              <w:rPr>
                <w:rFonts w:hint="eastAsia"/>
                <w:sz w:val="18"/>
                <w:szCs w:val="18"/>
              </w:rPr>
              <w:t>13</w:t>
            </w:r>
          </w:p>
        </w:tc>
        <w:tc>
          <w:tcPr>
            <w:tcW w:w="711" w:type="dxa"/>
            <w:shd w:val="clear" w:color="auto" w:fill="auto"/>
            <w:noWrap w:val="0"/>
            <w:vAlign w:val="center"/>
          </w:tcPr>
          <w:p>
            <w:pPr>
              <w:jc w:val="center"/>
              <w:rPr>
                <w:rFonts w:hint="eastAsia"/>
                <w:sz w:val="18"/>
                <w:szCs w:val="18"/>
              </w:rPr>
            </w:pPr>
            <w:r>
              <w:rPr>
                <w:rFonts w:hint="eastAsia"/>
                <w:sz w:val="18"/>
                <w:szCs w:val="18"/>
              </w:rPr>
              <w:t>191.6</w:t>
            </w:r>
          </w:p>
        </w:tc>
        <w:tc>
          <w:tcPr>
            <w:tcW w:w="1188" w:type="dxa"/>
            <w:shd w:val="clear" w:color="auto" w:fill="auto"/>
            <w:noWrap w:val="0"/>
            <w:vAlign w:val="center"/>
          </w:tcPr>
          <w:p>
            <w:pPr>
              <w:spacing w:line="240" w:lineRule="exact"/>
              <w:jc w:val="center"/>
              <w:rPr>
                <w:rFonts w:hint="eastAsia"/>
                <w:sz w:val="18"/>
                <w:szCs w:val="18"/>
              </w:rPr>
            </w:pPr>
            <w:r>
              <w:rPr>
                <w:rFonts w:hint="eastAsia"/>
                <w:sz w:val="18"/>
                <w:szCs w:val="18"/>
              </w:rPr>
              <w:t>63</w:t>
            </w:r>
          </w:p>
        </w:tc>
        <w:tc>
          <w:tcPr>
            <w:tcW w:w="1241" w:type="dxa"/>
            <w:shd w:val="clear" w:color="auto" w:fill="auto"/>
            <w:noWrap w:val="0"/>
            <w:vAlign w:val="center"/>
          </w:tcPr>
          <w:p>
            <w:pPr>
              <w:spacing w:line="240" w:lineRule="exact"/>
              <w:jc w:val="center"/>
              <w:rPr>
                <w:rFonts w:hint="eastAsia"/>
                <w:sz w:val="18"/>
                <w:szCs w:val="18"/>
              </w:rPr>
            </w:pPr>
            <w:r>
              <w:rPr>
                <w:rFonts w:hint="eastAsia"/>
                <w:sz w:val="18"/>
                <w:szCs w:val="18"/>
              </w:rPr>
              <w:t>106.08</w:t>
            </w:r>
          </w:p>
        </w:tc>
        <w:tc>
          <w:tcPr>
            <w:tcW w:w="1439" w:type="dxa"/>
            <w:noWrap w:val="0"/>
            <w:vAlign w:val="center"/>
          </w:tcPr>
          <w:p>
            <w:pPr>
              <w:spacing w:line="240" w:lineRule="exact"/>
              <w:jc w:val="center"/>
              <w:rPr>
                <w:rFonts w:hint="eastAsia"/>
                <w:sz w:val="18"/>
                <w:szCs w:val="18"/>
              </w:rPr>
            </w:pPr>
            <w:r>
              <w:rPr>
                <w:rFonts w:hint="eastAsia"/>
                <w:sz w:val="18"/>
                <w:szCs w:val="18"/>
              </w:rPr>
              <w:t>0.01</w:t>
            </w:r>
          </w:p>
        </w:tc>
        <w:tc>
          <w:tcPr>
            <w:tcW w:w="1030" w:type="dxa"/>
            <w:noWrap w:val="0"/>
            <w:vAlign w:val="center"/>
          </w:tcPr>
          <w:p>
            <w:pPr>
              <w:spacing w:line="240" w:lineRule="exact"/>
              <w:jc w:val="center"/>
              <w:rPr>
                <w:sz w:val="18"/>
                <w:szCs w:val="18"/>
              </w:rPr>
            </w:pPr>
            <w:r>
              <w:rPr>
                <w:rFonts w:hint="eastAsia"/>
                <w:sz w:val="18"/>
                <w:szCs w:val="18"/>
              </w:rPr>
              <w:t>1h</w:t>
            </w:r>
          </w:p>
        </w:tc>
      </w:tr>
    </w:tbl>
    <w:p>
      <w:pPr>
        <w:rPr>
          <w:rFonts w:hint="eastAsia"/>
        </w:rPr>
      </w:pPr>
    </w:p>
    <w:p>
      <w:pPr>
        <w:rPr>
          <w:rFonts w:hint="eastAsia"/>
        </w:rPr>
      </w:pPr>
    </w:p>
    <w:p>
      <w:pPr>
        <w:spacing w:line="360" w:lineRule="auto"/>
        <w:ind w:firstLine="420" w:firstLineChars="200"/>
        <w:rPr>
          <w:rFonts w:hint="eastAsia"/>
        </w:rPr>
      </w:pPr>
      <w:r>
        <w:rPr>
          <w:rFonts w:hint="eastAsia"/>
        </w:rPr>
        <w:t>从表8-13可以看出，福里树村、青鹏公司家属院和青木关镇的NO</w:t>
      </w:r>
      <w:r>
        <w:rPr>
          <w:rFonts w:hint="eastAsia"/>
          <w:vertAlign w:val="subscript"/>
        </w:rPr>
        <w:t>2</w:t>
      </w:r>
      <w:r>
        <w:rPr>
          <w:rFonts w:hint="eastAsia"/>
        </w:rPr>
        <w:t>小时值年超标次数分别为7次、26次和1次，超标频率分别为0.08%、0.14%和0.01%，超标概率均很低，而且超标时段最多持续2小时，由此说明本技改项目的NO</w:t>
      </w:r>
      <w:r>
        <w:rPr>
          <w:rFonts w:hint="eastAsia"/>
          <w:vertAlign w:val="subscript"/>
        </w:rPr>
        <w:t>2</w:t>
      </w:r>
      <w:r>
        <w:rPr>
          <w:rFonts w:hint="eastAsia"/>
        </w:rPr>
        <w:t>对各敏感点影响很小。</w:t>
      </w:r>
    </w:p>
    <w:p>
      <w:pPr>
        <w:adjustRightInd w:val="0"/>
        <w:snapToGrid w:val="0"/>
        <w:spacing w:line="360" w:lineRule="auto"/>
        <w:ind w:firstLine="420" w:firstLineChars="200"/>
      </w:pPr>
      <w:r>
        <w:rPr>
          <w:rFonts w:hint="eastAsia" w:ascii="宋体" w:hAnsi="宋体" w:cs="宋体"/>
        </w:rPr>
        <w:t>②</w:t>
      </w:r>
      <w:r>
        <w:t>日均最大浓度</w:t>
      </w:r>
    </w:p>
    <w:p>
      <w:pPr>
        <w:adjustRightInd w:val="0"/>
        <w:snapToGrid w:val="0"/>
        <w:spacing w:line="360" w:lineRule="auto"/>
        <w:ind w:firstLine="382" w:firstLineChars="182"/>
        <w:rPr>
          <w:rFonts w:hint="eastAsia"/>
        </w:rPr>
      </w:pPr>
      <w:r>
        <w:t>技改项目排放的污染物在环境敏感点处的日均最大浓度影响值并与现状值进行叠加，结果见表</w:t>
      </w:r>
      <w:r>
        <w:rPr>
          <w:rFonts w:hint="eastAsia"/>
        </w:rPr>
        <w:t>8</w:t>
      </w:r>
      <w:r>
        <w:t>-1</w:t>
      </w:r>
      <w:r>
        <w:rPr>
          <w:rFonts w:hint="eastAsia"/>
        </w:rPr>
        <w:t>4</w:t>
      </w:r>
      <w:r>
        <w:t>。</w:t>
      </w:r>
    </w:p>
    <w:p>
      <w:pPr>
        <w:adjustRightInd w:val="0"/>
        <w:snapToGrid w:val="0"/>
        <w:spacing w:line="360" w:lineRule="auto"/>
        <w:ind w:firstLine="480"/>
        <w:rPr>
          <w:rFonts w:hint="eastAsia"/>
        </w:rPr>
      </w:pPr>
      <w:r>
        <w:t>从表</w:t>
      </w:r>
      <w:r>
        <w:rPr>
          <w:rFonts w:hint="eastAsia"/>
        </w:rPr>
        <w:t>8</w:t>
      </w:r>
      <w:r>
        <w:t>-1</w:t>
      </w:r>
      <w:r>
        <w:rPr>
          <w:rFonts w:hint="eastAsia"/>
        </w:rPr>
        <w:t>4</w:t>
      </w:r>
      <w:r>
        <w:t>可以看出，</w:t>
      </w:r>
      <w:r>
        <w:rPr>
          <w:rFonts w:hint="eastAsia"/>
        </w:rPr>
        <w:t>本技改项目排放污染物对各关心点的浓度贡献值均未超标，在叠加了环境现状监测最大值后，也</w:t>
      </w:r>
      <w:r>
        <w:t>均未超标，</w:t>
      </w:r>
      <w:r>
        <w:rPr>
          <w:rFonts w:hint="eastAsia"/>
        </w:rPr>
        <w:t>均</w:t>
      </w:r>
      <w:r>
        <w:t>满足《环境空气质量标准》（GB3095-1996）二级标准限值。</w:t>
      </w:r>
    </w:p>
    <w:p>
      <w:pPr>
        <w:adjustRightInd w:val="0"/>
        <w:snapToGrid w:val="0"/>
        <w:spacing w:line="360" w:lineRule="auto"/>
        <w:ind w:firstLine="420" w:firstLineChars="200"/>
      </w:pPr>
      <w:r>
        <w:rPr>
          <w:rFonts w:hint="eastAsia" w:ascii="宋体" w:hAnsi="宋体" w:cs="宋体"/>
        </w:rPr>
        <w:t>③</w:t>
      </w:r>
      <w:r>
        <w:t>年均浓度</w:t>
      </w:r>
    </w:p>
    <w:p>
      <w:pPr>
        <w:pStyle w:val="28"/>
        <w:ind w:firstLine="480"/>
        <w:rPr>
          <w:rFonts w:hint="eastAsia"/>
        </w:rPr>
      </w:pPr>
      <w:r>
        <w:t>技改工程排放的污染物PM</w:t>
      </w:r>
      <w:r>
        <w:rPr>
          <w:vertAlign w:val="subscript"/>
        </w:rPr>
        <w:t>10</w:t>
      </w:r>
      <w:r>
        <w:rPr>
          <w:rFonts w:hint="eastAsia"/>
        </w:rPr>
        <w:t>、</w:t>
      </w:r>
      <w:r>
        <w:t>SO</w:t>
      </w:r>
      <w:r>
        <w:rPr>
          <w:vertAlign w:val="subscript"/>
        </w:rPr>
        <w:t>2</w:t>
      </w:r>
      <w:r>
        <w:t>和</w:t>
      </w:r>
      <w:r>
        <w:rPr>
          <w:rFonts w:hint="eastAsia"/>
        </w:rPr>
        <w:t>N</w:t>
      </w:r>
      <w:r>
        <w:t>O</w:t>
      </w:r>
      <w:r>
        <w:rPr>
          <w:vertAlign w:val="subscript"/>
        </w:rPr>
        <w:t>2</w:t>
      </w:r>
      <w:r>
        <w:t>对各关心的贡献值预测结果见表</w:t>
      </w:r>
      <w:r>
        <w:rPr>
          <w:rFonts w:hint="eastAsia"/>
        </w:rPr>
        <w:t>8</w:t>
      </w:r>
      <w:r>
        <w:t>-1</w:t>
      </w:r>
      <w:r>
        <w:rPr>
          <w:rFonts w:hint="eastAsia"/>
        </w:rPr>
        <w:t>5</w:t>
      </w:r>
      <w:r>
        <w:t>。</w:t>
      </w:r>
    </w:p>
    <w:p>
      <w:pPr>
        <w:pStyle w:val="34"/>
      </w:pPr>
      <w:r>
        <w:t>表</w:t>
      </w:r>
      <w:r>
        <w:rPr>
          <w:rFonts w:hint="eastAsia"/>
        </w:rPr>
        <w:t>8</w:t>
      </w:r>
      <w:r>
        <w:t>-1</w:t>
      </w:r>
      <w:r>
        <w:rPr>
          <w:rFonts w:hint="eastAsia"/>
        </w:rPr>
        <w:t>5</w:t>
      </w:r>
      <w:r>
        <w:t xml:space="preserve">  各关心点处污染物年均浓度预测</w:t>
      </w:r>
    </w:p>
    <w:tbl>
      <w:tblPr>
        <w:tblStyle w:val="20"/>
        <w:tblW w:w="911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287"/>
        <w:gridCol w:w="1288"/>
        <w:gridCol w:w="884"/>
        <w:gridCol w:w="1287"/>
        <w:gridCol w:w="1041"/>
        <w:gridCol w:w="1287"/>
        <w:gridCol w:w="10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blHeader/>
          <w:jc w:val="center"/>
        </w:trPr>
        <w:tc>
          <w:tcPr>
            <w:tcW w:w="2287" w:type="dxa"/>
            <w:vMerge w:val="restart"/>
            <w:tcBorders>
              <w:tl2br w:val="single" w:color="auto" w:sz="4" w:space="0"/>
            </w:tcBorders>
            <w:noWrap w:val="0"/>
            <w:vAlign w:val="center"/>
          </w:tcPr>
          <w:p>
            <w:pPr>
              <w:pStyle w:val="33"/>
              <w:snapToGrid w:val="0"/>
              <w:spacing w:line="400" w:lineRule="exact"/>
              <w:ind w:right="-122" w:firstLine="945" w:firstLineChars="450"/>
              <w:jc w:val="both"/>
              <w:rPr>
                <w:color w:val="auto"/>
              </w:rPr>
            </w:pPr>
            <w:r>
              <w:rPr>
                <w:color w:val="auto"/>
              </w:rPr>
              <w:t>预测因子</w:t>
            </w:r>
          </w:p>
          <w:p>
            <w:pPr>
              <w:pStyle w:val="33"/>
              <w:snapToGrid w:val="0"/>
              <w:spacing w:line="400" w:lineRule="exact"/>
              <w:ind w:right="-122"/>
              <w:jc w:val="both"/>
              <w:rPr>
                <w:color w:val="auto"/>
              </w:rPr>
            </w:pPr>
            <w:r>
              <w:rPr>
                <w:color w:val="auto"/>
              </w:rPr>
              <w:t>关心点</w:t>
            </w:r>
          </w:p>
        </w:tc>
        <w:tc>
          <w:tcPr>
            <w:tcW w:w="2172" w:type="dxa"/>
            <w:gridSpan w:val="2"/>
            <w:tcBorders>
              <w:right w:val="single" w:color="auto" w:sz="4" w:space="0"/>
            </w:tcBorders>
            <w:noWrap w:val="0"/>
            <w:vAlign w:val="center"/>
          </w:tcPr>
          <w:p>
            <w:pPr>
              <w:adjustRightInd w:val="0"/>
              <w:snapToGrid w:val="0"/>
              <w:spacing w:line="400" w:lineRule="exact"/>
              <w:jc w:val="center"/>
              <w:rPr>
                <w:kern w:val="0"/>
                <w:sz w:val="21"/>
                <w:szCs w:val="21"/>
              </w:rPr>
            </w:pPr>
            <w:r>
              <w:rPr>
                <w:sz w:val="21"/>
                <w:szCs w:val="21"/>
              </w:rPr>
              <w:t>PM</w:t>
            </w:r>
            <w:r>
              <w:rPr>
                <w:sz w:val="21"/>
                <w:szCs w:val="21"/>
                <w:vertAlign w:val="subscript"/>
              </w:rPr>
              <w:t>10</w:t>
            </w:r>
          </w:p>
        </w:tc>
        <w:tc>
          <w:tcPr>
            <w:tcW w:w="2328" w:type="dxa"/>
            <w:gridSpan w:val="2"/>
            <w:tcBorders>
              <w:left w:val="single" w:color="auto" w:sz="4" w:space="0"/>
              <w:right w:val="single" w:color="auto" w:sz="4" w:space="0"/>
            </w:tcBorders>
            <w:noWrap w:val="0"/>
            <w:vAlign w:val="center"/>
          </w:tcPr>
          <w:p>
            <w:pPr>
              <w:widowControl/>
              <w:adjustRightInd w:val="0"/>
              <w:snapToGrid w:val="0"/>
              <w:spacing w:line="400" w:lineRule="exact"/>
              <w:jc w:val="center"/>
              <w:rPr>
                <w:kern w:val="0"/>
                <w:sz w:val="21"/>
                <w:szCs w:val="21"/>
              </w:rPr>
            </w:pPr>
            <w:r>
              <w:rPr>
                <w:sz w:val="21"/>
                <w:szCs w:val="21"/>
              </w:rPr>
              <w:t>SO</w:t>
            </w:r>
            <w:r>
              <w:rPr>
                <w:sz w:val="21"/>
                <w:szCs w:val="21"/>
                <w:vertAlign w:val="subscript"/>
              </w:rPr>
              <w:t>2</w:t>
            </w:r>
          </w:p>
        </w:tc>
        <w:tc>
          <w:tcPr>
            <w:tcW w:w="2328" w:type="dxa"/>
            <w:gridSpan w:val="2"/>
            <w:tcBorders>
              <w:left w:val="single" w:color="auto" w:sz="4" w:space="0"/>
            </w:tcBorders>
            <w:noWrap w:val="0"/>
            <w:vAlign w:val="center"/>
          </w:tcPr>
          <w:p>
            <w:pPr>
              <w:widowControl/>
              <w:adjustRightInd w:val="0"/>
              <w:snapToGrid w:val="0"/>
              <w:spacing w:line="40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287" w:type="dxa"/>
            <w:vMerge w:val="continue"/>
            <w:noWrap w:val="0"/>
            <w:vAlign w:val="center"/>
          </w:tcPr>
          <w:p>
            <w:pPr>
              <w:pStyle w:val="33"/>
              <w:snapToGrid w:val="0"/>
              <w:spacing w:line="400" w:lineRule="exact"/>
              <w:ind w:right="-122"/>
              <w:rPr>
                <w:color w:val="auto"/>
              </w:rPr>
            </w:pPr>
          </w:p>
        </w:tc>
        <w:tc>
          <w:tcPr>
            <w:tcW w:w="1288" w:type="dxa"/>
            <w:noWrap w:val="0"/>
            <w:vAlign w:val="center"/>
          </w:tcPr>
          <w:p>
            <w:pPr>
              <w:pStyle w:val="33"/>
              <w:snapToGrid w:val="0"/>
              <w:spacing w:line="400" w:lineRule="exact"/>
              <w:ind w:right="-122"/>
              <w:rPr>
                <w:color w:val="auto"/>
              </w:rPr>
            </w:pPr>
            <w:r>
              <w:rPr>
                <w:color w:val="auto"/>
              </w:rPr>
              <w:t>年均浓度（mg/m</w:t>
            </w:r>
            <w:r>
              <w:rPr>
                <w:color w:val="auto"/>
                <w:vertAlign w:val="superscript"/>
              </w:rPr>
              <w:t>3</w:t>
            </w:r>
            <w:r>
              <w:rPr>
                <w:color w:val="auto"/>
              </w:rPr>
              <w:t>）</w:t>
            </w:r>
          </w:p>
        </w:tc>
        <w:tc>
          <w:tcPr>
            <w:tcW w:w="884" w:type="dxa"/>
            <w:noWrap w:val="0"/>
            <w:vAlign w:val="center"/>
          </w:tcPr>
          <w:p>
            <w:pPr>
              <w:pStyle w:val="33"/>
              <w:snapToGrid w:val="0"/>
              <w:spacing w:line="400" w:lineRule="exact"/>
              <w:ind w:right="-122"/>
              <w:rPr>
                <w:color w:val="auto"/>
              </w:rPr>
            </w:pPr>
            <w:r>
              <w:rPr>
                <w:color w:val="auto"/>
              </w:rPr>
              <w:t>占标率</w:t>
            </w:r>
          </w:p>
          <w:p>
            <w:pPr>
              <w:pStyle w:val="33"/>
              <w:snapToGrid w:val="0"/>
              <w:spacing w:line="400" w:lineRule="exact"/>
              <w:ind w:right="-122"/>
              <w:rPr>
                <w:color w:val="auto"/>
              </w:rPr>
            </w:pPr>
            <w:r>
              <w:rPr>
                <w:color w:val="auto"/>
              </w:rPr>
              <w:t>（%）</w:t>
            </w:r>
          </w:p>
        </w:tc>
        <w:tc>
          <w:tcPr>
            <w:tcW w:w="1287" w:type="dxa"/>
            <w:tcBorders>
              <w:right w:val="single" w:color="auto" w:sz="4" w:space="0"/>
            </w:tcBorders>
            <w:noWrap w:val="0"/>
            <w:vAlign w:val="center"/>
          </w:tcPr>
          <w:p>
            <w:pPr>
              <w:pStyle w:val="33"/>
              <w:snapToGrid w:val="0"/>
              <w:spacing w:line="400" w:lineRule="exact"/>
              <w:ind w:right="-122"/>
              <w:rPr>
                <w:color w:val="auto"/>
              </w:rPr>
            </w:pPr>
            <w:r>
              <w:rPr>
                <w:color w:val="auto"/>
              </w:rPr>
              <w:t>年均浓度</w:t>
            </w:r>
          </w:p>
          <w:p>
            <w:pPr>
              <w:pStyle w:val="33"/>
              <w:snapToGrid w:val="0"/>
              <w:spacing w:line="400" w:lineRule="exact"/>
              <w:ind w:right="-122"/>
              <w:rPr>
                <w:color w:val="auto"/>
              </w:rPr>
            </w:pPr>
            <w:r>
              <w:rPr>
                <w:color w:val="auto"/>
              </w:rPr>
              <w:t>（mg/m</w:t>
            </w:r>
            <w:r>
              <w:rPr>
                <w:color w:val="auto"/>
                <w:vertAlign w:val="superscript"/>
              </w:rPr>
              <w:t>3</w:t>
            </w:r>
            <w:r>
              <w:rPr>
                <w:color w:val="auto"/>
              </w:rPr>
              <w:t>）</w:t>
            </w:r>
          </w:p>
        </w:tc>
        <w:tc>
          <w:tcPr>
            <w:tcW w:w="1041" w:type="dxa"/>
            <w:tcBorders>
              <w:right w:val="single" w:color="auto" w:sz="4" w:space="0"/>
            </w:tcBorders>
            <w:noWrap w:val="0"/>
            <w:vAlign w:val="center"/>
          </w:tcPr>
          <w:p>
            <w:pPr>
              <w:pStyle w:val="33"/>
              <w:snapToGrid w:val="0"/>
              <w:spacing w:line="400" w:lineRule="exact"/>
              <w:ind w:right="-122"/>
              <w:rPr>
                <w:color w:val="auto"/>
              </w:rPr>
            </w:pPr>
            <w:r>
              <w:rPr>
                <w:color w:val="auto"/>
              </w:rPr>
              <w:t>占标率</w:t>
            </w:r>
          </w:p>
          <w:p>
            <w:pPr>
              <w:pStyle w:val="33"/>
              <w:snapToGrid w:val="0"/>
              <w:spacing w:line="400" w:lineRule="exact"/>
              <w:ind w:right="-122"/>
              <w:rPr>
                <w:color w:val="auto"/>
              </w:rPr>
            </w:pPr>
            <w:r>
              <w:rPr>
                <w:color w:val="auto"/>
              </w:rPr>
              <w:t>（%）</w:t>
            </w:r>
          </w:p>
        </w:tc>
        <w:tc>
          <w:tcPr>
            <w:tcW w:w="1287" w:type="dxa"/>
            <w:noWrap w:val="0"/>
            <w:vAlign w:val="center"/>
          </w:tcPr>
          <w:p>
            <w:pPr>
              <w:pStyle w:val="33"/>
              <w:snapToGrid w:val="0"/>
              <w:spacing w:line="400" w:lineRule="exact"/>
              <w:ind w:right="-122"/>
              <w:rPr>
                <w:color w:val="auto"/>
              </w:rPr>
            </w:pPr>
            <w:r>
              <w:rPr>
                <w:color w:val="auto"/>
              </w:rPr>
              <w:t>年均浓度（mg/m</w:t>
            </w:r>
            <w:r>
              <w:rPr>
                <w:color w:val="auto"/>
                <w:vertAlign w:val="superscript"/>
              </w:rPr>
              <w:t>3</w:t>
            </w:r>
            <w:r>
              <w:rPr>
                <w:color w:val="auto"/>
              </w:rPr>
              <w:t>）</w:t>
            </w:r>
          </w:p>
        </w:tc>
        <w:tc>
          <w:tcPr>
            <w:tcW w:w="1041" w:type="dxa"/>
            <w:tcBorders>
              <w:right w:val="single" w:color="auto" w:sz="4" w:space="0"/>
            </w:tcBorders>
            <w:noWrap w:val="0"/>
            <w:vAlign w:val="center"/>
          </w:tcPr>
          <w:p>
            <w:pPr>
              <w:pStyle w:val="33"/>
              <w:snapToGrid w:val="0"/>
              <w:spacing w:line="400" w:lineRule="exact"/>
              <w:ind w:right="-122"/>
              <w:rPr>
                <w:color w:val="auto"/>
              </w:rPr>
            </w:pPr>
            <w:r>
              <w:rPr>
                <w:color w:val="auto"/>
              </w:rPr>
              <w:t>占标率</w:t>
            </w:r>
          </w:p>
          <w:p>
            <w:pPr>
              <w:pStyle w:val="33"/>
              <w:snapToGrid w:val="0"/>
              <w:spacing w:line="400" w:lineRule="exact"/>
              <w:ind w:right="-122"/>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2287" w:type="dxa"/>
            <w:shd w:val="clear" w:color="auto" w:fill="auto"/>
            <w:noWrap w:val="0"/>
            <w:vAlign w:val="center"/>
          </w:tcPr>
          <w:p>
            <w:pPr>
              <w:spacing w:line="400" w:lineRule="exact"/>
              <w:jc w:val="center"/>
              <w:rPr>
                <w:sz w:val="21"/>
                <w:szCs w:val="21"/>
              </w:rPr>
            </w:pPr>
            <w:r>
              <w:rPr>
                <w:sz w:val="21"/>
                <w:szCs w:val="21"/>
              </w:rPr>
              <w:t>大路镇</w:t>
            </w:r>
          </w:p>
        </w:tc>
        <w:tc>
          <w:tcPr>
            <w:tcW w:w="1288" w:type="dxa"/>
            <w:shd w:val="clear" w:color="auto" w:fill="F3F3F3"/>
            <w:noWrap w:val="0"/>
            <w:vAlign w:val="center"/>
          </w:tcPr>
          <w:p>
            <w:pPr>
              <w:spacing w:line="400" w:lineRule="exact"/>
              <w:jc w:val="center"/>
              <w:rPr>
                <w:rFonts w:ascii="宋体" w:hAnsi="宋体" w:cs="宋体"/>
                <w:sz w:val="21"/>
                <w:szCs w:val="21"/>
              </w:rPr>
            </w:pPr>
            <w:r>
              <w:rPr>
                <w:rFonts w:hint="eastAsia"/>
                <w:sz w:val="21"/>
                <w:szCs w:val="21"/>
              </w:rPr>
              <w:t>3.7</w:t>
            </w:r>
            <w:r>
              <w:rPr>
                <w:rFonts w:hint="eastAsia" w:ascii="宋体" w:hAnsi="宋体"/>
                <w:sz w:val="21"/>
                <w:szCs w:val="21"/>
              </w:rPr>
              <w:t>9×10</w:t>
            </w:r>
            <w:r>
              <w:rPr>
                <w:rFonts w:hint="eastAsia"/>
                <w:sz w:val="21"/>
                <w:szCs w:val="21"/>
                <w:vertAlign w:val="superscript"/>
              </w:rPr>
              <w:t>-5</w:t>
            </w:r>
          </w:p>
        </w:tc>
        <w:tc>
          <w:tcPr>
            <w:tcW w:w="884" w:type="dxa"/>
            <w:shd w:val="clear" w:color="auto" w:fill="F3F3F3"/>
            <w:noWrap w:val="0"/>
            <w:vAlign w:val="center"/>
          </w:tcPr>
          <w:p>
            <w:pPr>
              <w:spacing w:line="400" w:lineRule="exact"/>
              <w:jc w:val="center"/>
              <w:rPr>
                <w:rFonts w:ascii="宋体" w:hAnsi="宋体" w:cs="宋体"/>
                <w:sz w:val="21"/>
                <w:szCs w:val="21"/>
              </w:rPr>
            </w:pPr>
            <w:r>
              <w:rPr>
                <w:rFonts w:hint="eastAsia"/>
                <w:sz w:val="21"/>
                <w:szCs w:val="21"/>
              </w:rPr>
              <w:t>0.038</w:t>
            </w:r>
          </w:p>
        </w:tc>
        <w:tc>
          <w:tcPr>
            <w:tcW w:w="1287" w:type="dxa"/>
            <w:shd w:val="clear" w:color="auto" w:fill="F3F3F3"/>
            <w:noWrap w:val="0"/>
            <w:vAlign w:val="center"/>
          </w:tcPr>
          <w:p>
            <w:pPr>
              <w:spacing w:line="400" w:lineRule="exact"/>
              <w:jc w:val="center"/>
              <w:rPr>
                <w:rFonts w:ascii="宋体" w:hAnsi="宋体" w:cs="宋体"/>
                <w:sz w:val="21"/>
                <w:szCs w:val="21"/>
              </w:rPr>
            </w:pPr>
            <w:r>
              <w:rPr>
                <w:rFonts w:hint="eastAsia"/>
                <w:sz w:val="21"/>
                <w:szCs w:val="21"/>
              </w:rPr>
              <w:t>3.63</w:t>
            </w:r>
            <w:r>
              <w:rPr>
                <w:rFonts w:hint="eastAsia" w:ascii="宋体" w:hAnsi="宋体"/>
                <w:sz w:val="21"/>
                <w:szCs w:val="21"/>
              </w:rPr>
              <w:t>×10</w:t>
            </w:r>
            <w:r>
              <w:rPr>
                <w:rFonts w:hint="eastAsia"/>
                <w:sz w:val="21"/>
                <w:szCs w:val="21"/>
                <w:vertAlign w:val="superscript"/>
              </w:rPr>
              <w:t>-5</w:t>
            </w:r>
          </w:p>
        </w:tc>
        <w:tc>
          <w:tcPr>
            <w:tcW w:w="1041" w:type="dxa"/>
            <w:shd w:val="clear" w:color="auto" w:fill="F3F3F3"/>
            <w:noWrap w:val="0"/>
            <w:vAlign w:val="center"/>
          </w:tcPr>
          <w:p>
            <w:pPr>
              <w:spacing w:line="400" w:lineRule="exact"/>
              <w:jc w:val="center"/>
              <w:rPr>
                <w:rFonts w:ascii="宋体" w:hAnsi="宋体" w:cs="宋体"/>
                <w:sz w:val="21"/>
                <w:szCs w:val="21"/>
              </w:rPr>
            </w:pPr>
            <w:r>
              <w:rPr>
                <w:rFonts w:hint="eastAsia"/>
                <w:sz w:val="21"/>
                <w:szCs w:val="21"/>
              </w:rPr>
              <w:t>0.061</w:t>
            </w:r>
          </w:p>
        </w:tc>
        <w:tc>
          <w:tcPr>
            <w:tcW w:w="1287" w:type="dxa"/>
            <w:shd w:val="clear" w:color="auto" w:fill="F3F3F3"/>
            <w:noWrap w:val="0"/>
            <w:vAlign w:val="center"/>
          </w:tcPr>
          <w:p>
            <w:pPr>
              <w:jc w:val="center"/>
              <w:rPr>
                <w:rFonts w:ascii="宋体" w:hAnsi="宋体" w:cs="宋体"/>
                <w:sz w:val="21"/>
                <w:szCs w:val="21"/>
              </w:rPr>
            </w:pPr>
            <w:r>
              <w:rPr>
                <w:rFonts w:hint="eastAsia"/>
                <w:sz w:val="21"/>
                <w:szCs w:val="21"/>
              </w:rPr>
              <w:t>2.05</w:t>
            </w:r>
            <w:r>
              <w:rPr>
                <w:rFonts w:hint="eastAsia" w:ascii="宋体" w:hAnsi="宋体"/>
                <w:sz w:val="21"/>
                <w:szCs w:val="21"/>
              </w:rPr>
              <w:t>×10</w:t>
            </w:r>
            <w:r>
              <w:rPr>
                <w:rFonts w:hint="eastAsia"/>
                <w:sz w:val="21"/>
                <w:szCs w:val="21"/>
                <w:vertAlign w:val="superscript"/>
              </w:rPr>
              <w:t>-4</w:t>
            </w:r>
          </w:p>
        </w:tc>
        <w:tc>
          <w:tcPr>
            <w:tcW w:w="1041" w:type="dxa"/>
            <w:shd w:val="clear" w:color="auto" w:fill="F3F3F3"/>
            <w:noWrap w:val="0"/>
            <w:vAlign w:val="center"/>
          </w:tcPr>
          <w:p>
            <w:pPr>
              <w:jc w:val="center"/>
              <w:rPr>
                <w:rFonts w:ascii="宋体" w:hAnsi="宋体" w:cs="宋体"/>
                <w:sz w:val="21"/>
                <w:szCs w:val="21"/>
              </w:rPr>
            </w:pPr>
            <w:r>
              <w:rPr>
                <w:rFonts w:hint="eastAsia"/>
                <w:sz w:val="21"/>
                <w:szCs w:val="21"/>
              </w:rPr>
              <w:t>0.256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287" w:type="dxa"/>
            <w:noWrap w:val="0"/>
            <w:vAlign w:val="center"/>
          </w:tcPr>
          <w:p>
            <w:pPr>
              <w:spacing w:line="400" w:lineRule="exact"/>
              <w:jc w:val="center"/>
              <w:rPr>
                <w:sz w:val="21"/>
                <w:szCs w:val="21"/>
              </w:rPr>
            </w:pPr>
            <w:r>
              <w:rPr>
                <w:rFonts w:hAnsi="宋体"/>
                <w:sz w:val="21"/>
                <w:szCs w:val="21"/>
              </w:rPr>
              <w:t>六塘镇</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2.61</w:t>
            </w:r>
            <w:r>
              <w:rPr>
                <w:rFonts w:hint="eastAsia" w:ascii="宋体" w:hAnsi="宋体"/>
                <w:sz w:val="21"/>
                <w:szCs w:val="21"/>
              </w:rPr>
              <w:t>×10</w:t>
            </w:r>
            <w:r>
              <w:rPr>
                <w:rFonts w:hint="eastAsia"/>
                <w:sz w:val="21"/>
                <w:szCs w:val="21"/>
                <w:vertAlign w:val="superscript"/>
              </w:rPr>
              <w:t>-5</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0.026</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2.70</w:t>
            </w:r>
            <w:r>
              <w:rPr>
                <w:rFonts w:hint="eastAsia" w:ascii="宋体" w:hAnsi="宋体"/>
                <w:sz w:val="21"/>
                <w:szCs w:val="21"/>
              </w:rPr>
              <w:t>×10</w:t>
            </w:r>
            <w:r>
              <w:rPr>
                <w:rFonts w:hint="eastAsia"/>
                <w:sz w:val="21"/>
                <w:szCs w:val="21"/>
                <w:vertAlign w:val="superscript"/>
              </w:rPr>
              <w:t>-5</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0.045</w:t>
            </w:r>
          </w:p>
        </w:tc>
        <w:tc>
          <w:tcPr>
            <w:tcW w:w="1287" w:type="dxa"/>
            <w:noWrap w:val="0"/>
            <w:vAlign w:val="center"/>
          </w:tcPr>
          <w:p>
            <w:pPr>
              <w:jc w:val="center"/>
              <w:rPr>
                <w:rFonts w:ascii="宋体" w:hAnsi="宋体" w:cs="宋体"/>
                <w:sz w:val="21"/>
                <w:szCs w:val="21"/>
              </w:rPr>
            </w:pPr>
            <w:r>
              <w:rPr>
                <w:rFonts w:hint="eastAsia"/>
                <w:sz w:val="21"/>
                <w:szCs w:val="21"/>
              </w:rPr>
              <w:t>1.52</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0.190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287" w:type="dxa"/>
            <w:noWrap w:val="0"/>
            <w:vAlign w:val="center"/>
          </w:tcPr>
          <w:p>
            <w:pPr>
              <w:spacing w:line="400" w:lineRule="exact"/>
              <w:jc w:val="center"/>
              <w:rPr>
                <w:sz w:val="21"/>
                <w:szCs w:val="21"/>
              </w:rPr>
            </w:pPr>
            <w:r>
              <w:rPr>
                <w:rFonts w:hAnsi="宋体"/>
                <w:sz w:val="21"/>
                <w:szCs w:val="21"/>
              </w:rPr>
              <w:t>接龙镇</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8.27</w:t>
            </w:r>
            <w:r>
              <w:rPr>
                <w:rFonts w:hint="eastAsia" w:ascii="宋体" w:hAnsi="宋体"/>
                <w:sz w:val="21"/>
                <w:szCs w:val="21"/>
              </w:rPr>
              <w:t>×10</w:t>
            </w:r>
            <w:r>
              <w:rPr>
                <w:rFonts w:hint="eastAsia"/>
                <w:sz w:val="21"/>
                <w:szCs w:val="21"/>
                <w:vertAlign w:val="superscript"/>
              </w:rPr>
              <w:t>-5</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0.083</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9.61</w:t>
            </w:r>
            <w:r>
              <w:rPr>
                <w:rFonts w:hint="eastAsia" w:ascii="宋体" w:hAnsi="宋体"/>
                <w:sz w:val="21"/>
                <w:szCs w:val="21"/>
              </w:rPr>
              <w:t>×10</w:t>
            </w:r>
            <w:r>
              <w:rPr>
                <w:rFonts w:hint="eastAsia"/>
                <w:sz w:val="21"/>
                <w:szCs w:val="21"/>
                <w:vertAlign w:val="superscript"/>
              </w:rPr>
              <w:t>-5</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0.160</w:t>
            </w:r>
          </w:p>
        </w:tc>
        <w:tc>
          <w:tcPr>
            <w:tcW w:w="1287" w:type="dxa"/>
            <w:noWrap w:val="0"/>
            <w:vAlign w:val="center"/>
          </w:tcPr>
          <w:p>
            <w:pPr>
              <w:jc w:val="center"/>
              <w:rPr>
                <w:rFonts w:ascii="宋体" w:hAnsi="宋体" w:cs="宋体"/>
                <w:sz w:val="21"/>
                <w:szCs w:val="21"/>
              </w:rPr>
            </w:pPr>
            <w:r>
              <w:rPr>
                <w:rFonts w:hint="eastAsia"/>
                <w:sz w:val="21"/>
                <w:szCs w:val="21"/>
              </w:rPr>
              <w:t>5.42</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0.677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287" w:type="dxa"/>
            <w:shd w:val="clear" w:color="auto" w:fill="auto"/>
            <w:noWrap w:val="0"/>
            <w:vAlign w:val="center"/>
          </w:tcPr>
          <w:p>
            <w:pPr>
              <w:spacing w:line="400" w:lineRule="exact"/>
              <w:jc w:val="center"/>
              <w:rPr>
                <w:sz w:val="21"/>
                <w:szCs w:val="21"/>
              </w:rPr>
            </w:pPr>
            <w:r>
              <w:rPr>
                <w:rFonts w:hAnsi="宋体"/>
                <w:sz w:val="21"/>
                <w:szCs w:val="21"/>
              </w:rPr>
              <w:t>福里树村</w:t>
            </w:r>
          </w:p>
        </w:tc>
        <w:tc>
          <w:tcPr>
            <w:tcW w:w="1288" w:type="dxa"/>
            <w:shd w:val="clear" w:color="auto" w:fill="auto"/>
            <w:noWrap w:val="0"/>
            <w:vAlign w:val="center"/>
          </w:tcPr>
          <w:p>
            <w:pPr>
              <w:spacing w:line="400" w:lineRule="exact"/>
              <w:jc w:val="center"/>
              <w:rPr>
                <w:rFonts w:ascii="宋体" w:hAnsi="宋体" w:cs="宋体"/>
                <w:sz w:val="21"/>
                <w:szCs w:val="21"/>
              </w:rPr>
            </w:pPr>
            <w:r>
              <w:rPr>
                <w:rFonts w:hint="eastAsia"/>
                <w:sz w:val="21"/>
                <w:szCs w:val="21"/>
              </w:rPr>
              <w:t>3.22</w:t>
            </w:r>
            <w:r>
              <w:rPr>
                <w:rFonts w:hint="eastAsia" w:ascii="宋体" w:hAnsi="宋体"/>
                <w:sz w:val="21"/>
                <w:szCs w:val="21"/>
              </w:rPr>
              <w:t>×10</w:t>
            </w:r>
            <w:r>
              <w:rPr>
                <w:rFonts w:hint="eastAsia"/>
                <w:sz w:val="21"/>
                <w:szCs w:val="21"/>
                <w:vertAlign w:val="superscript"/>
              </w:rPr>
              <w:t>-4</w:t>
            </w:r>
          </w:p>
        </w:tc>
        <w:tc>
          <w:tcPr>
            <w:tcW w:w="884" w:type="dxa"/>
            <w:shd w:val="clear" w:color="auto" w:fill="auto"/>
            <w:noWrap w:val="0"/>
            <w:vAlign w:val="center"/>
          </w:tcPr>
          <w:p>
            <w:pPr>
              <w:spacing w:line="400" w:lineRule="exact"/>
              <w:jc w:val="center"/>
              <w:rPr>
                <w:rFonts w:ascii="宋体" w:hAnsi="宋体" w:cs="宋体"/>
                <w:sz w:val="21"/>
                <w:szCs w:val="21"/>
              </w:rPr>
            </w:pPr>
            <w:r>
              <w:rPr>
                <w:rFonts w:hint="eastAsia"/>
                <w:sz w:val="21"/>
                <w:szCs w:val="21"/>
              </w:rPr>
              <w:t>0.322</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2.87</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0.478</w:t>
            </w:r>
          </w:p>
        </w:tc>
        <w:tc>
          <w:tcPr>
            <w:tcW w:w="1287" w:type="dxa"/>
            <w:noWrap w:val="0"/>
            <w:vAlign w:val="center"/>
          </w:tcPr>
          <w:p>
            <w:pPr>
              <w:jc w:val="center"/>
              <w:rPr>
                <w:rFonts w:ascii="宋体" w:hAnsi="宋体" w:cs="宋体"/>
                <w:sz w:val="21"/>
                <w:szCs w:val="21"/>
              </w:rPr>
            </w:pPr>
            <w:r>
              <w:rPr>
                <w:rFonts w:hint="eastAsia"/>
                <w:sz w:val="21"/>
                <w:szCs w:val="21"/>
              </w:rPr>
              <w:t>1.62</w:t>
            </w:r>
            <w:r>
              <w:rPr>
                <w:rFonts w:hint="eastAsia" w:ascii="宋体" w:hAnsi="宋体"/>
                <w:sz w:val="21"/>
                <w:szCs w:val="21"/>
              </w:rPr>
              <w:t>×10</w:t>
            </w:r>
            <w:r>
              <w:rPr>
                <w:rFonts w:hint="eastAsia"/>
                <w:sz w:val="21"/>
                <w:szCs w:val="21"/>
                <w:vertAlign w:val="superscript"/>
              </w:rPr>
              <w:t>-3</w:t>
            </w:r>
          </w:p>
        </w:tc>
        <w:tc>
          <w:tcPr>
            <w:tcW w:w="1041" w:type="dxa"/>
            <w:noWrap w:val="0"/>
            <w:vAlign w:val="center"/>
          </w:tcPr>
          <w:p>
            <w:pPr>
              <w:jc w:val="center"/>
              <w:rPr>
                <w:rFonts w:ascii="宋体" w:hAnsi="宋体" w:cs="宋体"/>
                <w:sz w:val="21"/>
                <w:szCs w:val="21"/>
              </w:rPr>
            </w:pPr>
            <w:r>
              <w:rPr>
                <w:rFonts w:hint="eastAsia"/>
                <w:sz w:val="21"/>
                <w:szCs w:val="21"/>
              </w:rPr>
              <w:t>2.021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287" w:type="dxa"/>
            <w:shd w:val="clear" w:color="auto" w:fill="auto"/>
            <w:noWrap w:val="0"/>
            <w:vAlign w:val="center"/>
          </w:tcPr>
          <w:p>
            <w:pPr>
              <w:spacing w:line="400" w:lineRule="exact"/>
              <w:jc w:val="center"/>
              <w:rPr>
                <w:sz w:val="21"/>
                <w:szCs w:val="21"/>
              </w:rPr>
            </w:pPr>
            <w:r>
              <w:rPr>
                <w:rFonts w:hAnsi="宋体"/>
                <w:sz w:val="21"/>
                <w:szCs w:val="21"/>
              </w:rPr>
              <w:t>殷家老院子</w:t>
            </w:r>
          </w:p>
        </w:tc>
        <w:tc>
          <w:tcPr>
            <w:tcW w:w="1288" w:type="dxa"/>
            <w:shd w:val="clear" w:color="auto" w:fill="auto"/>
            <w:noWrap w:val="0"/>
            <w:vAlign w:val="center"/>
          </w:tcPr>
          <w:p>
            <w:pPr>
              <w:spacing w:line="400" w:lineRule="exact"/>
              <w:jc w:val="center"/>
              <w:rPr>
                <w:rFonts w:ascii="宋体" w:hAnsi="宋体" w:cs="宋体"/>
                <w:sz w:val="21"/>
                <w:szCs w:val="21"/>
              </w:rPr>
            </w:pPr>
            <w:r>
              <w:rPr>
                <w:rFonts w:hint="eastAsia"/>
                <w:sz w:val="21"/>
                <w:szCs w:val="21"/>
              </w:rPr>
              <w:t>1.48</w:t>
            </w:r>
            <w:r>
              <w:rPr>
                <w:rFonts w:hint="eastAsia" w:ascii="宋体" w:hAnsi="宋体"/>
                <w:sz w:val="21"/>
                <w:szCs w:val="21"/>
              </w:rPr>
              <w:t>×10</w:t>
            </w:r>
            <w:r>
              <w:rPr>
                <w:rFonts w:hint="eastAsia"/>
                <w:sz w:val="21"/>
                <w:szCs w:val="21"/>
                <w:vertAlign w:val="superscript"/>
              </w:rPr>
              <w:t>-4</w:t>
            </w:r>
          </w:p>
        </w:tc>
        <w:tc>
          <w:tcPr>
            <w:tcW w:w="884" w:type="dxa"/>
            <w:shd w:val="clear" w:color="auto" w:fill="auto"/>
            <w:noWrap w:val="0"/>
            <w:vAlign w:val="center"/>
          </w:tcPr>
          <w:p>
            <w:pPr>
              <w:spacing w:line="400" w:lineRule="exact"/>
              <w:jc w:val="center"/>
              <w:rPr>
                <w:rFonts w:ascii="宋体" w:hAnsi="宋体" w:cs="宋体"/>
                <w:sz w:val="21"/>
                <w:szCs w:val="21"/>
              </w:rPr>
            </w:pPr>
            <w:r>
              <w:rPr>
                <w:rFonts w:hint="eastAsia"/>
                <w:sz w:val="21"/>
                <w:szCs w:val="21"/>
              </w:rPr>
              <w:t>0.148</w:t>
            </w:r>
          </w:p>
        </w:tc>
        <w:tc>
          <w:tcPr>
            <w:tcW w:w="1287" w:type="dxa"/>
            <w:shd w:val="clear" w:color="auto" w:fill="auto"/>
            <w:noWrap w:val="0"/>
            <w:vAlign w:val="center"/>
          </w:tcPr>
          <w:p>
            <w:pPr>
              <w:spacing w:line="400" w:lineRule="exact"/>
              <w:jc w:val="center"/>
              <w:rPr>
                <w:rFonts w:ascii="宋体" w:hAnsi="宋体" w:cs="宋体"/>
                <w:sz w:val="21"/>
                <w:szCs w:val="21"/>
              </w:rPr>
            </w:pPr>
            <w:r>
              <w:rPr>
                <w:rFonts w:hint="eastAsia"/>
                <w:sz w:val="21"/>
                <w:szCs w:val="21"/>
              </w:rPr>
              <w:t>1.65</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0.275</w:t>
            </w:r>
          </w:p>
        </w:tc>
        <w:tc>
          <w:tcPr>
            <w:tcW w:w="1287" w:type="dxa"/>
            <w:noWrap w:val="0"/>
            <w:vAlign w:val="center"/>
          </w:tcPr>
          <w:p>
            <w:pPr>
              <w:jc w:val="center"/>
              <w:rPr>
                <w:rFonts w:ascii="宋体" w:hAnsi="宋体" w:cs="宋体"/>
                <w:sz w:val="21"/>
                <w:szCs w:val="21"/>
              </w:rPr>
            </w:pPr>
            <w:r>
              <w:rPr>
                <w:rFonts w:hint="eastAsia"/>
                <w:sz w:val="21"/>
                <w:szCs w:val="21"/>
              </w:rPr>
              <w:t>9.31</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1.164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2287" w:type="dxa"/>
            <w:noWrap w:val="0"/>
            <w:vAlign w:val="center"/>
          </w:tcPr>
          <w:p>
            <w:pPr>
              <w:spacing w:line="400" w:lineRule="exact"/>
              <w:jc w:val="center"/>
              <w:rPr>
                <w:sz w:val="21"/>
                <w:szCs w:val="21"/>
              </w:rPr>
            </w:pPr>
            <w:r>
              <w:rPr>
                <w:rFonts w:hAnsi="宋体"/>
                <w:sz w:val="21"/>
                <w:szCs w:val="21"/>
              </w:rPr>
              <w:t>璧山县</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3.47</w:t>
            </w:r>
            <w:r>
              <w:rPr>
                <w:rFonts w:hint="eastAsia" w:ascii="宋体" w:hAnsi="宋体"/>
                <w:sz w:val="21"/>
                <w:szCs w:val="21"/>
              </w:rPr>
              <w:t>×10</w:t>
            </w:r>
            <w:r>
              <w:rPr>
                <w:rFonts w:hint="eastAsia"/>
                <w:sz w:val="21"/>
                <w:szCs w:val="21"/>
                <w:vertAlign w:val="superscript"/>
              </w:rPr>
              <w:t>-5</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0.035</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2.28</w:t>
            </w:r>
            <w:r>
              <w:rPr>
                <w:rFonts w:hint="eastAsia" w:ascii="宋体" w:hAnsi="宋体"/>
                <w:sz w:val="21"/>
                <w:szCs w:val="21"/>
              </w:rPr>
              <w:t>×10</w:t>
            </w:r>
            <w:r>
              <w:rPr>
                <w:rFonts w:hint="eastAsia"/>
                <w:sz w:val="21"/>
                <w:szCs w:val="21"/>
                <w:vertAlign w:val="superscript"/>
              </w:rPr>
              <w:t>-5</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0.038</w:t>
            </w:r>
          </w:p>
        </w:tc>
        <w:tc>
          <w:tcPr>
            <w:tcW w:w="1287" w:type="dxa"/>
            <w:noWrap w:val="0"/>
            <w:vAlign w:val="center"/>
          </w:tcPr>
          <w:p>
            <w:pPr>
              <w:jc w:val="center"/>
              <w:rPr>
                <w:rFonts w:ascii="宋体" w:hAnsi="宋体" w:cs="宋体"/>
                <w:sz w:val="21"/>
                <w:szCs w:val="21"/>
              </w:rPr>
            </w:pPr>
            <w:r>
              <w:rPr>
                <w:rFonts w:hint="eastAsia"/>
                <w:sz w:val="21"/>
                <w:szCs w:val="21"/>
              </w:rPr>
              <w:t>1.29</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0.161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2287" w:type="dxa"/>
            <w:noWrap w:val="0"/>
            <w:vAlign w:val="center"/>
          </w:tcPr>
          <w:p>
            <w:pPr>
              <w:spacing w:line="400" w:lineRule="exact"/>
              <w:jc w:val="center"/>
              <w:rPr>
                <w:rFonts w:hint="eastAsia"/>
                <w:sz w:val="21"/>
                <w:szCs w:val="21"/>
              </w:rPr>
            </w:pPr>
            <w:r>
              <w:rPr>
                <w:rFonts w:hAnsi="宋体"/>
                <w:sz w:val="21"/>
                <w:szCs w:val="21"/>
              </w:rPr>
              <w:t>青鹏煤业公司</w:t>
            </w:r>
            <w:r>
              <w:rPr>
                <w:rFonts w:hint="eastAsia" w:hAnsi="宋体"/>
                <w:sz w:val="21"/>
                <w:szCs w:val="21"/>
              </w:rPr>
              <w:t>家属院</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1.67</w:t>
            </w:r>
            <w:r>
              <w:rPr>
                <w:rFonts w:hint="eastAsia" w:ascii="宋体" w:hAnsi="宋体"/>
                <w:sz w:val="21"/>
                <w:szCs w:val="21"/>
              </w:rPr>
              <w:t>×10</w:t>
            </w:r>
            <w:r>
              <w:rPr>
                <w:rFonts w:hint="eastAsia"/>
                <w:sz w:val="21"/>
                <w:szCs w:val="21"/>
                <w:vertAlign w:val="superscript"/>
              </w:rPr>
              <w:t>-4</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0.167</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2.41</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0.402</w:t>
            </w:r>
          </w:p>
        </w:tc>
        <w:tc>
          <w:tcPr>
            <w:tcW w:w="1287" w:type="dxa"/>
            <w:noWrap w:val="0"/>
            <w:vAlign w:val="center"/>
          </w:tcPr>
          <w:p>
            <w:pPr>
              <w:jc w:val="center"/>
              <w:rPr>
                <w:rFonts w:ascii="宋体" w:hAnsi="宋体" w:cs="宋体"/>
                <w:sz w:val="21"/>
                <w:szCs w:val="21"/>
              </w:rPr>
            </w:pPr>
            <w:r>
              <w:rPr>
                <w:rFonts w:hint="eastAsia"/>
                <w:sz w:val="21"/>
                <w:szCs w:val="21"/>
              </w:rPr>
              <w:t>1.36</w:t>
            </w:r>
            <w:r>
              <w:rPr>
                <w:rFonts w:hint="eastAsia" w:ascii="宋体" w:hAnsi="宋体"/>
                <w:sz w:val="21"/>
                <w:szCs w:val="21"/>
              </w:rPr>
              <w:t>×10</w:t>
            </w:r>
            <w:r>
              <w:rPr>
                <w:rFonts w:hint="eastAsia"/>
                <w:sz w:val="21"/>
                <w:szCs w:val="21"/>
                <w:vertAlign w:val="superscript"/>
              </w:rPr>
              <w:t>-3</w:t>
            </w:r>
          </w:p>
        </w:tc>
        <w:tc>
          <w:tcPr>
            <w:tcW w:w="1041" w:type="dxa"/>
            <w:noWrap w:val="0"/>
            <w:vAlign w:val="center"/>
          </w:tcPr>
          <w:p>
            <w:pPr>
              <w:jc w:val="center"/>
              <w:rPr>
                <w:rFonts w:ascii="宋体" w:hAnsi="宋体" w:cs="宋体"/>
                <w:sz w:val="21"/>
                <w:szCs w:val="21"/>
              </w:rPr>
            </w:pPr>
            <w:r>
              <w:rPr>
                <w:rFonts w:hint="eastAsia"/>
                <w:sz w:val="21"/>
                <w:szCs w:val="21"/>
              </w:rPr>
              <w:t>1.701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2287" w:type="dxa"/>
            <w:noWrap w:val="0"/>
            <w:vAlign w:val="center"/>
          </w:tcPr>
          <w:p>
            <w:pPr>
              <w:spacing w:line="400" w:lineRule="exact"/>
              <w:jc w:val="center"/>
              <w:rPr>
                <w:sz w:val="21"/>
                <w:szCs w:val="21"/>
              </w:rPr>
            </w:pPr>
            <w:r>
              <w:rPr>
                <w:rFonts w:hAnsi="宋体"/>
                <w:sz w:val="21"/>
                <w:szCs w:val="21"/>
              </w:rPr>
              <w:t>青木关镇</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1.60</w:t>
            </w:r>
            <w:r>
              <w:rPr>
                <w:rFonts w:hint="eastAsia" w:ascii="宋体" w:hAnsi="宋体"/>
                <w:sz w:val="21"/>
                <w:szCs w:val="21"/>
              </w:rPr>
              <w:t>×10</w:t>
            </w:r>
            <w:r>
              <w:rPr>
                <w:rFonts w:hint="eastAsia"/>
                <w:sz w:val="21"/>
                <w:szCs w:val="21"/>
                <w:vertAlign w:val="superscript"/>
              </w:rPr>
              <w:t>-4</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0.160</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1.79</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0.299</w:t>
            </w:r>
          </w:p>
        </w:tc>
        <w:tc>
          <w:tcPr>
            <w:tcW w:w="1287" w:type="dxa"/>
            <w:noWrap w:val="0"/>
            <w:vAlign w:val="center"/>
          </w:tcPr>
          <w:p>
            <w:pPr>
              <w:jc w:val="center"/>
              <w:rPr>
                <w:rFonts w:ascii="宋体" w:hAnsi="宋体" w:cs="宋体"/>
                <w:sz w:val="21"/>
                <w:szCs w:val="21"/>
              </w:rPr>
            </w:pPr>
            <w:r>
              <w:rPr>
                <w:rFonts w:hint="eastAsia"/>
                <w:sz w:val="21"/>
                <w:szCs w:val="21"/>
              </w:rPr>
              <w:t>1.01</w:t>
            </w:r>
            <w:r>
              <w:rPr>
                <w:rFonts w:hint="eastAsia" w:ascii="宋体" w:hAnsi="宋体"/>
                <w:sz w:val="21"/>
                <w:szCs w:val="21"/>
              </w:rPr>
              <w:t>×10</w:t>
            </w:r>
            <w:r>
              <w:rPr>
                <w:rFonts w:hint="eastAsia"/>
                <w:sz w:val="21"/>
                <w:szCs w:val="21"/>
                <w:vertAlign w:val="superscript"/>
              </w:rPr>
              <w:t>-3</w:t>
            </w:r>
          </w:p>
        </w:tc>
        <w:tc>
          <w:tcPr>
            <w:tcW w:w="1041" w:type="dxa"/>
            <w:noWrap w:val="0"/>
            <w:vAlign w:val="center"/>
          </w:tcPr>
          <w:p>
            <w:pPr>
              <w:jc w:val="center"/>
              <w:rPr>
                <w:rFonts w:ascii="宋体" w:hAnsi="宋体" w:cs="宋体"/>
                <w:sz w:val="21"/>
                <w:szCs w:val="21"/>
              </w:rPr>
            </w:pPr>
            <w:r>
              <w:rPr>
                <w:rFonts w:hint="eastAsia"/>
                <w:sz w:val="21"/>
                <w:szCs w:val="21"/>
              </w:rPr>
              <w:t>1.262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287" w:type="dxa"/>
            <w:noWrap w:val="0"/>
            <w:vAlign w:val="center"/>
          </w:tcPr>
          <w:p>
            <w:pPr>
              <w:spacing w:line="400" w:lineRule="exact"/>
              <w:jc w:val="center"/>
              <w:rPr>
                <w:sz w:val="21"/>
                <w:szCs w:val="21"/>
              </w:rPr>
            </w:pPr>
            <w:r>
              <w:rPr>
                <w:rFonts w:hAnsi="宋体"/>
                <w:sz w:val="21"/>
                <w:szCs w:val="21"/>
              </w:rPr>
              <w:t>凤凰镇</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3.54</w:t>
            </w:r>
            <w:r>
              <w:rPr>
                <w:rFonts w:hint="eastAsia" w:ascii="宋体" w:hAnsi="宋体"/>
                <w:sz w:val="21"/>
                <w:szCs w:val="21"/>
              </w:rPr>
              <w:t>×10</w:t>
            </w:r>
            <w:r>
              <w:rPr>
                <w:rFonts w:hint="eastAsia"/>
                <w:sz w:val="21"/>
                <w:szCs w:val="21"/>
                <w:vertAlign w:val="superscript"/>
              </w:rPr>
              <w:t>-5</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0.035</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3.33</w:t>
            </w:r>
            <w:r>
              <w:rPr>
                <w:rFonts w:hint="eastAsia" w:ascii="宋体" w:hAnsi="宋体"/>
                <w:sz w:val="21"/>
                <w:szCs w:val="21"/>
              </w:rPr>
              <w:t>×10</w:t>
            </w:r>
            <w:r>
              <w:rPr>
                <w:rFonts w:hint="eastAsia"/>
                <w:sz w:val="21"/>
                <w:szCs w:val="21"/>
                <w:vertAlign w:val="superscript"/>
              </w:rPr>
              <w:t>-5</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0.056</w:t>
            </w:r>
          </w:p>
        </w:tc>
        <w:tc>
          <w:tcPr>
            <w:tcW w:w="1287" w:type="dxa"/>
            <w:noWrap w:val="0"/>
            <w:vAlign w:val="center"/>
          </w:tcPr>
          <w:p>
            <w:pPr>
              <w:jc w:val="center"/>
              <w:rPr>
                <w:rFonts w:ascii="宋体" w:hAnsi="宋体" w:cs="宋体"/>
                <w:sz w:val="21"/>
                <w:szCs w:val="21"/>
              </w:rPr>
            </w:pPr>
            <w:r>
              <w:rPr>
                <w:rFonts w:hint="eastAsia"/>
                <w:sz w:val="21"/>
                <w:szCs w:val="21"/>
              </w:rPr>
              <w:t>1.88</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0.235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287" w:type="dxa"/>
            <w:noWrap w:val="0"/>
            <w:vAlign w:val="center"/>
          </w:tcPr>
          <w:p>
            <w:pPr>
              <w:spacing w:line="400" w:lineRule="exact"/>
              <w:jc w:val="center"/>
              <w:rPr>
                <w:sz w:val="21"/>
                <w:szCs w:val="21"/>
              </w:rPr>
            </w:pPr>
            <w:r>
              <w:rPr>
                <w:rFonts w:hAnsi="宋体"/>
                <w:sz w:val="21"/>
                <w:szCs w:val="21"/>
              </w:rPr>
              <w:t>管家桥村</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6.26</w:t>
            </w:r>
            <w:r>
              <w:rPr>
                <w:rFonts w:hint="eastAsia" w:ascii="宋体" w:hAnsi="宋体"/>
                <w:sz w:val="21"/>
                <w:szCs w:val="21"/>
              </w:rPr>
              <w:t>×10</w:t>
            </w:r>
            <w:r>
              <w:rPr>
                <w:rFonts w:hint="eastAsia"/>
                <w:sz w:val="21"/>
                <w:szCs w:val="21"/>
                <w:vertAlign w:val="superscript"/>
              </w:rPr>
              <w:t>-4</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0.626</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9.69</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1.614</w:t>
            </w:r>
          </w:p>
        </w:tc>
        <w:tc>
          <w:tcPr>
            <w:tcW w:w="1287" w:type="dxa"/>
            <w:noWrap w:val="0"/>
            <w:vAlign w:val="center"/>
          </w:tcPr>
          <w:p>
            <w:pPr>
              <w:jc w:val="center"/>
              <w:rPr>
                <w:rFonts w:ascii="宋体" w:hAnsi="宋体" w:cs="宋体"/>
                <w:sz w:val="21"/>
                <w:szCs w:val="21"/>
              </w:rPr>
            </w:pPr>
            <w:r>
              <w:rPr>
                <w:rFonts w:hint="eastAsia"/>
                <w:sz w:val="21"/>
                <w:szCs w:val="21"/>
              </w:rPr>
              <w:t>5.46</w:t>
            </w:r>
            <w:r>
              <w:rPr>
                <w:rFonts w:hint="eastAsia" w:ascii="宋体" w:hAnsi="宋体"/>
                <w:sz w:val="21"/>
                <w:szCs w:val="21"/>
              </w:rPr>
              <w:t>×10</w:t>
            </w:r>
            <w:r>
              <w:rPr>
                <w:rFonts w:hint="eastAsia"/>
                <w:sz w:val="21"/>
                <w:szCs w:val="21"/>
                <w:vertAlign w:val="superscript"/>
              </w:rPr>
              <w:t>-3</w:t>
            </w:r>
          </w:p>
        </w:tc>
        <w:tc>
          <w:tcPr>
            <w:tcW w:w="1041" w:type="dxa"/>
            <w:noWrap w:val="0"/>
            <w:vAlign w:val="center"/>
          </w:tcPr>
          <w:p>
            <w:pPr>
              <w:jc w:val="center"/>
              <w:rPr>
                <w:rFonts w:ascii="宋体" w:hAnsi="宋体" w:cs="宋体"/>
                <w:sz w:val="21"/>
                <w:szCs w:val="21"/>
              </w:rPr>
            </w:pPr>
            <w:r>
              <w:rPr>
                <w:rFonts w:hint="eastAsia"/>
                <w:sz w:val="21"/>
                <w:szCs w:val="21"/>
              </w:rPr>
              <w:t>6.820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287" w:type="dxa"/>
            <w:noWrap w:val="0"/>
            <w:vAlign w:val="center"/>
          </w:tcPr>
          <w:p>
            <w:pPr>
              <w:spacing w:line="400" w:lineRule="exact"/>
              <w:jc w:val="center"/>
              <w:rPr>
                <w:sz w:val="21"/>
                <w:szCs w:val="21"/>
              </w:rPr>
            </w:pPr>
            <w:r>
              <w:rPr>
                <w:rFonts w:hAnsi="宋体"/>
                <w:sz w:val="21"/>
                <w:szCs w:val="21"/>
              </w:rPr>
              <w:t>陈家桥镇</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2.59</w:t>
            </w:r>
            <w:r>
              <w:rPr>
                <w:rFonts w:hint="eastAsia" w:ascii="宋体" w:hAnsi="宋体"/>
                <w:sz w:val="21"/>
                <w:szCs w:val="21"/>
              </w:rPr>
              <w:t>×10</w:t>
            </w:r>
            <w:r>
              <w:rPr>
                <w:rFonts w:hint="eastAsia"/>
                <w:sz w:val="21"/>
                <w:szCs w:val="21"/>
                <w:vertAlign w:val="superscript"/>
              </w:rPr>
              <w:t>-4</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0.259</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2.72</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0.453</w:t>
            </w:r>
          </w:p>
        </w:tc>
        <w:tc>
          <w:tcPr>
            <w:tcW w:w="1287" w:type="dxa"/>
            <w:noWrap w:val="0"/>
            <w:vAlign w:val="center"/>
          </w:tcPr>
          <w:p>
            <w:pPr>
              <w:jc w:val="center"/>
              <w:rPr>
                <w:rFonts w:ascii="宋体" w:hAnsi="宋体" w:cs="宋体"/>
                <w:sz w:val="21"/>
                <w:szCs w:val="21"/>
              </w:rPr>
            </w:pPr>
            <w:r>
              <w:rPr>
                <w:rFonts w:hint="eastAsia"/>
                <w:sz w:val="21"/>
                <w:szCs w:val="21"/>
              </w:rPr>
              <w:t>1.53</w:t>
            </w:r>
            <w:r>
              <w:rPr>
                <w:rFonts w:hint="eastAsia" w:ascii="宋体" w:hAnsi="宋体"/>
                <w:sz w:val="21"/>
                <w:szCs w:val="21"/>
              </w:rPr>
              <w:t>×10</w:t>
            </w:r>
            <w:r>
              <w:rPr>
                <w:rFonts w:hint="eastAsia"/>
                <w:sz w:val="21"/>
                <w:szCs w:val="21"/>
                <w:vertAlign w:val="superscript"/>
              </w:rPr>
              <w:t>-3</w:t>
            </w:r>
          </w:p>
        </w:tc>
        <w:tc>
          <w:tcPr>
            <w:tcW w:w="1041" w:type="dxa"/>
            <w:noWrap w:val="0"/>
            <w:vAlign w:val="center"/>
          </w:tcPr>
          <w:p>
            <w:pPr>
              <w:jc w:val="center"/>
              <w:rPr>
                <w:rFonts w:ascii="宋体" w:hAnsi="宋体" w:cs="宋体"/>
                <w:sz w:val="21"/>
                <w:szCs w:val="21"/>
              </w:rPr>
            </w:pPr>
            <w:r>
              <w:rPr>
                <w:rFonts w:hint="eastAsia"/>
                <w:sz w:val="21"/>
                <w:szCs w:val="21"/>
              </w:rPr>
              <w:t>1.915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287" w:type="dxa"/>
            <w:noWrap w:val="0"/>
            <w:vAlign w:val="center"/>
          </w:tcPr>
          <w:p>
            <w:pPr>
              <w:spacing w:line="400" w:lineRule="exact"/>
              <w:jc w:val="center"/>
              <w:rPr>
                <w:sz w:val="21"/>
                <w:szCs w:val="21"/>
              </w:rPr>
            </w:pPr>
            <w:r>
              <w:rPr>
                <w:rFonts w:hAnsi="宋体"/>
                <w:sz w:val="21"/>
                <w:szCs w:val="21"/>
              </w:rPr>
              <w:t>大学城</w:t>
            </w:r>
          </w:p>
        </w:tc>
        <w:tc>
          <w:tcPr>
            <w:tcW w:w="1288" w:type="dxa"/>
            <w:noWrap w:val="0"/>
            <w:vAlign w:val="center"/>
          </w:tcPr>
          <w:p>
            <w:pPr>
              <w:spacing w:line="400" w:lineRule="exact"/>
              <w:jc w:val="center"/>
              <w:rPr>
                <w:rFonts w:ascii="宋体" w:hAnsi="宋体" w:cs="宋体"/>
                <w:sz w:val="21"/>
                <w:szCs w:val="21"/>
              </w:rPr>
            </w:pPr>
            <w:r>
              <w:rPr>
                <w:rFonts w:hint="eastAsia"/>
                <w:sz w:val="21"/>
                <w:szCs w:val="21"/>
              </w:rPr>
              <w:t>1.51</w:t>
            </w:r>
            <w:r>
              <w:rPr>
                <w:rFonts w:hint="eastAsia" w:ascii="宋体" w:hAnsi="宋体"/>
                <w:sz w:val="21"/>
                <w:szCs w:val="21"/>
              </w:rPr>
              <w:t>×10</w:t>
            </w:r>
            <w:r>
              <w:rPr>
                <w:rFonts w:hint="eastAsia"/>
                <w:sz w:val="21"/>
                <w:szCs w:val="21"/>
                <w:vertAlign w:val="superscript"/>
              </w:rPr>
              <w:t>-4</w:t>
            </w:r>
          </w:p>
        </w:tc>
        <w:tc>
          <w:tcPr>
            <w:tcW w:w="884" w:type="dxa"/>
            <w:noWrap w:val="0"/>
            <w:vAlign w:val="center"/>
          </w:tcPr>
          <w:p>
            <w:pPr>
              <w:spacing w:line="400" w:lineRule="exact"/>
              <w:jc w:val="center"/>
              <w:rPr>
                <w:rFonts w:ascii="宋体" w:hAnsi="宋体" w:cs="宋体"/>
                <w:sz w:val="21"/>
                <w:szCs w:val="21"/>
              </w:rPr>
            </w:pPr>
            <w:r>
              <w:rPr>
                <w:rFonts w:hint="eastAsia"/>
                <w:sz w:val="21"/>
                <w:szCs w:val="21"/>
              </w:rPr>
              <w:t>0.151</w:t>
            </w:r>
          </w:p>
        </w:tc>
        <w:tc>
          <w:tcPr>
            <w:tcW w:w="1287" w:type="dxa"/>
            <w:noWrap w:val="0"/>
            <w:vAlign w:val="center"/>
          </w:tcPr>
          <w:p>
            <w:pPr>
              <w:spacing w:line="400" w:lineRule="exact"/>
              <w:jc w:val="center"/>
              <w:rPr>
                <w:rFonts w:ascii="宋体" w:hAnsi="宋体" w:cs="宋体"/>
                <w:sz w:val="21"/>
                <w:szCs w:val="21"/>
              </w:rPr>
            </w:pPr>
            <w:r>
              <w:rPr>
                <w:rFonts w:hint="eastAsia"/>
                <w:sz w:val="21"/>
                <w:szCs w:val="21"/>
              </w:rPr>
              <w:t>1.33</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spacing w:line="400" w:lineRule="exact"/>
              <w:jc w:val="center"/>
              <w:rPr>
                <w:rFonts w:ascii="宋体" w:hAnsi="宋体" w:cs="宋体"/>
                <w:sz w:val="21"/>
                <w:szCs w:val="21"/>
              </w:rPr>
            </w:pPr>
            <w:r>
              <w:rPr>
                <w:rFonts w:hint="eastAsia"/>
                <w:sz w:val="21"/>
                <w:szCs w:val="21"/>
              </w:rPr>
              <w:t>0.221</w:t>
            </w:r>
          </w:p>
        </w:tc>
        <w:tc>
          <w:tcPr>
            <w:tcW w:w="1287" w:type="dxa"/>
            <w:noWrap w:val="0"/>
            <w:vAlign w:val="center"/>
          </w:tcPr>
          <w:p>
            <w:pPr>
              <w:jc w:val="center"/>
              <w:rPr>
                <w:rFonts w:ascii="宋体" w:hAnsi="宋体" w:cs="宋体"/>
                <w:sz w:val="21"/>
                <w:szCs w:val="21"/>
              </w:rPr>
            </w:pPr>
            <w:r>
              <w:rPr>
                <w:rFonts w:hint="eastAsia"/>
                <w:sz w:val="21"/>
                <w:szCs w:val="21"/>
              </w:rPr>
              <w:t>7.48</w:t>
            </w:r>
            <w:r>
              <w:rPr>
                <w:rFonts w:hint="eastAsia" w:ascii="宋体" w:hAnsi="宋体"/>
                <w:sz w:val="21"/>
                <w:szCs w:val="21"/>
              </w:rPr>
              <w:t>×10</w:t>
            </w:r>
            <w:r>
              <w:rPr>
                <w:rFonts w:hint="eastAsia"/>
                <w:sz w:val="21"/>
                <w:szCs w:val="21"/>
                <w:vertAlign w:val="superscript"/>
              </w:rPr>
              <w:t>-4</w:t>
            </w:r>
          </w:p>
        </w:tc>
        <w:tc>
          <w:tcPr>
            <w:tcW w:w="1041" w:type="dxa"/>
            <w:noWrap w:val="0"/>
            <w:vAlign w:val="center"/>
          </w:tcPr>
          <w:p>
            <w:pPr>
              <w:jc w:val="center"/>
              <w:rPr>
                <w:rFonts w:ascii="宋体" w:hAnsi="宋体" w:cs="宋体"/>
                <w:sz w:val="21"/>
                <w:szCs w:val="21"/>
              </w:rPr>
            </w:pPr>
            <w:r>
              <w:rPr>
                <w:rFonts w:hint="eastAsia"/>
                <w:sz w:val="21"/>
                <w:szCs w:val="21"/>
              </w:rPr>
              <w:t>0.935</w:t>
            </w:r>
          </w:p>
        </w:tc>
      </w:tr>
    </w:tbl>
    <w:p>
      <w:pPr>
        <w:pStyle w:val="28"/>
        <w:spacing w:line="480" w:lineRule="exact"/>
        <w:ind w:firstLine="480"/>
        <w:rPr>
          <w:rFonts w:hint="eastAsia"/>
        </w:rPr>
      </w:pPr>
    </w:p>
    <w:p>
      <w:pPr>
        <w:pStyle w:val="28"/>
        <w:spacing w:line="480" w:lineRule="exact"/>
        <w:ind w:firstLine="480"/>
        <w:rPr>
          <w:rFonts w:hint="eastAsia"/>
        </w:rPr>
      </w:pPr>
      <w:r>
        <w:t>从表</w:t>
      </w:r>
      <w:r>
        <w:rPr>
          <w:rFonts w:hint="eastAsia"/>
        </w:rPr>
        <w:t>8</w:t>
      </w:r>
      <w:r>
        <w:t>-1</w:t>
      </w:r>
      <w:r>
        <w:rPr>
          <w:rFonts w:hint="eastAsia"/>
        </w:rPr>
        <w:t>5</w:t>
      </w:r>
      <w:r>
        <w:t>可以看出，技改项目对各关心点处PM</w:t>
      </w:r>
      <w:r>
        <w:rPr>
          <w:vertAlign w:val="subscript"/>
        </w:rPr>
        <w:t>10</w:t>
      </w:r>
      <w:r>
        <w:t>、SO</w:t>
      </w:r>
      <w:r>
        <w:rPr>
          <w:vertAlign w:val="subscript"/>
        </w:rPr>
        <w:t>2</w:t>
      </w:r>
      <w:r>
        <w:rPr>
          <w:rFonts w:hint="eastAsia"/>
        </w:rPr>
        <w:t>和N</w:t>
      </w:r>
      <w:r>
        <w:t>O</w:t>
      </w:r>
      <w:r>
        <w:rPr>
          <w:vertAlign w:val="subscript"/>
        </w:rPr>
        <w:t>2</w:t>
      </w:r>
      <w:r>
        <w:t>年均浓度均符合《环境空气质量标准》(GB3095-1996)中的二级标准限值。</w:t>
      </w:r>
    </w:p>
    <w:p>
      <w:pPr>
        <w:spacing w:line="480" w:lineRule="exact"/>
        <w:ind w:firstLine="316" w:firstLineChars="150"/>
        <w:jc w:val="center"/>
        <w:rPr>
          <w:b/>
        </w:rPr>
        <w:sectPr>
          <w:pgSz w:w="11906" w:h="16838"/>
          <w:pgMar w:top="1440" w:right="1418" w:bottom="1440" w:left="1418" w:header="851" w:footer="992" w:gutter="0"/>
          <w:paperSrc w:first="20070" w:other="20070"/>
          <w:cols w:space="425" w:num="1"/>
          <w:docGrid w:linePitch="312" w:charSpace="0"/>
        </w:sectPr>
      </w:pPr>
    </w:p>
    <w:p>
      <w:pPr>
        <w:pStyle w:val="29"/>
        <w:rPr>
          <w:rFonts w:hint="eastAsia" w:ascii="宋体" w:hAnsi="宋体" w:eastAsia="宋体"/>
          <w:b/>
          <w:sz w:val="24"/>
          <w:szCs w:val="24"/>
          <w:vertAlign w:val="superscript"/>
        </w:rPr>
      </w:pPr>
      <w:r>
        <w:rPr>
          <w:rFonts w:ascii="宋体" w:hAnsi="宋体" w:eastAsia="宋体"/>
          <w:b/>
          <w:sz w:val="24"/>
          <w:szCs w:val="24"/>
        </w:rPr>
        <w:t>表</w:t>
      </w:r>
      <w:r>
        <w:rPr>
          <w:rFonts w:hint="eastAsia" w:ascii="宋体" w:hAnsi="宋体" w:eastAsia="宋体"/>
          <w:b/>
          <w:sz w:val="24"/>
          <w:szCs w:val="24"/>
        </w:rPr>
        <w:t>8</w:t>
      </w:r>
      <w:r>
        <w:rPr>
          <w:rFonts w:ascii="宋体" w:hAnsi="宋体" w:eastAsia="宋体"/>
          <w:b/>
          <w:sz w:val="24"/>
          <w:szCs w:val="24"/>
        </w:rPr>
        <w:t>-1</w:t>
      </w:r>
      <w:r>
        <w:rPr>
          <w:rFonts w:hint="eastAsia" w:ascii="宋体" w:hAnsi="宋体" w:eastAsia="宋体"/>
          <w:b/>
          <w:sz w:val="24"/>
          <w:szCs w:val="24"/>
        </w:rPr>
        <w:t>4</w:t>
      </w:r>
      <w:r>
        <w:rPr>
          <w:rFonts w:ascii="宋体" w:hAnsi="宋体" w:eastAsia="宋体"/>
          <w:b/>
          <w:sz w:val="24"/>
          <w:szCs w:val="24"/>
        </w:rPr>
        <w:t xml:space="preserve">  关心点处</w:t>
      </w:r>
      <w:r>
        <w:rPr>
          <w:rFonts w:hint="eastAsia" w:ascii="宋体" w:hAnsi="宋体" w:eastAsia="宋体"/>
          <w:b/>
          <w:sz w:val="24"/>
        </w:rPr>
        <w:t>日均</w:t>
      </w:r>
      <w:r>
        <w:rPr>
          <w:rFonts w:ascii="宋体" w:hAnsi="宋体" w:eastAsia="宋体"/>
          <w:b/>
          <w:sz w:val="24"/>
        </w:rPr>
        <w:t>浓度叠加结果</w:t>
      </w:r>
      <w:r>
        <w:rPr>
          <w:rFonts w:ascii="宋体" w:hAnsi="宋体" w:eastAsia="宋体"/>
          <w:b/>
          <w:sz w:val="24"/>
          <w:szCs w:val="24"/>
        </w:rPr>
        <w:t xml:space="preserve">     单位：</w:t>
      </w:r>
      <w:r>
        <w:rPr>
          <w:rFonts w:hint="eastAsia" w:ascii="宋体" w:hAnsi="宋体" w:eastAsia="宋体"/>
          <w:b/>
          <w:sz w:val="24"/>
          <w:szCs w:val="24"/>
        </w:rPr>
        <w:t>m</w:t>
      </w:r>
      <w:r>
        <w:rPr>
          <w:rFonts w:ascii="宋体" w:hAnsi="宋体" w:eastAsia="宋体"/>
          <w:b/>
          <w:sz w:val="24"/>
          <w:szCs w:val="24"/>
        </w:rPr>
        <w:t>g/m</w:t>
      </w:r>
      <w:r>
        <w:rPr>
          <w:rFonts w:ascii="宋体" w:hAnsi="宋体" w:eastAsia="宋体"/>
          <w:b/>
          <w:sz w:val="24"/>
          <w:szCs w:val="24"/>
          <w:vertAlign w:val="superscript"/>
        </w:rPr>
        <w:t>3</w:t>
      </w:r>
    </w:p>
    <w:p>
      <w:pPr>
        <w:rPr>
          <w:rFonts w:hint="eastAsia" w:ascii="宋体" w:hAnsi="宋体"/>
          <w:b/>
        </w:rPr>
      </w:pPr>
    </w:p>
    <w:tbl>
      <w:tblPr>
        <w:tblStyle w:val="20"/>
        <w:tblW w:w="126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16"/>
        <w:gridCol w:w="801"/>
        <w:gridCol w:w="801"/>
        <w:gridCol w:w="801"/>
        <w:gridCol w:w="936"/>
        <w:gridCol w:w="1116"/>
        <w:gridCol w:w="801"/>
        <w:gridCol w:w="1296"/>
        <w:gridCol w:w="936"/>
        <w:gridCol w:w="801"/>
        <w:gridCol w:w="936"/>
        <w:gridCol w:w="936"/>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713" w:type="dxa"/>
            <w:gridSpan w:val="2"/>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点位</w:t>
            </w:r>
          </w:p>
        </w:tc>
        <w:tc>
          <w:tcPr>
            <w:tcW w:w="801" w:type="dxa"/>
            <w:shd w:val="clear" w:color="auto" w:fill="auto"/>
            <w:noWrap/>
            <w:vAlign w:val="center"/>
          </w:tcPr>
          <w:p>
            <w:pPr>
              <w:spacing w:line="480" w:lineRule="exact"/>
              <w:jc w:val="center"/>
              <w:rPr>
                <w:sz w:val="18"/>
                <w:szCs w:val="18"/>
              </w:rPr>
            </w:pPr>
            <w:r>
              <w:rPr>
                <w:sz w:val="18"/>
                <w:szCs w:val="18"/>
              </w:rPr>
              <w:t>大路镇</w:t>
            </w:r>
          </w:p>
        </w:tc>
        <w:tc>
          <w:tcPr>
            <w:tcW w:w="801" w:type="dxa"/>
            <w:shd w:val="clear" w:color="auto" w:fill="auto"/>
            <w:noWrap/>
            <w:vAlign w:val="center"/>
          </w:tcPr>
          <w:p>
            <w:pPr>
              <w:spacing w:line="480" w:lineRule="exact"/>
              <w:jc w:val="center"/>
              <w:rPr>
                <w:sz w:val="18"/>
                <w:szCs w:val="18"/>
              </w:rPr>
            </w:pPr>
            <w:r>
              <w:rPr>
                <w:sz w:val="18"/>
                <w:szCs w:val="18"/>
              </w:rPr>
              <w:t>六塘镇</w:t>
            </w:r>
          </w:p>
        </w:tc>
        <w:tc>
          <w:tcPr>
            <w:tcW w:w="801" w:type="dxa"/>
            <w:shd w:val="clear" w:color="auto" w:fill="auto"/>
            <w:noWrap/>
            <w:vAlign w:val="center"/>
          </w:tcPr>
          <w:p>
            <w:pPr>
              <w:spacing w:line="480" w:lineRule="exact"/>
              <w:jc w:val="center"/>
              <w:rPr>
                <w:sz w:val="18"/>
                <w:szCs w:val="18"/>
              </w:rPr>
            </w:pPr>
            <w:r>
              <w:rPr>
                <w:sz w:val="18"/>
                <w:szCs w:val="18"/>
              </w:rPr>
              <w:t>接龙镇</w:t>
            </w:r>
          </w:p>
        </w:tc>
        <w:tc>
          <w:tcPr>
            <w:tcW w:w="936" w:type="dxa"/>
            <w:shd w:val="clear" w:color="auto" w:fill="auto"/>
            <w:noWrap/>
            <w:vAlign w:val="center"/>
          </w:tcPr>
          <w:p>
            <w:pPr>
              <w:spacing w:line="480" w:lineRule="exact"/>
              <w:jc w:val="center"/>
              <w:rPr>
                <w:sz w:val="18"/>
                <w:szCs w:val="18"/>
              </w:rPr>
            </w:pPr>
            <w:r>
              <w:rPr>
                <w:sz w:val="18"/>
                <w:szCs w:val="18"/>
              </w:rPr>
              <w:t>福里树村</w:t>
            </w:r>
          </w:p>
        </w:tc>
        <w:tc>
          <w:tcPr>
            <w:tcW w:w="1116" w:type="dxa"/>
            <w:shd w:val="clear" w:color="auto" w:fill="auto"/>
            <w:noWrap/>
            <w:vAlign w:val="center"/>
          </w:tcPr>
          <w:p>
            <w:pPr>
              <w:spacing w:line="480" w:lineRule="exact"/>
              <w:jc w:val="center"/>
              <w:rPr>
                <w:sz w:val="18"/>
                <w:szCs w:val="18"/>
              </w:rPr>
            </w:pPr>
            <w:r>
              <w:rPr>
                <w:sz w:val="18"/>
                <w:szCs w:val="18"/>
              </w:rPr>
              <w:t>殷家老院子</w:t>
            </w:r>
          </w:p>
        </w:tc>
        <w:tc>
          <w:tcPr>
            <w:tcW w:w="801" w:type="dxa"/>
            <w:shd w:val="clear" w:color="auto" w:fill="auto"/>
            <w:noWrap/>
            <w:vAlign w:val="center"/>
          </w:tcPr>
          <w:p>
            <w:pPr>
              <w:spacing w:line="480" w:lineRule="exact"/>
              <w:jc w:val="center"/>
              <w:rPr>
                <w:sz w:val="18"/>
                <w:szCs w:val="18"/>
              </w:rPr>
            </w:pPr>
            <w:r>
              <w:rPr>
                <w:sz w:val="18"/>
                <w:szCs w:val="18"/>
              </w:rPr>
              <w:t>璧山县</w:t>
            </w:r>
          </w:p>
        </w:tc>
        <w:tc>
          <w:tcPr>
            <w:tcW w:w="1296" w:type="dxa"/>
            <w:noWrap w:val="0"/>
            <w:vAlign w:val="center"/>
          </w:tcPr>
          <w:p>
            <w:pPr>
              <w:spacing w:line="480" w:lineRule="exact"/>
              <w:jc w:val="center"/>
              <w:rPr>
                <w:sz w:val="18"/>
                <w:szCs w:val="18"/>
              </w:rPr>
            </w:pPr>
            <w:r>
              <w:rPr>
                <w:sz w:val="18"/>
                <w:szCs w:val="18"/>
              </w:rPr>
              <w:t>青鹏煤业公司</w:t>
            </w:r>
          </w:p>
        </w:tc>
        <w:tc>
          <w:tcPr>
            <w:tcW w:w="936" w:type="dxa"/>
            <w:noWrap w:val="0"/>
            <w:vAlign w:val="center"/>
          </w:tcPr>
          <w:p>
            <w:pPr>
              <w:spacing w:line="480" w:lineRule="exact"/>
              <w:jc w:val="center"/>
              <w:rPr>
                <w:sz w:val="18"/>
                <w:szCs w:val="18"/>
              </w:rPr>
            </w:pPr>
            <w:r>
              <w:rPr>
                <w:sz w:val="18"/>
                <w:szCs w:val="18"/>
              </w:rPr>
              <w:t>青木关镇</w:t>
            </w:r>
          </w:p>
        </w:tc>
        <w:tc>
          <w:tcPr>
            <w:tcW w:w="801" w:type="dxa"/>
            <w:noWrap w:val="0"/>
            <w:vAlign w:val="center"/>
          </w:tcPr>
          <w:p>
            <w:pPr>
              <w:spacing w:line="480" w:lineRule="exact"/>
              <w:jc w:val="center"/>
              <w:rPr>
                <w:sz w:val="18"/>
                <w:szCs w:val="18"/>
              </w:rPr>
            </w:pPr>
            <w:r>
              <w:rPr>
                <w:sz w:val="18"/>
                <w:szCs w:val="18"/>
              </w:rPr>
              <w:t>凤凰镇</w:t>
            </w:r>
          </w:p>
        </w:tc>
        <w:tc>
          <w:tcPr>
            <w:tcW w:w="936" w:type="dxa"/>
            <w:noWrap w:val="0"/>
            <w:vAlign w:val="center"/>
          </w:tcPr>
          <w:p>
            <w:pPr>
              <w:spacing w:line="480" w:lineRule="exact"/>
              <w:jc w:val="center"/>
              <w:rPr>
                <w:sz w:val="18"/>
                <w:szCs w:val="18"/>
              </w:rPr>
            </w:pPr>
            <w:r>
              <w:rPr>
                <w:sz w:val="18"/>
                <w:szCs w:val="18"/>
              </w:rPr>
              <w:t>管家桥村</w:t>
            </w:r>
          </w:p>
        </w:tc>
        <w:tc>
          <w:tcPr>
            <w:tcW w:w="936" w:type="dxa"/>
            <w:noWrap w:val="0"/>
            <w:vAlign w:val="center"/>
          </w:tcPr>
          <w:p>
            <w:pPr>
              <w:spacing w:line="480" w:lineRule="exact"/>
              <w:jc w:val="center"/>
              <w:rPr>
                <w:sz w:val="18"/>
                <w:szCs w:val="18"/>
              </w:rPr>
            </w:pPr>
            <w:r>
              <w:rPr>
                <w:sz w:val="18"/>
                <w:szCs w:val="18"/>
              </w:rPr>
              <w:t>陈家桥镇</w:t>
            </w:r>
          </w:p>
        </w:tc>
        <w:tc>
          <w:tcPr>
            <w:tcW w:w="801" w:type="dxa"/>
            <w:noWrap w:val="0"/>
            <w:vAlign w:val="center"/>
          </w:tcPr>
          <w:p>
            <w:pPr>
              <w:spacing w:line="480" w:lineRule="exact"/>
              <w:jc w:val="center"/>
              <w:rPr>
                <w:sz w:val="18"/>
                <w:szCs w:val="18"/>
              </w:rPr>
            </w:pPr>
            <w:r>
              <w:rPr>
                <w:sz w:val="18"/>
                <w:szCs w:val="18"/>
              </w:rPr>
              <w:t>大学城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597" w:type="dxa"/>
            <w:vMerge w:val="restart"/>
            <w:shd w:val="clear" w:color="auto" w:fill="auto"/>
            <w:noWrap/>
            <w:vAlign w:val="center"/>
          </w:tcPr>
          <w:p>
            <w:pPr>
              <w:widowControl/>
              <w:adjustRightInd w:val="0"/>
              <w:snapToGrid w:val="0"/>
              <w:spacing w:line="480" w:lineRule="exact"/>
              <w:jc w:val="center"/>
              <w:rPr>
                <w:kern w:val="0"/>
                <w:sz w:val="18"/>
                <w:szCs w:val="18"/>
              </w:rPr>
            </w:pPr>
            <w:r>
              <w:rPr>
                <w:sz w:val="18"/>
                <w:szCs w:val="18"/>
              </w:rPr>
              <w:t>PM</w:t>
            </w:r>
            <w:r>
              <w:rPr>
                <w:sz w:val="18"/>
                <w:szCs w:val="18"/>
                <w:vertAlign w:val="subscript"/>
              </w:rPr>
              <w:t>10</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0.00039</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0.00072</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0.00073</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0.00282</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0.00167</w:t>
            </w:r>
          </w:p>
        </w:tc>
        <w:tc>
          <w:tcPr>
            <w:tcW w:w="801" w:type="dxa"/>
            <w:noWrap w:val="0"/>
            <w:vAlign w:val="center"/>
          </w:tcPr>
          <w:p>
            <w:pPr>
              <w:jc w:val="center"/>
              <w:rPr>
                <w:rFonts w:ascii="宋体" w:hAnsi="宋体" w:cs="宋体"/>
                <w:sz w:val="18"/>
                <w:szCs w:val="18"/>
              </w:rPr>
            </w:pPr>
            <w:r>
              <w:rPr>
                <w:rFonts w:hint="eastAsia"/>
                <w:sz w:val="18"/>
                <w:szCs w:val="18"/>
              </w:rPr>
              <w:t>0.00029</w:t>
            </w:r>
          </w:p>
        </w:tc>
        <w:tc>
          <w:tcPr>
            <w:tcW w:w="1296" w:type="dxa"/>
            <w:noWrap w:val="0"/>
            <w:vAlign w:val="center"/>
          </w:tcPr>
          <w:p>
            <w:pPr>
              <w:jc w:val="center"/>
              <w:rPr>
                <w:rFonts w:ascii="宋体" w:hAnsi="宋体" w:cs="宋体"/>
                <w:sz w:val="18"/>
                <w:szCs w:val="18"/>
              </w:rPr>
            </w:pPr>
            <w:r>
              <w:rPr>
                <w:rFonts w:hint="eastAsia"/>
                <w:sz w:val="18"/>
                <w:szCs w:val="18"/>
              </w:rPr>
              <w:t>0.00334</w:t>
            </w:r>
          </w:p>
        </w:tc>
        <w:tc>
          <w:tcPr>
            <w:tcW w:w="936" w:type="dxa"/>
            <w:noWrap w:val="0"/>
            <w:vAlign w:val="center"/>
          </w:tcPr>
          <w:p>
            <w:pPr>
              <w:jc w:val="center"/>
              <w:rPr>
                <w:rFonts w:ascii="宋体" w:hAnsi="宋体" w:cs="宋体"/>
                <w:sz w:val="18"/>
                <w:szCs w:val="18"/>
              </w:rPr>
            </w:pPr>
            <w:r>
              <w:rPr>
                <w:rFonts w:hint="eastAsia"/>
                <w:sz w:val="18"/>
                <w:szCs w:val="18"/>
              </w:rPr>
              <w:t>0.00165</w:t>
            </w:r>
          </w:p>
        </w:tc>
        <w:tc>
          <w:tcPr>
            <w:tcW w:w="801" w:type="dxa"/>
            <w:noWrap w:val="0"/>
            <w:vAlign w:val="center"/>
          </w:tcPr>
          <w:p>
            <w:pPr>
              <w:jc w:val="center"/>
              <w:rPr>
                <w:rFonts w:ascii="宋体" w:hAnsi="宋体" w:cs="宋体"/>
                <w:sz w:val="18"/>
                <w:szCs w:val="18"/>
              </w:rPr>
            </w:pPr>
            <w:r>
              <w:rPr>
                <w:rFonts w:hint="eastAsia"/>
                <w:sz w:val="18"/>
                <w:szCs w:val="18"/>
              </w:rPr>
              <w:t>0.00046</w:t>
            </w:r>
          </w:p>
        </w:tc>
        <w:tc>
          <w:tcPr>
            <w:tcW w:w="936" w:type="dxa"/>
            <w:noWrap w:val="0"/>
            <w:vAlign w:val="center"/>
          </w:tcPr>
          <w:p>
            <w:pPr>
              <w:jc w:val="center"/>
              <w:rPr>
                <w:rFonts w:ascii="宋体" w:hAnsi="宋体" w:cs="宋体"/>
                <w:sz w:val="18"/>
                <w:szCs w:val="18"/>
              </w:rPr>
            </w:pPr>
            <w:r>
              <w:rPr>
                <w:rFonts w:hint="eastAsia"/>
                <w:sz w:val="18"/>
                <w:szCs w:val="18"/>
              </w:rPr>
              <w:t>0.00195</w:t>
            </w:r>
          </w:p>
        </w:tc>
        <w:tc>
          <w:tcPr>
            <w:tcW w:w="936" w:type="dxa"/>
            <w:noWrap w:val="0"/>
            <w:vAlign w:val="center"/>
          </w:tcPr>
          <w:p>
            <w:pPr>
              <w:jc w:val="center"/>
              <w:rPr>
                <w:rFonts w:ascii="宋体" w:hAnsi="宋体" w:cs="宋体"/>
                <w:sz w:val="18"/>
                <w:szCs w:val="18"/>
              </w:rPr>
            </w:pPr>
            <w:r>
              <w:rPr>
                <w:rFonts w:hint="eastAsia"/>
                <w:sz w:val="18"/>
                <w:szCs w:val="18"/>
              </w:rPr>
              <w:t>0.00085</w:t>
            </w:r>
          </w:p>
        </w:tc>
        <w:tc>
          <w:tcPr>
            <w:tcW w:w="801" w:type="dxa"/>
            <w:noWrap w:val="0"/>
            <w:vAlign w:val="center"/>
          </w:tcPr>
          <w:p>
            <w:pPr>
              <w:jc w:val="center"/>
              <w:rPr>
                <w:rFonts w:ascii="宋体" w:hAnsi="宋体" w:cs="宋体"/>
                <w:sz w:val="18"/>
                <w:szCs w:val="18"/>
              </w:rPr>
            </w:pPr>
            <w:r>
              <w:rPr>
                <w:rFonts w:hint="eastAsia"/>
                <w:sz w:val="18"/>
                <w:szCs w:val="18"/>
              </w:rPr>
              <w:t>0.00084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0.117</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0.125</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noWrap w:val="0"/>
            <w:vAlign w:val="center"/>
          </w:tcPr>
          <w:p>
            <w:pPr>
              <w:jc w:val="center"/>
              <w:rPr>
                <w:rFonts w:ascii="宋体" w:hAnsi="宋体" w:cs="宋体"/>
                <w:sz w:val="18"/>
                <w:szCs w:val="18"/>
              </w:rPr>
            </w:pPr>
            <w:r>
              <w:rPr>
                <w:rFonts w:hint="eastAsia"/>
                <w:sz w:val="18"/>
                <w:szCs w:val="18"/>
              </w:rPr>
              <w:t>0.122</w:t>
            </w:r>
          </w:p>
        </w:tc>
        <w:tc>
          <w:tcPr>
            <w:tcW w:w="936" w:type="dxa"/>
            <w:noWrap w:val="0"/>
            <w:vAlign w:val="center"/>
          </w:tcPr>
          <w:p>
            <w:pPr>
              <w:jc w:val="center"/>
              <w:rPr>
                <w:rFonts w:ascii="宋体" w:hAnsi="宋体" w:cs="宋体"/>
                <w:sz w:val="18"/>
                <w:szCs w:val="18"/>
              </w:rPr>
            </w:pPr>
            <w:r>
              <w:rPr>
                <w:rFonts w:hint="eastAsia"/>
                <w:sz w:val="18"/>
                <w:szCs w:val="18"/>
              </w:rPr>
              <w:t>0.119</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noWrap w:val="0"/>
            <w:vAlign w:val="center"/>
          </w:tcPr>
          <w:p>
            <w:pPr>
              <w:jc w:val="center"/>
              <w:rPr>
                <w:rFonts w:ascii="宋体" w:hAnsi="宋体" w:cs="宋体"/>
                <w:sz w:val="18"/>
                <w:szCs w:val="18"/>
              </w:rPr>
            </w:pPr>
            <w:r>
              <w:rPr>
                <w:rFonts w:hint="eastAsia"/>
                <w:sz w:val="18"/>
                <w:szCs w:val="18"/>
              </w:rPr>
              <w:t>0.114</w:t>
            </w:r>
          </w:p>
        </w:tc>
        <w:tc>
          <w:tcPr>
            <w:tcW w:w="936"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noWrap w:val="0"/>
            <w:vAlign w:val="center"/>
          </w:tcPr>
          <w:p>
            <w:pPr>
              <w:jc w:val="center"/>
              <w:rPr>
                <w:rFonts w:ascii="宋体" w:hAnsi="宋体" w:cs="宋体"/>
                <w:sz w:val="18"/>
                <w:szCs w:val="18"/>
              </w:rPr>
            </w:pPr>
            <w:r>
              <w:rPr>
                <w:rFonts w:hint="eastAsia"/>
                <w:sz w:val="18"/>
                <w:szCs w:val="18"/>
              </w:rPr>
              <w:t>0.119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0.00039</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0.00072</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0.00073</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0.11982</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0.12667</w:t>
            </w:r>
          </w:p>
        </w:tc>
        <w:tc>
          <w:tcPr>
            <w:tcW w:w="801" w:type="dxa"/>
            <w:noWrap w:val="0"/>
            <w:vAlign w:val="center"/>
          </w:tcPr>
          <w:p>
            <w:pPr>
              <w:jc w:val="center"/>
              <w:rPr>
                <w:rFonts w:ascii="宋体" w:hAnsi="宋体" w:cs="宋体"/>
                <w:sz w:val="18"/>
                <w:szCs w:val="18"/>
              </w:rPr>
            </w:pPr>
            <w:r>
              <w:rPr>
                <w:rFonts w:hint="eastAsia"/>
                <w:sz w:val="18"/>
                <w:szCs w:val="18"/>
              </w:rPr>
              <w:t>0.00029</w:t>
            </w:r>
          </w:p>
        </w:tc>
        <w:tc>
          <w:tcPr>
            <w:tcW w:w="1296" w:type="dxa"/>
            <w:noWrap w:val="0"/>
            <w:vAlign w:val="center"/>
          </w:tcPr>
          <w:p>
            <w:pPr>
              <w:jc w:val="center"/>
              <w:rPr>
                <w:rFonts w:ascii="宋体" w:hAnsi="宋体" w:cs="宋体"/>
                <w:sz w:val="18"/>
                <w:szCs w:val="18"/>
              </w:rPr>
            </w:pPr>
            <w:r>
              <w:rPr>
                <w:rFonts w:hint="eastAsia"/>
                <w:sz w:val="18"/>
                <w:szCs w:val="18"/>
              </w:rPr>
              <w:t>0.12534</w:t>
            </w:r>
          </w:p>
        </w:tc>
        <w:tc>
          <w:tcPr>
            <w:tcW w:w="936" w:type="dxa"/>
            <w:noWrap w:val="0"/>
            <w:vAlign w:val="center"/>
          </w:tcPr>
          <w:p>
            <w:pPr>
              <w:jc w:val="center"/>
              <w:rPr>
                <w:rFonts w:ascii="宋体" w:hAnsi="宋体" w:cs="宋体"/>
                <w:sz w:val="18"/>
                <w:szCs w:val="18"/>
              </w:rPr>
            </w:pPr>
            <w:r>
              <w:rPr>
                <w:rFonts w:hint="eastAsia"/>
                <w:sz w:val="18"/>
                <w:szCs w:val="18"/>
              </w:rPr>
              <w:t>0.12065</w:t>
            </w:r>
          </w:p>
        </w:tc>
        <w:tc>
          <w:tcPr>
            <w:tcW w:w="801" w:type="dxa"/>
            <w:noWrap w:val="0"/>
            <w:vAlign w:val="center"/>
          </w:tcPr>
          <w:p>
            <w:pPr>
              <w:jc w:val="center"/>
              <w:rPr>
                <w:rFonts w:ascii="宋体" w:hAnsi="宋体" w:cs="宋体"/>
                <w:sz w:val="18"/>
                <w:szCs w:val="18"/>
              </w:rPr>
            </w:pPr>
            <w:r>
              <w:rPr>
                <w:rFonts w:hint="eastAsia"/>
                <w:sz w:val="18"/>
                <w:szCs w:val="18"/>
              </w:rPr>
              <w:t>0.00046</w:t>
            </w:r>
          </w:p>
        </w:tc>
        <w:tc>
          <w:tcPr>
            <w:tcW w:w="936" w:type="dxa"/>
            <w:noWrap w:val="0"/>
            <w:vAlign w:val="center"/>
          </w:tcPr>
          <w:p>
            <w:pPr>
              <w:jc w:val="center"/>
              <w:rPr>
                <w:rFonts w:ascii="宋体" w:hAnsi="宋体" w:cs="宋体"/>
                <w:sz w:val="18"/>
                <w:szCs w:val="18"/>
              </w:rPr>
            </w:pPr>
            <w:r>
              <w:rPr>
                <w:rFonts w:hint="eastAsia"/>
                <w:sz w:val="18"/>
                <w:szCs w:val="18"/>
              </w:rPr>
              <w:t>0.11595</w:t>
            </w:r>
          </w:p>
        </w:tc>
        <w:tc>
          <w:tcPr>
            <w:tcW w:w="936" w:type="dxa"/>
            <w:noWrap w:val="0"/>
            <w:vAlign w:val="center"/>
          </w:tcPr>
          <w:p>
            <w:pPr>
              <w:jc w:val="center"/>
              <w:rPr>
                <w:rFonts w:ascii="宋体" w:hAnsi="宋体" w:cs="宋体"/>
                <w:sz w:val="18"/>
                <w:szCs w:val="18"/>
              </w:rPr>
            </w:pPr>
            <w:r>
              <w:rPr>
                <w:rFonts w:hint="eastAsia"/>
                <w:sz w:val="18"/>
                <w:szCs w:val="18"/>
              </w:rPr>
              <w:t>0.00085</w:t>
            </w:r>
          </w:p>
        </w:tc>
        <w:tc>
          <w:tcPr>
            <w:tcW w:w="801" w:type="dxa"/>
            <w:noWrap w:val="0"/>
            <w:vAlign w:val="center"/>
          </w:tcPr>
          <w:p>
            <w:pPr>
              <w:jc w:val="center"/>
              <w:rPr>
                <w:rFonts w:ascii="宋体" w:hAnsi="宋体" w:cs="宋体"/>
                <w:sz w:val="18"/>
                <w:szCs w:val="18"/>
              </w:rPr>
            </w:pPr>
            <w:r>
              <w:rPr>
                <w:rFonts w:hint="eastAsia"/>
                <w:sz w:val="18"/>
                <w:szCs w:val="18"/>
              </w:rPr>
              <w:t>0.11984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0.26</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0.48</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0.49</w:t>
            </w:r>
          </w:p>
        </w:tc>
        <w:tc>
          <w:tcPr>
            <w:tcW w:w="936" w:type="dxa"/>
            <w:shd w:val="clear" w:color="auto" w:fill="auto"/>
            <w:noWrap/>
            <w:vAlign w:val="center"/>
          </w:tcPr>
          <w:p>
            <w:pPr>
              <w:jc w:val="center"/>
              <w:rPr>
                <w:rFonts w:ascii="宋体" w:hAnsi="宋体" w:cs="宋体"/>
                <w:sz w:val="18"/>
                <w:szCs w:val="18"/>
              </w:rPr>
            </w:pPr>
            <w:r>
              <w:rPr>
                <w:rFonts w:hint="eastAsia"/>
                <w:sz w:val="18"/>
                <w:szCs w:val="18"/>
              </w:rPr>
              <w:t>79.88</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84.44</w:t>
            </w:r>
          </w:p>
        </w:tc>
        <w:tc>
          <w:tcPr>
            <w:tcW w:w="801" w:type="dxa"/>
            <w:noWrap w:val="0"/>
            <w:vAlign w:val="center"/>
          </w:tcPr>
          <w:p>
            <w:pPr>
              <w:jc w:val="center"/>
              <w:rPr>
                <w:rFonts w:ascii="宋体" w:hAnsi="宋体" w:cs="宋体"/>
                <w:sz w:val="18"/>
                <w:szCs w:val="18"/>
              </w:rPr>
            </w:pPr>
            <w:r>
              <w:rPr>
                <w:rFonts w:hint="eastAsia"/>
                <w:sz w:val="18"/>
                <w:szCs w:val="18"/>
              </w:rPr>
              <w:t>0.19</w:t>
            </w:r>
          </w:p>
        </w:tc>
        <w:tc>
          <w:tcPr>
            <w:tcW w:w="1296" w:type="dxa"/>
            <w:noWrap w:val="0"/>
            <w:vAlign w:val="center"/>
          </w:tcPr>
          <w:p>
            <w:pPr>
              <w:jc w:val="center"/>
              <w:rPr>
                <w:rFonts w:ascii="宋体" w:hAnsi="宋体" w:cs="宋体"/>
                <w:sz w:val="18"/>
                <w:szCs w:val="18"/>
              </w:rPr>
            </w:pPr>
            <w:r>
              <w:rPr>
                <w:rFonts w:hint="eastAsia"/>
                <w:sz w:val="18"/>
                <w:szCs w:val="18"/>
              </w:rPr>
              <w:t>83.56</w:t>
            </w:r>
          </w:p>
        </w:tc>
        <w:tc>
          <w:tcPr>
            <w:tcW w:w="936" w:type="dxa"/>
            <w:noWrap w:val="0"/>
            <w:vAlign w:val="center"/>
          </w:tcPr>
          <w:p>
            <w:pPr>
              <w:jc w:val="center"/>
              <w:rPr>
                <w:rFonts w:ascii="宋体" w:hAnsi="宋体" w:cs="宋体"/>
                <w:sz w:val="18"/>
                <w:szCs w:val="18"/>
              </w:rPr>
            </w:pPr>
            <w:r>
              <w:rPr>
                <w:rFonts w:hint="eastAsia"/>
                <w:sz w:val="18"/>
                <w:szCs w:val="18"/>
              </w:rPr>
              <w:t>80.43</w:t>
            </w:r>
          </w:p>
        </w:tc>
        <w:tc>
          <w:tcPr>
            <w:tcW w:w="801" w:type="dxa"/>
            <w:noWrap w:val="0"/>
            <w:vAlign w:val="center"/>
          </w:tcPr>
          <w:p>
            <w:pPr>
              <w:jc w:val="center"/>
              <w:rPr>
                <w:rFonts w:ascii="宋体" w:hAnsi="宋体" w:cs="宋体"/>
                <w:sz w:val="18"/>
                <w:szCs w:val="18"/>
              </w:rPr>
            </w:pPr>
            <w:r>
              <w:rPr>
                <w:rFonts w:hint="eastAsia"/>
                <w:sz w:val="18"/>
                <w:szCs w:val="18"/>
              </w:rPr>
              <w:t>0.30</w:t>
            </w:r>
          </w:p>
        </w:tc>
        <w:tc>
          <w:tcPr>
            <w:tcW w:w="936" w:type="dxa"/>
            <w:noWrap w:val="0"/>
            <w:vAlign w:val="center"/>
          </w:tcPr>
          <w:p>
            <w:pPr>
              <w:jc w:val="center"/>
              <w:rPr>
                <w:rFonts w:ascii="宋体" w:hAnsi="宋体" w:cs="宋体"/>
                <w:sz w:val="18"/>
                <w:szCs w:val="18"/>
              </w:rPr>
            </w:pPr>
            <w:r>
              <w:rPr>
                <w:rFonts w:hint="eastAsia"/>
                <w:sz w:val="18"/>
                <w:szCs w:val="18"/>
              </w:rPr>
              <w:t>77.30</w:t>
            </w:r>
          </w:p>
        </w:tc>
        <w:tc>
          <w:tcPr>
            <w:tcW w:w="936" w:type="dxa"/>
            <w:noWrap w:val="0"/>
            <w:vAlign w:val="center"/>
          </w:tcPr>
          <w:p>
            <w:pPr>
              <w:jc w:val="center"/>
              <w:rPr>
                <w:rFonts w:ascii="宋体" w:hAnsi="宋体" w:cs="宋体"/>
                <w:sz w:val="18"/>
                <w:szCs w:val="18"/>
              </w:rPr>
            </w:pPr>
            <w:r>
              <w:rPr>
                <w:rFonts w:hint="eastAsia"/>
                <w:sz w:val="18"/>
                <w:szCs w:val="18"/>
              </w:rPr>
              <w:t>0.56</w:t>
            </w:r>
          </w:p>
        </w:tc>
        <w:tc>
          <w:tcPr>
            <w:tcW w:w="801" w:type="dxa"/>
            <w:noWrap w:val="0"/>
            <w:vAlign w:val="center"/>
          </w:tcPr>
          <w:p>
            <w:pPr>
              <w:jc w:val="center"/>
              <w:rPr>
                <w:rFonts w:ascii="宋体" w:hAnsi="宋体" w:cs="宋体"/>
                <w:sz w:val="18"/>
                <w:szCs w:val="18"/>
              </w:rPr>
            </w:pPr>
            <w:r>
              <w:rPr>
                <w:rFonts w:hint="eastAsia"/>
                <w:sz w:val="18"/>
                <w:szCs w:val="18"/>
              </w:rPr>
              <w:t>79.89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597" w:type="dxa"/>
            <w:vMerge w:val="restart"/>
            <w:shd w:val="clear" w:color="auto" w:fill="auto"/>
            <w:noWrap/>
            <w:vAlign w:val="center"/>
          </w:tcPr>
          <w:p>
            <w:pPr>
              <w:widowControl/>
              <w:adjustRightInd w:val="0"/>
              <w:snapToGrid w:val="0"/>
              <w:spacing w:line="480" w:lineRule="exact"/>
              <w:jc w:val="center"/>
              <w:rPr>
                <w:kern w:val="0"/>
                <w:sz w:val="18"/>
                <w:szCs w:val="18"/>
              </w:rPr>
            </w:pPr>
            <w:r>
              <w:rPr>
                <w:sz w:val="18"/>
                <w:szCs w:val="18"/>
              </w:rPr>
              <w:t>SO</w:t>
            </w:r>
            <w:r>
              <w:rPr>
                <w:sz w:val="18"/>
                <w:szCs w:val="18"/>
                <w:vertAlign w:val="subscript"/>
              </w:rPr>
              <w:t>2</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0.00033</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0.00080</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0.00122</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0.00249</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0.00176</w:t>
            </w:r>
          </w:p>
        </w:tc>
        <w:tc>
          <w:tcPr>
            <w:tcW w:w="801" w:type="dxa"/>
            <w:noWrap w:val="0"/>
            <w:vAlign w:val="center"/>
          </w:tcPr>
          <w:p>
            <w:pPr>
              <w:jc w:val="center"/>
              <w:rPr>
                <w:rFonts w:ascii="宋体" w:hAnsi="宋体" w:cs="宋体"/>
                <w:sz w:val="18"/>
                <w:szCs w:val="18"/>
              </w:rPr>
            </w:pPr>
            <w:r>
              <w:rPr>
                <w:rFonts w:hint="eastAsia"/>
                <w:sz w:val="18"/>
                <w:szCs w:val="18"/>
              </w:rPr>
              <w:t>0.00027</w:t>
            </w:r>
          </w:p>
        </w:tc>
        <w:tc>
          <w:tcPr>
            <w:tcW w:w="1296" w:type="dxa"/>
            <w:noWrap w:val="0"/>
            <w:vAlign w:val="center"/>
          </w:tcPr>
          <w:p>
            <w:pPr>
              <w:jc w:val="center"/>
              <w:rPr>
                <w:rFonts w:ascii="宋体" w:hAnsi="宋体" w:cs="宋体"/>
                <w:sz w:val="18"/>
                <w:szCs w:val="18"/>
              </w:rPr>
            </w:pPr>
            <w:r>
              <w:rPr>
                <w:rFonts w:hint="eastAsia"/>
                <w:sz w:val="18"/>
                <w:szCs w:val="18"/>
              </w:rPr>
              <w:t>0.00459</w:t>
            </w:r>
          </w:p>
        </w:tc>
        <w:tc>
          <w:tcPr>
            <w:tcW w:w="936" w:type="dxa"/>
            <w:noWrap w:val="0"/>
            <w:vAlign w:val="center"/>
          </w:tcPr>
          <w:p>
            <w:pPr>
              <w:jc w:val="center"/>
              <w:rPr>
                <w:rFonts w:ascii="宋体" w:hAnsi="宋体" w:cs="宋体"/>
                <w:sz w:val="18"/>
                <w:szCs w:val="18"/>
              </w:rPr>
            </w:pPr>
            <w:r>
              <w:rPr>
                <w:rFonts w:hint="eastAsia"/>
                <w:sz w:val="18"/>
                <w:szCs w:val="18"/>
              </w:rPr>
              <w:t>0.00197</w:t>
            </w:r>
          </w:p>
        </w:tc>
        <w:tc>
          <w:tcPr>
            <w:tcW w:w="801" w:type="dxa"/>
            <w:noWrap w:val="0"/>
            <w:vAlign w:val="center"/>
          </w:tcPr>
          <w:p>
            <w:pPr>
              <w:jc w:val="center"/>
              <w:rPr>
                <w:rFonts w:ascii="宋体" w:hAnsi="宋体" w:cs="宋体"/>
                <w:sz w:val="18"/>
                <w:szCs w:val="18"/>
              </w:rPr>
            </w:pPr>
            <w:r>
              <w:rPr>
                <w:rFonts w:hint="eastAsia"/>
                <w:sz w:val="18"/>
                <w:szCs w:val="18"/>
              </w:rPr>
              <w:t>0.00057</w:t>
            </w:r>
          </w:p>
        </w:tc>
        <w:tc>
          <w:tcPr>
            <w:tcW w:w="936" w:type="dxa"/>
            <w:noWrap w:val="0"/>
            <w:vAlign w:val="center"/>
          </w:tcPr>
          <w:p>
            <w:pPr>
              <w:jc w:val="center"/>
              <w:rPr>
                <w:rFonts w:ascii="宋体" w:hAnsi="宋体" w:cs="宋体"/>
                <w:sz w:val="18"/>
                <w:szCs w:val="18"/>
              </w:rPr>
            </w:pPr>
            <w:r>
              <w:rPr>
                <w:rFonts w:hint="eastAsia"/>
                <w:sz w:val="18"/>
                <w:szCs w:val="18"/>
              </w:rPr>
              <w:t>0.00338</w:t>
            </w:r>
          </w:p>
        </w:tc>
        <w:tc>
          <w:tcPr>
            <w:tcW w:w="936" w:type="dxa"/>
            <w:noWrap w:val="0"/>
            <w:vAlign w:val="center"/>
          </w:tcPr>
          <w:p>
            <w:pPr>
              <w:jc w:val="center"/>
              <w:rPr>
                <w:rFonts w:ascii="宋体" w:hAnsi="宋体" w:cs="宋体"/>
                <w:sz w:val="18"/>
                <w:szCs w:val="18"/>
              </w:rPr>
            </w:pPr>
            <w:r>
              <w:rPr>
                <w:rFonts w:hint="eastAsia"/>
                <w:sz w:val="18"/>
                <w:szCs w:val="18"/>
              </w:rPr>
              <w:t>0.00103</w:t>
            </w:r>
          </w:p>
        </w:tc>
        <w:tc>
          <w:tcPr>
            <w:tcW w:w="801" w:type="dxa"/>
            <w:noWrap w:val="0"/>
            <w:vAlign w:val="center"/>
          </w:tcPr>
          <w:p>
            <w:pPr>
              <w:jc w:val="center"/>
              <w:rPr>
                <w:rFonts w:ascii="宋体" w:hAnsi="宋体" w:cs="宋体"/>
                <w:sz w:val="18"/>
                <w:szCs w:val="18"/>
              </w:rPr>
            </w:pPr>
            <w:r>
              <w:rPr>
                <w:rFonts w:hint="eastAsia"/>
                <w:sz w:val="18"/>
                <w:szCs w:val="18"/>
              </w:rPr>
              <w:t>0.00090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0.066</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0.058</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noWrap w:val="0"/>
            <w:vAlign w:val="center"/>
          </w:tcPr>
          <w:p>
            <w:pPr>
              <w:jc w:val="center"/>
              <w:rPr>
                <w:rFonts w:ascii="宋体" w:hAnsi="宋体" w:cs="宋体"/>
                <w:sz w:val="18"/>
                <w:szCs w:val="18"/>
              </w:rPr>
            </w:pPr>
            <w:r>
              <w:rPr>
                <w:rFonts w:hint="eastAsia"/>
                <w:sz w:val="18"/>
                <w:szCs w:val="18"/>
              </w:rPr>
              <w:t>0.078</w:t>
            </w:r>
          </w:p>
        </w:tc>
        <w:tc>
          <w:tcPr>
            <w:tcW w:w="936" w:type="dxa"/>
            <w:noWrap w:val="0"/>
            <w:vAlign w:val="center"/>
          </w:tcPr>
          <w:p>
            <w:pPr>
              <w:jc w:val="center"/>
              <w:rPr>
                <w:rFonts w:ascii="宋体" w:hAnsi="宋体" w:cs="宋体"/>
                <w:sz w:val="18"/>
                <w:szCs w:val="18"/>
              </w:rPr>
            </w:pPr>
            <w:r>
              <w:rPr>
                <w:rFonts w:hint="eastAsia"/>
                <w:sz w:val="18"/>
                <w:szCs w:val="18"/>
              </w:rPr>
              <w:t>0.067</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noWrap w:val="0"/>
            <w:vAlign w:val="center"/>
          </w:tcPr>
          <w:p>
            <w:pPr>
              <w:jc w:val="center"/>
              <w:rPr>
                <w:rFonts w:ascii="宋体" w:hAnsi="宋体" w:cs="宋体"/>
                <w:sz w:val="18"/>
                <w:szCs w:val="18"/>
              </w:rPr>
            </w:pPr>
            <w:r>
              <w:rPr>
                <w:rFonts w:hint="eastAsia"/>
                <w:sz w:val="18"/>
                <w:szCs w:val="18"/>
              </w:rPr>
              <w:t>0.084</w:t>
            </w:r>
          </w:p>
        </w:tc>
        <w:tc>
          <w:tcPr>
            <w:tcW w:w="936"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noWrap w:val="0"/>
            <w:vAlign w:val="center"/>
          </w:tcPr>
          <w:p>
            <w:pPr>
              <w:jc w:val="center"/>
              <w:rPr>
                <w:rFonts w:ascii="宋体" w:hAnsi="宋体" w:cs="宋体"/>
                <w:sz w:val="18"/>
                <w:szCs w:val="18"/>
              </w:rPr>
            </w:pPr>
            <w:r>
              <w:rPr>
                <w:rFonts w:hint="eastAsia"/>
                <w:sz w:val="18"/>
                <w:szCs w:val="18"/>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597" w:type="dxa"/>
            <w:vMerge w:val="continue"/>
            <w:shd w:val="clear" w:color="auto" w:fill="auto"/>
            <w:noWrap/>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0.00033</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0.00080</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0.00122</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0.06849</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0.05976</w:t>
            </w:r>
          </w:p>
        </w:tc>
        <w:tc>
          <w:tcPr>
            <w:tcW w:w="801" w:type="dxa"/>
            <w:noWrap w:val="0"/>
            <w:vAlign w:val="center"/>
          </w:tcPr>
          <w:p>
            <w:pPr>
              <w:jc w:val="center"/>
              <w:rPr>
                <w:rFonts w:ascii="宋体" w:hAnsi="宋体" w:cs="宋体"/>
                <w:sz w:val="18"/>
                <w:szCs w:val="18"/>
              </w:rPr>
            </w:pPr>
            <w:r>
              <w:rPr>
                <w:rFonts w:hint="eastAsia"/>
                <w:sz w:val="18"/>
                <w:szCs w:val="18"/>
              </w:rPr>
              <w:t>0.00027</w:t>
            </w:r>
          </w:p>
        </w:tc>
        <w:tc>
          <w:tcPr>
            <w:tcW w:w="1296" w:type="dxa"/>
            <w:noWrap w:val="0"/>
            <w:vAlign w:val="center"/>
          </w:tcPr>
          <w:p>
            <w:pPr>
              <w:jc w:val="center"/>
              <w:rPr>
                <w:rFonts w:ascii="宋体" w:hAnsi="宋体" w:cs="宋体"/>
                <w:sz w:val="18"/>
                <w:szCs w:val="18"/>
              </w:rPr>
            </w:pPr>
            <w:r>
              <w:rPr>
                <w:rFonts w:hint="eastAsia"/>
                <w:sz w:val="18"/>
                <w:szCs w:val="18"/>
              </w:rPr>
              <w:t>0.08259</w:t>
            </w:r>
          </w:p>
        </w:tc>
        <w:tc>
          <w:tcPr>
            <w:tcW w:w="936" w:type="dxa"/>
            <w:noWrap w:val="0"/>
            <w:vAlign w:val="center"/>
          </w:tcPr>
          <w:p>
            <w:pPr>
              <w:jc w:val="center"/>
              <w:rPr>
                <w:rFonts w:ascii="宋体" w:hAnsi="宋体" w:cs="宋体"/>
                <w:sz w:val="18"/>
                <w:szCs w:val="18"/>
              </w:rPr>
            </w:pPr>
            <w:r>
              <w:rPr>
                <w:rFonts w:hint="eastAsia"/>
                <w:sz w:val="18"/>
                <w:szCs w:val="18"/>
              </w:rPr>
              <w:t>0.06897</w:t>
            </w:r>
          </w:p>
        </w:tc>
        <w:tc>
          <w:tcPr>
            <w:tcW w:w="801" w:type="dxa"/>
            <w:noWrap w:val="0"/>
            <w:vAlign w:val="center"/>
          </w:tcPr>
          <w:p>
            <w:pPr>
              <w:jc w:val="center"/>
              <w:rPr>
                <w:rFonts w:ascii="宋体" w:hAnsi="宋体" w:cs="宋体"/>
                <w:sz w:val="18"/>
                <w:szCs w:val="18"/>
              </w:rPr>
            </w:pPr>
            <w:r>
              <w:rPr>
                <w:rFonts w:hint="eastAsia"/>
                <w:sz w:val="18"/>
                <w:szCs w:val="18"/>
              </w:rPr>
              <w:t>0.00057</w:t>
            </w:r>
          </w:p>
        </w:tc>
        <w:tc>
          <w:tcPr>
            <w:tcW w:w="936" w:type="dxa"/>
            <w:noWrap w:val="0"/>
            <w:vAlign w:val="center"/>
          </w:tcPr>
          <w:p>
            <w:pPr>
              <w:jc w:val="center"/>
              <w:rPr>
                <w:rFonts w:ascii="宋体" w:hAnsi="宋体" w:cs="宋体"/>
                <w:sz w:val="18"/>
                <w:szCs w:val="18"/>
              </w:rPr>
            </w:pPr>
            <w:r>
              <w:rPr>
                <w:rFonts w:hint="eastAsia"/>
                <w:sz w:val="18"/>
                <w:szCs w:val="18"/>
              </w:rPr>
              <w:t>0.08738</w:t>
            </w:r>
          </w:p>
        </w:tc>
        <w:tc>
          <w:tcPr>
            <w:tcW w:w="936" w:type="dxa"/>
            <w:noWrap w:val="0"/>
            <w:vAlign w:val="center"/>
          </w:tcPr>
          <w:p>
            <w:pPr>
              <w:jc w:val="center"/>
              <w:rPr>
                <w:rFonts w:ascii="宋体" w:hAnsi="宋体" w:cs="宋体"/>
                <w:sz w:val="18"/>
                <w:szCs w:val="18"/>
              </w:rPr>
            </w:pPr>
            <w:r>
              <w:rPr>
                <w:rFonts w:hint="eastAsia"/>
                <w:sz w:val="18"/>
                <w:szCs w:val="18"/>
              </w:rPr>
              <w:t>0.00103</w:t>
            </w:r>
          </w:p>
        </w:tc>
        <w:tc>
          <w:tcPr>
            <w:tcW w:w="801" w:type="dxa"/>
            <w:noWrap w:val="0"/>
            <w:vAlign w:val="center"/>
          </w:tcPr>
          <w:p>
            <w:pPr>
              <w:jc w:val="center"/>
              <w:rPr>
                <w:rFonts w:ascii="宋体" w:hAnsi="宋体" w:cs="宋体"/>
                <w:sz w:val="18"/>
                <w:szCs w:val="18"/>
              </w:rPr>
            </w:pPr>
            <w:r>
              <w:rPr>
                <w:rFonts w:hint="eastAsia"/>
                <w:sz w:val="18"/>
                <w:szCs w:val="18"/>
              </w:rPr>
              <w:t>0.05890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0.22</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0.53</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0.81</w:t>
            </w:r>
          </w:p>
        </w:tc>
        <w:tc>
          <w:tcPr>
            <w:tcW w:w="936" w:type="dxa"/>
            <w:shd w:val="clear" w:color="auto" w:fill="auto"/>
            <w:noWrap/>
            <w:vAlign w:val="center"/>
          </w:tcPr>
          <w:p>
            <w:pPr>
              <w:jc w:val="center"/>
              <w:rPr>
                <w:rFonts w:ascii="宋体" w:hAnsi="宋体" w:cs="宋体"/>
                <w:sz w:val="18"/>
                <w:szCs w:val="18"/>
              </w:rPr>
            </w:pPr>
            <w:r>
              <w:rPr>
                <w:rFonts w:hint="eastAsia"/>
                <w:sz w:val="18"/>
                <w:szCs w:val="18"/>
              </w:rPr>
              <w:t>45.66</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39.84</w:t>
            </w:r>
          </w:p>
        </w:tc>
        <w:tc>
          <w:tcPr>
            <w:tcW w:w="801" w:type="dxa"/>
            <w:noWrap w:val="0"/>
            <w:vAlign w:val="center"/>
          </w:tcPr>
          <w:p>
            <w:pPr>
              <w:jc w:val="center"/>
              <w:rPr>
                <w:rFonts w:ascii="宋体" w:hAnsi="宋体" w:cs="宋体"/>
                <w:sz w:val="18"/>
                <w:szCs w:val="18"/>
              </w:rPr>
            </w:pPr>
            <w:r>
              <w:rPr>
                <w:rFonts w:hint="eastAsia"/>
                <w:sz w:val="18"/>
                <w:szCs w:val="18"/>
              </w:rPr>
              <w:t>0.18</w:t>
            </w:r>
          </w:p>
        </w:tc>
        <w:tc>
          <w:tcPr>
            <w:tcW w:w="1296" w:type="dxa"/>
            <w:noWrap w:val="0"/>
            <w:vAlign w:val="center"/>
          </w:tcPr>
          <w:p>
            <w:pPr>
              <w:jc w:val="center"/>
              <w:rPr>
                <w:rFonts w:ascii="宋体" w:hAnsi="宋体" w:cs="宋体"/>
                <w:sz w:val="18"/>
                <w:szCs w:val="18"/>
              </w:rPr>
            </w:pPr>
            <w:r>
              <w:rPr>
                <w:rFonts w:hint="eastAsia"/>
                <w:sz w:val="18"/>
                <w:szCs w:val="18"/>
              </w:rPr>
              <w:t>55.06</w:t>
            </w:r>
          </w:p>
        </w:tc>
        <w:tc>
          <w:tcPr>
            <w:tcW w:w="936" w:type="dxa"/>
            <w:noWrap w:val="0"/>
            <w:vAlign w:val="center"/>
          </w:tcPr>
          <w:p>
            <w:pPr>
              <w:jc w:val="center"/>
              <w:rPr>
                <w:rFonts w:ascii="宋体" w:hAnsi="宋体" w:cs="宋体"/>
                <w:sz w:val="18"/>
                <w:szCs w:val="18"/>
              </w:rPr>
            </w:pPr>
            <w:r>
              <w:rPr>
                <w:rFonts w:hint="eastAsia"/>
                <w:sz w:val="18"/>
                <w:szCs w:val="18"/>
              </w:rPr>
              <w:t>45.98</w:t>
            </w:r>
          </w:p>
        </w:tc>
        <w:tc>
          <w:tcPr>
            <w:tcW w:w="801" w:type="dxa"/>
            <w:noWrap w:val="0"/>
            <w:vAlign w:val="center"/>
          </w:tcPr>
          <w:p>
            <w:pPr>
              <w:jc w:val="center"/>
              <w:rPr>
                <w:rFonts w:ascii="宋体" w:hAnsi="宋体" w:cs="宋体"/>
                <w:sz w:val="18"/>
                <w:szCs w:val="18"/>
              </w:rPr>
            </w:pPr>
            <w:r>
              <w:rPr>
                <w:rFonts w:hint="eastAsia"/>
                <w:sz w:val="18"/>
                <w:szCs w:val="18"/>
              </w:rPr>
              <w:t>0.38</w:t>
            </w:r>
          </w:p>
        </w:tc>
        <w:tc>
          <w:tcPr>
            <w:tcW w:w="936" w:type="dxa"/>
            <w:noWrap w:val="0"/>
            <w:vAlign w:val="center"/>
          </w:tcPr>
          <w:p>
            <w:pPr>
              <w:jc w:val="center"/>
              <w:rPr>
                <w:rFonts w:ascii="宋体" w:hAnsi="宋体" w:cs="宋体"/>
                <w:sz w:val="18"/>
                <w:szCs w:val="18"/>
              </w:rPr>
            </w:pPr>
            <w:r>
              <w:rPr>
                <w:rFonts w:hint="eastAsia"/>
                <w:sz w:val="18"/>
                <w:szCs w:val="18"/>
              </w:rPr>
              <w:t>58.26</w:t>
            </w:r>
          </w:p>
        </w:tc>
        <w:tc>
          <w:tcPr>
            <w:tcW w:w="936" w:type="dxa"/>
            <w:noWrap w:val="0"/>
            <w:vAlign w:val="center"/>
          </w:tcPr>
          <w:p>
            <w:pPr>
              <w:jc w:val="center"/>
              <w:rPr>
                <w:rFonts w:ascii="宋体" w:hAnsi="宋体" w:cs="宋体"/>
                <w:sz w:val="18"/>
                <w:szCs w:val="18"/>
              </w:rPr>
            </w:pPr>
            <w:r>
              <w:rPr>
                <w:rFonts w:hint="eastAsia"/>
                <w:sz w:val="18"/>
                <w:szCs w:val="18"/>
              </w:rPr>
              <w:t>0.69</w:t>
            </w:r>
          </w:p>
        </w:tc>
        <w:tc>
          <w:tcPr>
            <w:tcW w:w="801" w:type="dxa"/>
            <w:noWrap w:val="0"/>
            <w:vAlign w:val="center"/>
          </w:tcPr>
          <w:p>
            <w:pPr>
              <w:jc w:val="center"/>
              <w:rPr>
                <w:rFonts w:ascii="宋体" w:hAnsi="宋体" w:cs="宋体"/>
                <w:sz w:val="18"/>
                <w:szCs w:val="18"/>
              </w:rPr>
            </w:pPr>
            <w:r>
              <w:rPr>
                <w:rFonts w:hint="eastAsia"/>
                <w:sz w:val="18"/>
                <w:szCs w:val="18"/>
              </w:rPr>
              <w:t>39.27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97" w:type="dxa"/>
            <w:vMerge w:val="restart"/>
            <w:shd w:val="clear" w:color="auto" w:fill="auto"/>
            <w:noWrap w:val="0"/>
            <w:vAlign w:val="center"/>
          </w:tcPr>
          <w:p>
            <w:pPr>
              <w:widowControl/>
              <w:adjustRightInd w:val="0"/>
              <w:snapToGrid w:val="0"/>
              <w:spacing w:line="480" w:lineRule="exact"/>
              <w:jc w:val="center"/>
              <w:rPr>
                <w:kern w:val="0"/>
                <w:sz w:val="18"/>
                <w:szCs w:val="18"/>
              </w:rPr>
            </w:pPr>
            <w:r>
              <w:rPr>
                <w:kern w:val="0"/>
                <w:sz w:val="18"/>
                <w:szCs w:val="18"/>
              </w:rPr>
              <w:t>NO</w:t>
            </w:r>
            <w:r>
              <w:rPr>
                <w:kern w:val="0"/>
                <w:sz w:val="18"/>
                <w:szCs w:val="18"/>
                <w:vertAlign w:val="subscript"/>
              </w:rPr>
              <w:t>2</w:t>
            </w: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预测最大值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0.00226</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0.00539</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0.00824</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0.01683</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0.01187</w:t>
            </w:r>
          </w:p>
        </w:tc>
        <w:tc>
          <w:tcPr>
            <w:tcW w:w="801" w:type="dxa"/>
            <w:noWrap w:val="0"/>
            <w:vAlign w:val="center"/>
          </w:tcPr>
          <w:p>
            <w:pPr>
              <w:jc w:val="center"/>
              <w:rPr>
                <w:rFonts w:ascii="宋体" w:hAnsi="宋体" w:cs="宋体"/>
                <w:sz w:val="18"/>
                <w:szCs w:val="18"/>
              </w:rPr>
            </w:pPr>
            <w:r>
              <w:rPr>
                <w:rFonts w:hint="eastAsia"/>
                <w:sz w:val="18"/>
                <w:szCs w:val="18"/>
              </w:rPr>
              <w:t>0.00180</w:t>
            </w:r>
          </w:p>
        </w:tc>
        <w:tc>
          <w:tcPr>
            <w:tcW w:w="1296" w:type="dxa"/>
            <w:noWrap w:val="0"/>
            <w:vAlign w:val="center"/>
          </w:tcPr>
          <w:p>
            <w:pPr>
              <w:jc w:val="center"/>
              <w:rPr>
                <w:rFonts w:ascii="宋体" w:hAnsi="宋体" w:cs="宋体"/>
                <w:sz w:val="18"/>
                <w:szCs w:val="18"/>
              </w:rPr>
            </w:pPr>
            <w:r>
              <w:rPr>
                <w:rFonts w:hint="eastAsia"/>
                <w:sz w:val="18"/>
                <w:szCs w:val="18"/>
              </w:rPr>
              <w:t>0.03103</w:t>
            </w:r>
          </w:p>
        </w:tc>
        <w:tc>
          <w:tcPr>
            <w:tcW w:w="936" w:type="dxa"/>
            <w:noWrap w:val="0"/>
            <w:vAlign w:val="center"/>
          </w:tcPr>
          <w:p>
            <w:pPr>
              <w:jc w:val="center"/>
              <w:rPr>
                <w:rFonts w:ascii="宋体" w:hAnsi="宋体" w:cs="宋体"/>
                <w:sz w:val="18"/>
                <w:szCs w:val="18"/>
              </w:rPr>
            </w:pPr>
            <w:r>
              <w:rPr>
                <w:rFonts w:hint="eastAsia"/>
                <w:sz w:val="18"/>
                <w:szCs w:val="18"/>
              </w:rPr>
              <w:t>0.01333</w:t>
            </w:r>
          </w:p>
        </w:tc>
        <w:tc>
          <w:tcPr>
            <w:tcW w:w="801" w:type="dxa"/>
            <w:noWrap w:val="0"/>
            <w:vAlign w:val="center"/>
          </w:tcPr>
          <w:p>
            <w:pPr>
              <w:jc w:val="center"/>
              <w:rPr>
                <w:rFonts w:ascii="宋体" w:hAnsi="宋体" w:cs="宋体"/>
                <w:sz w:val="18"/>
                <w:szCs w:val="18"/>
              </w:rPr>
            </w:pPr>
            <w:r>
              <w:rPr>
                <w:rFonts w:hint="eastAsia"/>
                <w:sz w:val="18"/>
                <w:szCs w:val="18"/>
              </w:rPr>
              <w:t>0.00385</w:t>
            </w:r>
          </w:p>
        </w:tc>
        <w:tc>
          <w:tcPr>
            <w:tcW w:w="936" w:type="dxa"/>
            <w:noWrap w:val="0"/>
            <w:vAlign w:val="center"/>
          </w:tcPr>
          <w:p>
            <w:pPr>
              <w:jc w:val="center"/>
              <w:rPr>
                <w:rFonts w:ascii="宋体" w:hAnsi="宋体" w:cs="宋体"/>
                <w:sz w:val="18"/>
                <w:szCs w:val="18"/>
              </w:rPr>
            </w:pPr>
            <w:r>
              <w:rPr>
                <w:rFonts w:hint="eastAsia"/>
                <w:sz w:val="18"/>
                <w:szCs w:val="18"/>
              </w:rPr>
              <w:t>0.02289</w:t>
            </w:r>
          </w:p>
        </w:tc>
        <w:tc>
          <w:tcPr>
            <w:tcW w:w="936" w:type="dxa"/>
            <w:noWrap w:val="0"/>
            <w:vAlign w:val="center"/>
          </w:tcPr>
          <w:p>
            <w:pPr>
              <w:jc w:val="center"/>
              <w:rPr>
                <w:rFonts w:ascii="宋体" w:hAnsi="宋体" w:cs="宋体"/>
                <w:sz w:val="18"/>
                <w:szCs w:val="18"/>
              </w:rPr>
            </w:pPr>
            <w:r>
              <w:rPr>
                <w:rFonts w:hint="eastAsia"/>
                <w:sz w:val="18"/>
                <w:szCs w:val="18"/>
              </w:rPr>
              <w:t>0.00699</w:t>
            </w:r>
          </w:p>
        </w:tc>
        <w:tc>
          <w:tcPr>
            <w:tcW w:w="801" w:type="dxa"/>
            <w:noWrap w:val="0"/>
            <w:vAlign w:val="center"/>
          </w:tcPr>
          <w:p>
            <w:pPr>
              <w:jc w:val="center"/>
              <w:rPr>
                <w:rFonts w:ascii="宋体" w:hAnsi="宋体" w:cs="宋体"/>
                <w:sz w:val="18"/>
                <w:szCs w:val="18"/>
              </w:rPr>
            </w:pPr>
            <w:r>
              <w:rPr>
                <w:rFonts w:hint="eastAsia"/>
                <w:sz w:val="18"/>
                <w:szCs w:val="18"/>
              </w:rPr>
              <w:t>0.00611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背景值</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auto"/>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shd w:val="clear" w:color="auto" w:fill="F3F3F3"/>
            <w:noWrap/>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0.039</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0.021</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1296" w:type="dxa"/>
            <w:noWrap w:val="0"/>
            <w:vAlign w:val="center"/>
          </w:tcPr>
          <w:p>
            <w:pPr>
              <w:jc w:val="center"/>
              <w:rPr>
                <w:rFonts w:ascii="宋体" w:hAnsi="宋体" w:cs="宋体"/>
                <w:sz w:val="18"/>
                <w:szCs w:val="18"/>
              </w:rPr>
            </w:pPr>
            <w:r>
              <w:rPr>
                <w:rFonts w:hint="eastAsia"/>
                <w:sz w:val="18"/>
                <w:szCs w:val="18"/>
              </w:rPr>
              <w:t>0.053</w:t>
            </w:r>
          </w:p>
        </w:tc>
        <w:tc>
          <w:tcPr>
            <w:tcW w:w="936" w:type="dxa"/>
            <w:noWrap w:val="0"/>
            <w:vAlign w:val="center"/>
          </w:tcPr>
          <w:p>
            <w:pPr>
              <w:jc w:val="center"/>
              <w:rPr>
                <w:rFonts w:ascii="宋体" w:hAnsi="宋体" w:cs="宋体"/>
                <w:sz w:val="18"/>
                <w:szCs w:val="18"/>
              </w:rPr>
            </w:pPr>
            <w:r>
              <w:rPr>
                <w:rFonts w:hint="eastAsia"/>
                <w:sz w:val="18"/>
                <w:szCs w:val="18"/>
              </w:rPr>
              <w:t>0.051</w:t>
            </w:r>
          </w:p>
        </w:tc>
        <w:tc>
          <w:tcPr>
            <w:tcW w:w="801"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936" w:type="dxa"/>
            <w:noWrap w:val="0"/>
            <w:vAlign w:val="center"/>
          </w:tcPr>
          <w:p>
            <w:pPr>
              <w:jc w:val="center"/>
              <w:rPr>
                <w:rFonts w:ascii="宋体" w:hAnsi="宋体" w:cs="宋体"/>
                <w:sz w:val="18"/>
                <w:szCs w:val="18"/>
              </w:rPr>
            </w:pPr>
            <w:r>
              <w:rPr>
                <w:rFonts w:hint="eastAsia"/>
                <w:sz w:val="18"/>
                <w:szCs w:val="18"/>
              </w:rPr>
              <w:t>0.048</w:t>
            </w:r>
          </w:p>
        </w:tc>
        <w:tc>
          <w:tcPr>
            <w:tcW w:w="936" w:type="dxa"/>
            <w:noWrap w:val="0"/>
            <w:vAlign w:val="center"/>
          </w:tcPr>
          <w:p>
            <w:pPr>
              <w:jc w:val="center"/>
              <w:rPr>
                <w:rFonts w:hint="eastAsia" w:ascii="宋体" w:hAnsi="宋体" w:cs="宋体"/>
                <w:sz w:val="18"/>
                <w:szCs w:val="18"/>
              </w:rPr>
            </w:pPr>
            <w:r>
              <w:rPr>
                <w:rFonts w:hint="eastAsia" w:ascii="宋体" w:hAnsi="宋体" w:cs="宋体"/>
                <w:sz w:val="18"/>
                <w:szCs w:val="18"/>
              </w:rPr>
              <w:t>/</w:t>
            </w:r>
          </w:p>
        </w:tc>
        <w:tc>
          <w:tcPr>
            <w:tcW w:w="801" w:type="dxa"/>
            <w:noWrap w:val="0"/>
            <w:vAlign w:val="center"/>
          </w:tcPr>
          <w:p>
            <w:pPr>
              <w:jc w:val="center"/>
              <w:rPr>
                <w:rFonts w:ascii="宋体" w:hAnsi="宋体" w:cs="宋体"/>
                <w:sz w:val="18"/>
                <w:szCs w:val="18"/>
              </w:rPr>
            </w:pPr>
            <w:r>
              <w:rPr>
                <w:rFonts w:hint="eastAsia"/>
                <w:sz w:val="18"/>
                <w:szCs w:val="18"/>
              </w:rPr>
              <w:t>0.039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叠加值</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0.00226</w:t>
            </w:r>
          </w:p>
        </w:tc>
        <w:tc>
          <w:tcPr>
            <w:tcW w:w="801" w:type="dxa"/>
            <w:shd w:val="clear" w:color="auto" w:fill="auto"/>
            <w:noWrap/>
            <w:vAlign w:val="center"/>
          </w:tcPr>
          <w:p>
            <w:pPr>
              <w:jc w:val="center"/>
              <w:rPr>
                <w:rFonts w:ascii="宋体" w:hAnsi="宋体" w:cs="宋体"/>
                <w:sz w:val="18"/>
                <w:szCs w:val="18"/>
              </w:rPr>
            </w:pPr>
            <w:r>
              <w:rPr>
                <w:rFonts w:hint="eastAsia"/>
                <w:sz w:val="18"/>
                <w:szCs w:val="18"/>
              </w:rPr>
              <w:t>0.00539</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0.00824</w:t>
            </w:r>
          </w:p>
        </w:tc>
        <w:tc>
          <w:tcPr>
            <w:tcW w:w="936" w:type="dxa"/>
            <w:shd w:val="clear" w:color="auto" w:fill="auto"/>
            <w:noWrap/>
            <w:vAlign w:val="center"/>
          </w:tcPr>
          <w:p>
            <w:pPr>
              <w:jc w:val="center"/>
              <w:rPr>
                <w:rFonts w:ascii="宋体" w:hAnsi="宋体" w:cs="宋体"/>
                <w:sz w:val="18"/>
                <w:szCs w:val="18"/>
              </w:rPr>
            </w:pPr>
            <w:r>
              <w:rPr>
                <w:rFonts w:hint="eastAsia"/>
                <w:sz w:val="18"/>
                <w:szCs w:val="18"/>
              </w:rPr>
              <w:t>0.05583</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0.03287</w:t>
            </w:r>
          </w:p>
        </w:tc>
        <w:tc>
          <w:tcPr>
            <w:tcW w:w="801" w:type="dxa"/>
            <w:noWrap w:val="0"/>
            <w:vAlign w:val="center"/>
          </w:tcPr>
          <w:p>
            <w:pPr>
              <w:jc w:val="center"/>
              <w:rPr>
                <w:rFonts w:ascii="宋体" w:hAnsi="宋体" w:cs="宋体"/>
                <w:sz w:val="18"/>
                <w:szCs w:val="18"/>
              </w:rPr>
            </w:pPr>
            <w:r>
              <w:rPr>
                <w:rFonts w:hint="eastAsia"/>
                <w:sz w:val="18"/>
                <w:szCs w:val="18"/>
              </w:rPr>
              <w:t>0.00180</w:t>
            </w:r>
          </w:p>
        </w:tc>
        <w:tc>
          <w:tcPr>
            <w:tcW w:w="1296" w:type="dxa"/>
            <w:noWrap w:val="0"/>
            <w:vAlign w:val="center"/>
          </w:tcPr>
          <w:p>
            <w:pPr>
              <w:jc w:val="center"/>
              <w:rPr>
                <w:rFonts w:ascii="宋体" w:hAnsi="宋体" w:cs="宋体"/>
                <w:sz w:val="18"/>
                <w:szCs w:val="18"/>
              </w:rPr>
            </w:pPr>
            <w:r>
              <w:rPr>
                <w:rFonts w:hint="eastAsia"/>
                <w:sz w:val="18"/>
                <w:szCs w:val="18"/>
              </w:rPr>
              <w:t>0.08403</w:t>
            </w:r>
          </w:p>
        </w:tc>
        <w:tc>
          <w:tcPr>
            <w:tcW w:w="936" w:type="dxa"/>
            <w:noWrap w:val="0"/>
            <w:vAlign w:val="center"/>
          </w:tcPr>
          <w:p>
            <w:pPr>
              <w:jc w:val="center"/>
              <w:rPr>
                <w:rFonts w:ascii="宋体" w:hAnsi="宋体" w:cs="宋体"/>
                <w:sz w:val="18"/>
                <w:szCs w:val="18"/>
              </w:rPr>
            </w:pPr>
            <w:r>
              <w:rPr>
                <w:rFonts w:hint="eastAsia"/>
                <w:sz w:val="18"/>
                <w:szCs w:val="18"/>
              </w:rPr>
              <w:t>0.06433</w:t>
            </w:r>
          </w:p>
        </w:tc>
        <w:tc>
          <w:tcPr>
            <w:tcW w:w="801" w:type="dxa"/>
            <w:noWrap w:val="0"/>
            <w:vAlign w:val="center"/>
          </w:tcPr>
          <w:p>
            <w:pPr>
              <w:jc w:val="center"/>
              <w:rPr>
                <w:rFonts w:ascii="宋体" w:hAnsi="宋体" w:cs="宋体"/>
                <w:sz w:val="18"/>
                <w:szCs w:val="18"/>
              </w:rPr>
            </w:pPr>
            <w:r>
              <w:rPr>
                <w:rFonts w:hint="eastAsia"/>
                <w:sz w:val="18"/>
                <w:szCs w:val="18"/>
              </w:rPr>
              <w:t>0.00385</w:t>
            </w:r>
          </w:p>
        </w:tc>
        <w:tc>
          <w:tcPr>
            <w:tcW w:w="936" w:type="dxa"/>
            <w:noWrap w:val="0"/>
            <w:vAlign w:val="center"/>
          </w:tcPr>
          <w:p>
            <w:pPr>
              <w:jc w:val="center"/>
              <w:rPr>
                <w:rFonts w:ascii="宋体" w:hAnsi="宋体" w:cs="宋体"/>
                <w:sz w:val="18"/>
                <w:szCs w:val="18"/>
              </w:rPr>
            </w:pPr>
            <w:r>
              <w:rPr>
                <w:rFonts w:hint="eastAsia"/>
                <w:sz w:val="18"/>
                <w:szCs w:val="18"/>
              </w:rPr>
              <w:t>0.07089</w:t>
            </w:r>
          </w:p>
        </w:tc>
        <w:tc>
          <w:tcPr>
            <w:tcW w:w="936" w:type="dxa"/>
            <w:noWrap w:val="0"/>
            <w:vAlign w:val="center"/>
          </w:tcPr>
          <w:p>
            <w:pPr>
              <w:jc w:val="center"/>
              <w:rPr>
                <w:rFonts w:ascii="宋体" w:hAnsi="宋体" w:cs="宋体"/>
                <w:sz w:val="18"/>
                <w:szCs w:val="18"/>
              </w:rPr>
            </w:pPr>
            <w:r>
              <w:rPr>
                <w:rFonts w:hint="eastAsia"/>
                <w:sz w:val="18"/>
                <w:szCs w:val="18"/>
              </w:rPr>
              <w:t>0.00699</w:t>
            </w:r>
          </w:p>
        </w:tc>
        <w:tc>
          <w:tcPr>
            <w:tcW w:w="801" w:type="dxa"/>
            <w:noWrap w:val="0"/>
            <w:vAlign w:val="center"/>
          </w:tcPr>
          <w:p>
            <w:pPr>
              <w:jc w:val="center"/>
              <w:rPr>
                <w:rFonts w:ascii="宋体" w:hAnsi="宋体" w:cs="宋体"/>
                <w:sz w:val="18"/>
                <w:szCs w:val="18"/>
              </w:rPr>
            </w:pPr>
            <w:r>
              <w:rPr>
                <w:rFonts w:hint="eastAsia"/>
                <w:sz w:val="18"/>
                <w:szCs w:val="18"/>
              </w:rPr>
              <w:t>0.04511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97" w:type="dxa"/>
            <w:vMerge w:val="continue"/>
            <w:shd w:val="clear" w:color="auto" w:fill="auto"/>
            <w:noWrap w:val="0"/>
            <w:vAlign w:val="center"/>
          </w:tcPr>
          <w:p>
            <w:pPr>
              <w:widowControl/>
              <w:adjustRightInd w:val="0"/>
              <w:snapToGrid w:val="0"/>
              <w:spacing w:line="480" w:lineRule="exact"/>
              <w:jc w:val="center"/>
              <w:rPr>
                <w:kern w:val="0"/>
                <w:sz w:val="18"/>
                <w:szCs w:val="18"/>
              </w:rPr>
            </w:pPr>
          </w:p>
        </w:tc>
        <w:tc>
          <w:tcPr>
            <w:tcW w:w="1116" w:type="dxa"/>
            <w:shd w:val="clear" w:color="auto" w:fill="auto"/>
            <w:noWrap/>
            <w:vAlign w:val="center"/>
          </w:tcPr>
          <w:p>
            <w:pPr>
              <w:widowControl/>
              <w:adjustRightInd w:val="0"/>
              <w:snapToGrid w:val="0"/>
              <w:spacing w:line="480" w:lineRule="exact"/>
              <w:jc w:val="center"/>
              <w:rPr>
                <w:kern w:val="0"/>
                <w:sz w:val="18"/>
                <w:szCs w:val="18"/>
              </w:rPr>
            </w:pPr>
            <w:r>
              <w:rPr>
                <w:kern w:val="0"/>
                <w:sz w:val="18"/>
                <w:szCs w:val="18"/>
              </w:rPr>
              <w:t>占标率(%)</w:t>
            </w:r>
          </w:p>
        </w:tc>
        <w:tc>
          <w:tcPr>
            <w:tcW w:w="801" w:type="dxa"/>
            <w:shd w:val="clear" w:color="auto" w:fill="auto"/>
            <w:noWrap/>
            <w:vAlign w:val="center"/>
          </w:tcPr>
          <w:p>
            <w:pPr>
              <w:jc w:val="center"/>
              <w:rPr>
                <w:rFonts w:ascii="宋体" w:hAnsi="宋体" w:cs="宋体"/>
                <w:sz w:val="18"/>
                <w:szCs w:val="18"/>
              </w:rPr>
            </w:pPr>
            <w:r>
              <w:rPr>
                <w:rFonts w:hint="eastAsia"/>
                <w:sz w:val="18"/>
                <w:szCs w:val="18"/>
              </w:rPr>
              <w:t>1.88</w:t>
            </w:r>
          </w:p>
        </w:tc>
        <w:tc>
          <w:tcPr>
            <w:tcW w:w="801" w:type="dxa"/>
            <w:shd w:val="clear" w:color="auto" w:fill="auto"/>
            <w:noWrap/>
            <w:vAlign w:val="center"/>
          </w:tcPr>
          <w:p>
            <w:pPr>
              <w:jc w:val="center"/>
              <w:rPr>
                <w:rFonts w:ascii="宋体" w:hAnsi="宋体" w:cs="宋体"/>
                <w:sz w:val="18"/>
                <w:szCs w:val="18"/>
              </w:rPr>
            </w:pPr>
            <w:r>
              <w:rPr>
                <w:rFonts w:hint="eastAsia"/>
                <w:sz w:val="18"/>
                <w:szCs w:val="18"/>
              </w:rPr>
              <w:t>4.49</w:t>
            </w:r>
          </w:p>
        </w:tc>
        <w:tc>
          <w:tcPr>
            <w:tcW w:w="801" w:type="dxa"/>
            <w:shd w:val="clear" w:color="auto" w:fill="F3F3F3"/>
            <w:noWrap/>
            <w:vAlign w:val="center"/>
          </w:tcPr>
          <w:p>
            <w:pPr>
              <w:jc w:val="center"/>
              <w:rPr>
                <w:rFonts w:ascii="宋体" w:hAnsi="宋体" w:cs="宋体"/>
                <w:sz w:val="18"/>
                <w:szCs w:val="18"/>
              </w:rPr>
            </w:pPr>
            <w:r>
              <w:rPr>
                <w:rFonts w:hint="eastAsia"/>
                <w:sz w:val="18"/>
                <w:szCs w:val="18"/>
              </w:rPr>
              <w:t>6.87</w:t>
            </w:r>
          </w:p>
        </w:tc>
        <w:tc>
          <w:tcPr>
            <w:tcW w:w="936" w:type="dxa"/>
            <w:shd w:val="clear" w:color="auto" w:fill="auto"/>
            <w:noWrap/>
            <w:vAlign w:val="center"/>
          </w:tcPr>
          <w:p>
            <w:pPr>
              <w:jc w:val="center"/>
              <w:rPr>
                <w:rFonts w:ascii="宋体" w:hAnsi="宋体" w:cs="宋体"/>
                <w:sz w:val="18"/>
                <w:szCs w:val="18"/>
              </w:rPr>
            </w:pPr>
            <w:r>
              <w:rPr>
                <w:rFonts w:hint="eastAsia"/>
                <w:sz w:val="18"/>
                <w:szCs w:val="18"/>
              </w:rPr>
              <w:t>46.53</w:t>
            </w:r>
          </w:p>
        </w:tc>
        <w:tc>
          <w:tcPr>
            <w:tcW w:w="1116" w:type="dxa"/>
            <w:shd w:val="clear" w:color="auto" w:fill="auto"/>
            <w:noWrap/>
            <w:vAlign w:val="center"/>
          </w:tcPr>
          <w:p>
            <w:pPr>
              <w:jc w:val="center"/>
              <w:rPr>
                <w:rFonts w:ascii="宋体" w:hAnsi="宋体" w:cs="宋体"/>
                <w:sz w:val="18"/>
                <w:szCs w:val="18"/>
              </w:rPr>
            </w:pPr>
            <w:r>
              <w:rPr>
                <w:rFonts w:hint="eastAsia"/>
                <w:sz w:val="18"/>
                <w:szCs w:val="18"/>
              </w:rPr>
              <w:t>27.39</w:t>
            </w:r>
          </w:p>
        </w:tc>
        <w:tc>
          <w:tcPr>
            <w:tcW w:w="801" w:type="dxa"/>
            <w:noWrap w:val="0"/>
            <w:vAlign w:val="center"/>
          </w:tcPr>
          <w:p>
            <w:pPr>
              <w:jc w:val="center"/>
              <w:rPr>
                <w:rFonts w:ascii="宋体" w:hAnsi="宋体" w:cs="宋体"/>
                <w:sz w:val="18"/>
                <w:szCs w:val="18"/>
              </w:rPr>
            </w:pPr>
            <w:r>
              <w:rPr>
                <w:rFonts w:hint="eastAsia"/>
                <w:sz w:val="18"/>
                <w:szCs w:val="18"/>
              </w:rPr>
              <w:t>1.50</w:t>
            </w:r>
          </w:p>
        </w:tc>
        <w:tc>
          <w:tcPr>
            <w:tcW w:w="1296" w:type="dxa"/>
            <w:noWrap w:val="0"/>
            <w:vAlign w:val="center"/>
          </w:tcPr>
          <w:p>
            <w:pPr>
              <w:jc w:val="center"/>
              <w:rPr>
                <w:rFonts w:ascii="宋体" w:hAnsi="宋体" w:cs="宋体"/>
                <w:sz w:val="18"/>
                <w:szCs w:val="18"/>
              </w:rPr>
            </w:pPr>
            <w:r>
              <w:rPr>
                <w:rFonts w:hint="eastAsia"/>
                <w:sz w:val="18"/>
                <w:szCs w:val="18"/>
              </w:rPr>
              <w:t>70.02</w:t>
            </w:r>
          </w:p>
        </w:tc>
        <w:tc>
          <w:tcPr>
            <w:tcW w:w="936" w:type="dxa"/>
            <w:noWrap w:val="0"/>
            <w:vAlign w:val="center"/>
          </w:tcPr>
          <w:p>
            <w:pPr>
              <w:jc w:val="center"/>
              <w:rPr>
                <w:rFonts w:ascii="宋体" w:hAnsi="宋体" w:cs="宋体"/>
                <w:sz w:val="18"/>
                <w:szCs w:val="18"/>
              </w:rPr>
            </w:pPr>
            <w:r>
              <w:rPr>
                <w:rFonts w:hint="eastAsia"/>
                <w:sz w:val="18"/>
                <w:szCs w:val="18"/>
              </w:rPr>
              <w:t>53.60</w:t>
            </w:r>
          </w:p>
        </w:tc>
        <w:tc>
          <w:tcPr>
            <w:tcW w:w="801" w:type="dxa"/>
            <w:noWrap w:val="0"/>
            <w:vAlign w:val="center"/>
          </w:tcPr>
          <w:p>
            <w:pPr>
              <w:jc w:val="center"/>
              <w:rPr>
                <w:rFonts w:ascii="宋体" w:hAnsi="宋体" w:cs="宋体"/>
                <w:sz w:val="18"/>
                <w:szCs w:val="18"/>
              </w:rPr>
            </w:pPr>
            <w:r>
              <w:rPr>
                <w:rFonts w:hint="eastAsia"/>
                <w:sz w:val="18"/>
                <w:szCs w:val="18"/>
              </w:rPr>
              <w:t>3.21</w:t>
            </w:r>
          </w:p>
        </w:tc>
        <w:tc>
          <w:tcPr>
            <w:tcW w:w="936" w:type="dxa"/>
            <w:noWrap w:val="0"/>
            <w:vAlign w:val="center"/>
          </w:tcPr>
          <w:p>
            <w:pPr>
              <w:jc w:val="center"/>
              <w:rPr>
                <w:rFonts w:ascii="宋体" w:hAnsi="宋体" w:cs="宋体"/>
                <w:sz w:val="18"/>
                <w:szCs w:val="18"/>
              </w:rPr>
            </w:pPr>
            <w:r>
              <w:rPr>
                <w:rFonts w:hint="eastAsia"/>
                <w:sz w:val="18"/>
                <w:szCs w:val="18"/>
              </w:rPr>
              <w:t>59.08</w:t>
            </w:r>
          </w:p>
        </w:tc>
        <w:tc>
          <w:tcPr>
            <w:tcW w:w="936" w:type="dxa"/>
            <w:noWrap w:val="0"/>
            <w:vAlign w:val="center"/>
          </w:tcPr>
          <w:p>
            <w:pPr>
              <w:jc w:val="center"/>
              <w:rPr>
                <w:rFonts w:ascii="宋体" w:hAnsi="宋体" w:cs="宋体"/>
                <w:sz w:val="18"/>
                <w:szCs w:val="18"/>
              </w:rPr>
            </w:pPr>
            <w:r>
              <w:rPr>
                <w:rFonts w:hint="eastAsia"/>
                <w:sz w:val="18"/>
                <w:szCs w:val="18"/>
              </w:rPr>
              <w:t>5.82</w:t>
            </w:r>
          </w:p>
        </w:tc>
        <w:tc>
          <w:tcPr>
            <w:tcW w:w="801" w:type="dxa"/>
            <w:noWrap w:val="0"/>
            <w:vAlign w:val="center"/>
          </w:tcPr>
          <w:p>
            <w:pPr>
              <w:jc w:val="center"/>
              <w:rPr>
                <w:rFonts w:ascii="宋体" w:hAnsi="宋体" w:cs="宋体"/>
                <w:sz w:val="18"/>
                <w:szCs w:val="18"/>
              </w:rPr>
            </w:pPr>
            <w:r>
              <w:rPr>
                <w:rFonts w:hint="eastAsia"/>
                <w:sz w:val="18"/>
                <w:szCs w:val="18"/>
              </w:rPr>
              <w:t>37.59</w:t>
            </w:r>
          </w:p>
        </w:tc>
      </w:tr>
    </w:tbl>
    <w:p>
      <w:pPr>
        <w:adjustRightInd w:val="0"/>
        <w:snapToGrid w:val="0"/>
        <w:spacing w:line="480" w:lineRule="exact"/>
        <w:ind w:firstLine="480"/>
        <w:rPr>
          <w:rFonts w:hint="eastAsia"/>
        </w:rPr>
      </w:pPr>
    </w:p>
    <w:p>
      <w:pPr>
        <w:adjustRightInd w:val="0"/>
        <w:snapToGrid w:val="0"/>
        <w:spacing w:line="480" w:lineRule="exact"/>
        <w:ind w:firstLine="480"/>
        <w:rPr>
          <w:rFonts w:hint="eastAsia"/>
        </w:rPr>
      </w:pPr>
    </w:p>
    <w:p>
      <w:pPr>
        <w:adjustRightInd w:val="0"/>
        <w:snapToGrid w:val="0"/>
        <w:spacing w:line="480" w:lineRule="exact"/>
        <w:ind w:firstLine="480"/>
        <w:sectPr>
          <w:pgSz w:w="16838" w:h="11906" w:orient="landscape"/>
          <w:pgMar w:top="1418" w:right="1418" w:bottom="1418" w:left="1418" w:header="851" w:footer="992" w:gutter="0"/>
          <w:paperSrc w:first="20070" w:other="20070"/>
          <w:cols w:space="425" w:num="1"/>
          <w:docGrid w:linePitch="312" w:charSpace="0"/>
        </w:sectPr>
      </w:pPr>
    </w:p>
    <w:p>
      <w:pPr>
        <w:pStyle w:val="28"/>
        <w:ind w:firstLine="482"/>
        <w:rPr>
          <w:rFonts w:hint="eastAsia"/>
        </w:rPr>
      </w:pPr>
      <w:r>
        <w:t>C、</w:t>
      </w:r>
      <w:r>
        <w:rPr>
          <w:rFonts w:hint="eastAsia"/>
        </w:rPr>
        <w:t>技改项目建成后对区域环境的改善作用分析</w:t>
      </w:r>
    </w:p>
    <w:p>
      <w:pPr>
        <w:pStyle w:val="28"/>
        <w:ind w:firstLine="482"/>
        <w:rPr>
          <w:rFonts w:hint="eastAsia"/>
        </w:rPr>
      </w:pPr>
      <w:r>
        <w:rPr>
          <w:rFonts w:hint="eastAsia"/>
        </w:rPr>
        <w:t>技改项目将在现有立窑拆除后建设，工程分析表明其污染物排放量较现有立窑将有较大程度的减少，为进一步分析技改项目建成后对环境的改善作用，本评价对技改前后水泥生产线对周边各敏感点的小时</w:t>
      </w:r>
      <w:r>
        <w:t>最大浓度</w:t>
      </w:r>
      <w:r>
        <w:rPr>
          <w:rFonts w:hint="eastAsia"/>
        </w:rPr>
        <w:t>、</w:t>
      </w:r>
      <w:r>
        <w:t>日均最大浓度</w:t>
      </w:r>
      <w:r>
        <w:rPr>
          <w:rFonts w:hint="eastAsia"/>
        </w:rPr>
        <w:t>和年均影响浓度进行了对比分析，结果见表8-16</w:t>
      </w:r>
      <w:r>
        <w:t>—</w:t>
      </w:r>
      <w:r>
        <w:rPr>
          <w:rFonts w:hint="eastAsia"/>
        </w:rPr>
        <w:t>表8-18。</w:t>
      </w:r>
    </w:p>
    <w:p>
      <w:pPr>
        <w:spacing w:line="360" w:lineRule="auto"/>
        <w:ind w:firstLine="482"/>
        <w:rPr>
          <w:rFonts w:hint="eastAsia"/>
          <w:snapToGrid w:val="0"/>
          <w:kern w:val="0"/>
        </w:rPr>
      </w:pPr>
      <w:r>
        <w:rPr>
          <w:rFonts w:hint="eastAsia"/>
          <w:snapToGrid w:val="0"/>
          <w:kern w:val="0"/>
        </w:rPr>
        <w:t>从表8-16</w:t>
      </w:r>
      <w:r>
        <w:rPr>
          <w:snapToGrid w:val="0"/>
          <w:kern w:val="0"/>
        </w:rPr>
        <w:t>—</w:t>
      </w:r>
      <w:r>
        <w:rPr>
          <w:rFonts w:hint="eastAsia"/>
          <w:snapToGrid w:val="0"/>
          <w:kern w:val="0"/>
        </w:rPr>
        <w:t>表8-18可以看出，技改项目建成后</w:t>
      </w:r>
      <w:r>
        <w:rPr>
          <w:snapToGrid w:val="0"/>
          <w:kern w:val="0"/>
        </w:rPr>
        <w:t>PM</w:t>
      </w:r>
      <w:r>
        <w:rPr>
          <w:snapToGrid w:val="0"/>
          <w:kern w:val="0"/>
          <w:vertAlign w:val="subscript"/>
        </w:rPr>
        <w:t>10</w:t>
      </w:r>
      <w:r>
        <w:rPr>
          <w:rFonts w:hint="eastAsia"/>
          <w:snapToGrid w:val="0"/>
          <w:kern w:val="0"/>
        </w:rPr>
        <w:t>、</w:t>
      </w:r>
      <w:r>
        <w:rPr>
          <w:snapToGrid w:val="0"/>
          <w:kern w:val="0"/>
        </w:rPr>
        <w:t>SO</w:t>
      </w:r>
      <w:r>
        <w:rPr>
          <w:snapToGrid w:val="0"/>
          <w:kern w:val="0"/>
          <w:vertAlign w:val="subscript"/>
        </w:rPr>
        <w:t>2</w:t>
      </w:r>
      <w:r>
        <w:rPr>
          <w:rFonts w:hint="eastAsia"/>
          <w:snapToGrid w:val="0"/>
          <w:kern w:val="0"/>
        </w:rPr>
        <w:t>对各敏感点的影响明显减少，但是NO</w:t>
      </w:r>
      <w:r>
        <w:rPr>
          <w:rFonts w:hint="eastAsia"/>
          <w:snapToGrid w:val="0"/>
          <w:kern w:val="0"/>
          <w:vertAlign w:val="subscript"/>
        </w:rPr>
        <w:t>2</w:t>
      </w:r>
      <w:r>
        <w:rPr>
          <w:rFonts w:hint="eastAsia"/>
          <w:snapToGrid w:val="0"/>
          <w:kern w:val="0"/>
        </w:rPr>
        <w:t>对敏感点影响值增加明显。</w:t>
      </w:r>
    </w:p>
    <w:p>
      <w:pPr>
        <w:adjustRightInd w:val="0"/>
        <w:snapToGrid w:val="0"/>
        <w:spacing w:line="360" w:lineRule="auto"/>
        <w:ind w:firstLine="482"/>
      </w:pPr>
      <w:r>
        <w:rPr>
          <w:rFonts w:hint="eastAsia"/>
        </w:rPr>
        <w:t>D</w:t>
      </w:r>
      <w:r>
        <w:t>、非正常排况对环境空气保护目标和评价范围的最大小时影响浓度</w:t>
      </w:r>
    </w:p>
    <w:p>
      <w:pPr>
        <w:widowControl/>
        <w:spacing w:line="360" w:lineRule="auto"/>
        <w:ind w:firstLine="482"/>
        <w:rPr>
          <w:rFonts w:hint="eastAsia"/>
        </w:rPr>
      </w:pPr>
      <w:r>
        <w:t>非正常工况主要考虑了当所有设备处于正常状态运作时，</w:t>
      </w:r>
      <w:r>
        <w:rPr>
          <w:rFonts w:hint="eastAsia"/>
        </w:rPr>
        <w:t>窑尾废气处理设备、窑头废气处理设备、煤粉制备和水泥粉磨废气处理设备同时出现故障这种极端情况</w:t>
      </w:r>
      <w:r>
        <w:rPr>
          <w:kern w:val="0"/>
        </w:rPr>
        <w:t>，</w:t>
      </w:r>
      <w:r>
        <w:t>排放的污染物对敏感点的影响预测结果与正常工况下对敏感点的影响对比见表</w:t>
      </w:r>
      <w:r>
        <w:rPr>
          <w:rFonts w:hint="eastAsia"/>
        </w:rPr>
        <w:t>8</w:t>
      </w:r>
      <w:r>
        <w:t>-1</w:t>
      </w:r>
      <w:r>
        <w:rPr>
          <w:rFonts w:hint="eastAsia"/>
        </w:rPr>
        <w:t>9</w:t>
      </w:r>
      <w:r>
        <w:t>。</w:t>
      </w:r>
    </w:p>
    <w:p>
      <w:pPr>
        <w:spacing w:line="480" w:lineRule="exact"/>
        <w:ind w:firstLine="316" w:firstLineChars="150"/>
        <w:jc w:val="center"/>
        <w:rPr>
          <w:rFonts w:hint="eastAsia"/>
          <w:b/>
          <w:szCs w:val="21"/>
          <w:vertAlign w:val="superscript"/>
        </w:rPr>
      </w:pPr>
      <w:r>
        <w:rPr>
          <w:b/>
        </w:rPr>
        <w:t>表</w:t>
      </w:r>
      <w:r>
        <w:rPr>
          <w:rFonts w:hint="eastAsia"/>
          <w:b/>
        </w:rPr>
        <w:t>8</w:t>
      </w:r>
      <w:r>
        <w:rPr>
          <w:b/>
        </w:rPr>
        <w:t>-1</w:t>
      </w:r>
      <w:r>
        <w:rPr>
          <w:rFonts w:hint="eastAsia"/>
          <w:b/>
        </w:rPr>
        <w:t>9</w:t>
      </w:r>
      <w:r>
        <w:rPr>
          <w:b/>
        </w:rPr>
        <w:t xml:space="preserve">  非正常排放对环境的影响    单位：</w:t>
      </w:r>
      <w:r>
        <w:rPr>
          <w:b/>
          <w:szCs w:val="21"/>
        </w:rPr>
        <w:t>mg/m</w:t>
      </w:r>
      <w:r>
        <w:rPr>
          <w:b/>
          <w:szCs w:val="21"/>
          <w:vertAlign w:val="superscript"/>
        </w:rPr>
        <w:t>3</w:t>
      </w: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496"/>
        <w:gridCol w:w="2234"/>
        <w:gridCol w:w="1755"/>
        <w:gridCol w:w="1753"/>
        <w:gridCol w:w="4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tblHeader/>
          <w:jc w:val="center"/>
        </w:trPr>
        <w:tc>
          <w:tcPr>
            <w:tcW w:w="3496" w:type="dxa"/>
            <w:vMerge w:val="restart"/>
            <w:tcBorders>
              <w:tl2br w:val="single" w:color="auto" w:sz="4" w:space="0"/>
            </w:tcBorders>
            <w:noWrap w:val="0"/>
            <w:vAlign w:val="center"/>
          </w:tcPr>
          <w:p>
            <w:pPr>
              <w:pStyle w:val="33"/>
              <w:snapToGrid w:val="0"/>
              <w:spacing w:line="480" w:lineRule="exact"/>
              <w:ind w:left="0" w:leftChars="0" w:right="-122" w:firstLine="1365" w:firstLineChars="650"/>
              <w:jc w:val="both"/>
              <w:rPr>
                <w:color w:val="auto"/>
              </w:rPr>
            </w:pPr>
            <w:r>
              <w:rPr>
                <w:color w:val="auto"/>
              </w:rPr>
              <w:t>预测因子</w:t>
            </w:r>
          </w:p>
          <w:p>
            <w:pPr>
              <w:pStyle w:val="33"/>
              <w:snapToGrid w:val="0"/>
              <w:spacing w:line="480" w:lineRule="exact"/>
              <w:ind w:right="-122"/>
              <w:jc w:val="both"/>
              <w:rPr>
                <w:color w:val="auto"/>
              </w:rPr>
            </w:pPr>
            <w:r>
              <w:rPr>
                <w:color w:val="auto"/>
              </w:rPr>
              <w:t>关心点</w:t>
            </w:r>
          </w:p>
        </w:tc>
        <w:tc>
          <w:tcPr>
            <w:tcW w:w="5790" w:type="dxa"/>
            <w:gridSpan w:val="4"/>
            <w:noWrap w:val="0"/>
            <w:vAlign w:val="center"/>
          </w:tcPr>
          <w:p>
            <w:pPr>
              <w:widowControl/>
              <w:adjustRightInd w:val="0"/>
              <w:snapToGrid w:val="0"/>
              <w:spacing w:line="480" w:lineRule="exact"/>
              <w:jc w:val="center"/>
              <w:rPr>
                <w:szCs w:val="21"/>
              </w:rPr>
            </w:pPr>
            <w:r>
              <w:rPr>
                <w:szCs w:val="21"/>
              </w:rPr>
              <w:t>PM</w:t>
            </w:r>
            <w:r>
              <w:rPr>
                <w:szCs w:val="21"/>
                <w:vertAlign w:val="subscript"/>
              </w:rPr>
              <w:t>10</w:t>
            </w:r>
            <w:r>
              <w:rPr>
                <w:szCs w:val="21"/>
              </w:rPr>
              <w:t>小时浓度最大值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90" w:hRule="atLeast"/>
          <w:tblHeader/>
          <w:jc w:val="center"/>
        </w:trPr>
        <w:tc>
          <w:tcPr>
            <w:tcW w:w="3496" w:type="dxa"/>
            <w:vMerge w:val="continue"/>
            <w:noWrap w:val="0"/>
            <w:vAlign w:val="center"/>
          </w:tcPr>
          <w:p>
            <w:pPr>
              <w:pStyle w:val="33"/>
              <w:snapToGrid w:val="0"/>
              <w:spacing w:line="240" w:lineRule="exact"/>
              <w:ind w:right="-122"/>
              <w:rPr>
                <w:color w:val="auto"/>
              </w:rPr>
            </w:pPr>
          </w:p>
        </w:tc>
        <w:tc>
          <w:tcPr>
            <w:tcW w:w="2234" w:type="dxa"/>
            <w:tcBorders>
              <w:right w:val="single" w:color="auto" w:sz="4" w:space="0"/>
            </w:tcBorders>
            <w:noWrap w:val="0"/>
            <w:vAlign w:val="center"/>
          </w:tcPr>
          <w:p>
            <w:pPr>
              <w:spacing w:line="240" w:lineRule="exact"/>
              <w:jc w:val="center"/>
              <w:rPr>
                <w:szCs w:val="21"/>
              </w:rPr>
            </w:pPr>
            <w:r>
              <w:rPr>
                <w:szCs w:val="21"/>
              </w:rPr>
              <w:t>非正常排放</w:t>
            </w:r>
          </w:p>
        </w:tc>
        <w:tc>
          <w:tcPr>
            <w:tcW w:w="1755" w:type="dxa"/>
            <w:noWrap w:val="0"/>
            <w:vAlign w:val="center"/>
          </w:tcPr>
          <w:p>
            <w:pPr>
              <w:spacing w:line="240" w:lineRule="exact"/>
              <w:jc w:val="center"/>
              <w:rPr>
                <w:szCs w:val="21"/>
              </w:rPr>
            </w:pPr>
            <w:r>
              <w:rPr>
                <w:szCs w:val="21"/>
              </w:rPr>
              <w:t>正常排放</w:t>
            </w:r>
          </w:p>
        </w:tc>
        <w:tc>
          <w:tcPr>
            <w:tcW w:w="1753" w:type="dxa"/>
            <w:tcBorders>
              <w:left w:val="single" w:color="auto" w:sz="4" w:space="0"/>
              <w:right w:val="single" w:color="auto" w:sz="4" w:space="0"/>
            </w:tcBorders>
            <w:noWrap w:val="0"/>
            <w:vAlign w:val="center"/>
          </w:tcPr>
          <w:p>
            <w:pPr>
              <w:spacing w:line="240" w:lineRule="exact"/>
              <w:jc w:val="center"/>
              <w:rPr>
                <w:rFonts w:hint="eastAsia"/>
                <w:szCs w:val="21"/>
              </w:rPr>
            </w:pPr>
            <w:r>
              <w:rPr>
                <w:rFonts w:hint="eastAsia"/>
                <w:szCs w:val="21"/>
              </w:rPr>
              <w:t>变化量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94" w:hRule="atLeast"/>
          <w:jc w:val="center"/>
        </w:trPr>
        <w:tc>
          <w:tcPr>
            <w:tcW w:w="3496" w:type="dxa"/>
            <w:shd w:val="clear" w:color="auto" w:fill="auto"/>
            <w:noWrap w:val="0"/>
            <w:vAlign w:val="center"/>
          </w:tcPr>
          <w:p>
            <w:pPr>
              <w:jc w:val="center"/>
              <w:rPr>
                <w:sz w:val="21"/>
                <w:szCs w:val="21"/>
              </w:rPr>
            </w:pPr>
            <w:r>
              <w:rPr>
                <w:sz w:val="21"/>
                <w:szCs w:val="21"/>
              </w:rPr>
              <w:t>大路镇</w:t>
            </w:r>
          </w:p>
        </w:tc>
        <w:tc>
          <w:tcPr>
            <w:tcW w:w="2234" w:type="dxa"/>
            <w:shd w:val="clear" w:color="auto" w:fill="F3F3F3"/>
            <w:noWrap w:val="0"/>
            <w:vAlign w:val="center"/>
          </w:tcPr>
          <w:p>
            <w:pPr>
              <w:jc w:val="center"/>
              <w:rPr>
                <w:rFonts w:ascii="宋体" w:hAnsi="宋体" w:cs="宋体"/>
                <w:sz w:val="21"/>
                <w:szCs w:val="21"/>
              </w:rPr>
            </w:pPr>
            <w:r>
              <w:rPr>
                <w:rFonts w:hint="eastAsia"/>
                <w:sz w:val="21"/>
                <w:szCs w:val="21"/>
              </w:rPr>
              <w:t>0.1010</w:t>
            </w:r>
          </w:p>
        </w:tc>
        <w:tc>
          <w:tcPr>
            <w:tcW w:w="1755" w:type="dxa"/>
            <w:shd w:val="clear" w:color="auto" w:fill="F3F3F3"/>
            <w:noWrap w:val="0"/>
            <w:vAlign w:val="center"/>
          </w:tcPr>
          <w:p>
            <w:pPr>
              <w:jc w:val="center"/>
              <w:rPr>
                <w:rFonts w:ascii="宋体" w:hAnsi="宋体" w:cs="宋体"/>
                <w:sz w:val="21"/>
                <w:szCs w:val="21"/>
              </w:rPr>
            </w:pPr>
            <w:r>
              <w:rPr>
                <w:rFonts w:hint="eastAsia"/>
                <w:sz w:val="21"/>
                <w:szCs w:val="21"/>
              </w:rPr>
              <w:t>0.0027</w:t>
            </w:r>
          </w:p>
        </w:tc>
        <w:tc>
          <w:tcPr>
            <w:tcW w:w="1753" w:type="dxa"/>
            <w:tcBorders>
              <w:lef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+0.0983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312" w:hRule="atLeast"/>
          <w:jc w:val="center"/>
        </w:trPr>
        <w:tc>
          <w:tcPr>
            <w:tcW w:w="3496" w:type="dxa"/>
            <w:noWrap w:val="0"/>
            <w:vAlign w:val="center"/>
          </w:tcPr>
          <w:p>
            <w:pPr>
              <w:jc w:val="center"/>
              <w:rPr>
                <w:sz w:val="21"/>
                <w:szCs w:val="21"/>
              </w:rPr>
            </w:pPr>
            <w:r>
              <w:rPr>
                <w:rFonts w:hAnsi="宋体"/>
                <w:sz w:val="21"/>
                <w:szCs w:val="21"/>
              </w:rPr>
              <w:t>六塘镇</w:t>
            </w:r>
          </w:p>
        </w:tc>
        <w:tc>
          <w:tcPr>
            <w:tcW w:w="2234" w:type="dxa"/>
            <w:noWrap w:val="0"/>
            <w:vAlign w:val="center"/>
          </w:tcPr>
          <w:p>
            <w:pPr>
              <w:jc w:val="center"/>
              <w:rPr>
                <w:rFonts w:ascii="宋体" w:hAnsi="宋体" w:cs="宋体"/>
                <w:sz w:val="21"/>
                <w:szCs w:val="21"/>
              </w:rPr>
            </w:pPr>
            <w:r>
              <w:rPr>
                <w:rFonts w:hint="eastAsia"/>
                <w:sz w:val="21"/>
                <w:szCs w:val="21"/>
              </w:rPr>
              <w:t>0.1997</w:t>
            </w:r>
          </w:p>
        </w:tc>
        <w:tc>
          <w:tcPr>
            <w:tcW w:w="1755" w:type="dxa"/>
            <w:noWrap w:val="0"/>
            <w:vAlign w:val="center"/>
          </w:tcPr>
          <w:p>
            <w:pPr>
              <w:jc w:val="center"/>
              <w:rPr>
                <w:rFonts w:ascii="宋体" w:hAnsi="宋体" w:cs="宋体"/>
                <w:sz w:val="21"/>
                <w:szCs w:val="21"/>
              </w:rPr>
            </w:pPr>
            <w:r>
              <w:rPr>
                <w:rFonts w:hint="eastAsia"/>
                <w:sz w:val="21"/>
                <w:szCs w:val="21"/>
              </w:rPr>
              <w:t>0.0038</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+0.1959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88" w:hRule="atLeast"/>
          <w:jc w:val="center"/>
        </w:trPr>
        <w:tc>
          <w:tcPr>
            <w:tcW w:w="3496" w:type="dxa"/>
            <w:noWrap w:val="0"/>
            <w:vAlign w:val="center"/>
          </w:tcPr>
          <w:p>
            <w:pPr>
              <w:jc w:val="center"/>
              <w:rPr>
                <w:sz w:val="21"/>
                <w:szCs w:val="21"/>
              </w:rPr>
            </w:pPr>
            <w:r>
              <w:rPr>
                <w:rFonts w:hAnsi="宋体"/>
                <w:sz w:val="21"/>
                <w:szCs w:val="21"/>
              </w:rPr>
              <w:t>接龙镇</w:t>
            </w:r>
          </w:p>
        </w:tc>
        <w:tc>
          <w:tcPr>
            <w:tcW w:w="2234" w:type="dxa"/>
            <w:noWrap w:val="0"/>
            <w:vAlign w:val="center"/>
          </w:tcPr>
          <w:p>
            <w:pPr>
              <w:jc w:val="center"/>
              <w:rPr>
                <w:rFonts w:ascii="宋体" w:hAnsi="宋体" w:cs="宋体"/>
                <w:sz w:val="21"/>
                <w:szCs w:val="21"/>
              </w:rPr>
            </w:pPr>
            <w:r>
              <w:rPr>
                <w:rFonts w:hint="eastAsia"/>
                <w:sz w:val="21"/>
                <w:szCs w:val="21"/>
              </w:rPr>
              <w:t>0.4148</w:t>
            </w:r>
          </w:p>
        </w:tc>
        <w:tc>
          <w:tcPr>
            <w:tcW w:w="1755" w:type="dxa"/>
            <w:noWrap w:val="0"/>
            <w:vAlign w:val="center"/>
          </w:tcPr>
          <w:p>
            <w:pPr>
              <w:jc w:val="center"/>
              <w:rPr>
                <w:rFonts w:ascii="宋体" w:hAnsi="宋体" w:cs="宋体"/>
                <w:sz w:val="21"/>
                <w:szCs w:val="21"/>
              </w:rPr>
            </w:pPr>
            <w:r>
              <w:rPr>
                <w:rFonts w:hint="eastAsia"/>
                <w:sz w:val="21"/>
                <w:szCs w:val="21"/>
              </w:rPr>
              <w:t>0.0069</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+0.4079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92" w:hRule="atLeast"/>
          <w:jc w:val="center"/>
        </w:trPr>
        <w:tc>
          <w:tcPr>
            <w:tcW w:w="3496" w:type="dxa"/>
            <w:noWrap w:val="0"/>
            <w:vAlign w:val="center"/>
          </w:tcPr>
          <w:p>
            <w:pPr>
              <w:jc w:val="center"/>
              <w:rPr>
                <w:sz w:val="21"/>
                <w:szCs w:val="21"/>
              </w:rPr>
            </w:pPr>
            <w:r>
              <w:rPr>
                <w:rFonts w:hAnsi="宋体"/>
                <w:sz w:val="21"/>
                <w:szCs w:val="21"/>
              </w:rPr>
              <w:t>福里树村</w:t>
            </w:r>
          </w:p>
        </w:tc>
        <w:tc>
          <w:tcPr>
            <w:tcW w:w="2234" w:type="dxa"/>
            <w:noWrap w:val="0"/>
            <w:vAlign w:val="center"/>
          </w:tcPr>
          <w:p>
            <w:pPr>
              <w:jc w:val="center"/>
              <w:rPr>
                <w:rFonts w:ascii="宋体" w:hAnsi="宋体" w:cs="宋体"/>
                <w:sz w:val="21"/>
                <w:szCs w:val="21"/>
              </w:rPr>
            </w:pPr>
            <w:r>
              <w:rPr>
                <w:rFonts w:hint="eastAsia"/>
                <w:sz w:val="21"/>
                <w:szCs w:val="21"/>
              </w:rPr>
              <w:t>1.2391</w:t>
            </w:r>
          </w:p>
        </w:tc>
        <w:tc>
          <w:tcPr>
            <w:tcW w:w="1755" w:type="dxa"/>
            <w:noWrap w:val="0"/>
            <w:vAlign w:val="center"/>
          </w:tcPr>
          <w:p>
            <w:pPr>
              <w:jc w:val="center"/>
              <w:rPr>
                <w:rFonts w:ascii="宋体" w:hAnsi="宋体" w:cs="宋体"/>
                <w:sz w:val="21"/>
                <w:szCs w:val="21"/>
              </w:rPr>
            </w:pPr>
            <w:r>
              <w:rPr>
                <w:rFonts w:hint="eastAsia"/>
                <w:sz w:val="21"/>
                <w:szCs w:val="21"/>
              </w:rPr>
              <w:t>0.0227</w:t>
            </w:r>
          </w:p>
        </w:tc>
        <w:tc>
          <w:tcPr>
            <w:tcW w:w="1753" w:type="dxa"/>
            <w:tcBorders>
              <w:left w:val="single" w:color="auto" w:sz="4" w:space="0"/>
            </w:tcBorders>
            <w:noWrap w:val="0"/>
            <w:vAlign w:val="center"/>
          </w:tcPr>
          <w:p>
            <w:pPr>
              <w:jc w:val="center"/>
              <w:rPr>
                <w:rFonts w:ascii="宋体" w:hAnsi="宋体" w:cs="宋体"/>
                <w:b/>
                <w:sz w:val="21"/>
                <w:szCs w:val="21"/>
              </w:rPr>
            </w:pPr>
            <w:r>
              <w:rPr>
                <w:rFonts w:hint="eastAsia"/>
                <w:b/>
                <w:sz w:val="21"/>
                <w:szCs w:val="21"/>
              </w:rPr>
              <w:t>+1.2164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309" w:hRule="atLeast"/>
          <w:jc w:val="center"/>
        </w:trPr>
        <w:tc>
          <w:tcPr>
            <w:tcW w:w="3496" w:type="dxa"/>
            <w:shd w:val="clear" w:color="auto" w:fill="auto"/>
            <w:noWrap w:val="0"/>
            <w:vAlign w:val="center"/>
          </w:tcPr>
          <w:p>
            <w:pPr>
              <w:jc w:val="center"/>
              <w:rPr>
                <w:sz w:val="21"/>
                <w:szCs w:val="21"/>
              </w:rPr>
            </w:pPr>
            <w:r>
              <w:rPr>
                <w:rFonts w:hAnsi="宋体"/>
                <w:sz w:val="21"/>
                <w:szCs w:val="21"/>
              </w:rPr>
              <w:t>殷家老院子</w:t>
            </w:r>
          </w:p>
        </w:tc>
        <w:tc>
          <w:tcPr>
            <w:tcW w:w="2234" w:type="dxa"/>
            <w:shd w:val="clear" w:color="auto" w:fill="auto"/>
            <w:noWrap w:val="0"/>
            <w:vAlign w:val="center"/>
          </w:tcPr>
          <w:p>
            <w:pPr>
              <w:jc w:val="center"/>
              <w:rPr>
                <w:rFonts w:ascii="宋体" w:hAnsi="宋体" w:cs="宋体"/>
                <w:sz w:val="21"/>
                <w:szCs w:val="21"/>
              </w:rPr>
            </w:pPr>
            <w:r>
              <w:rPr>
                <w:rFonts w:hint="eastAsia"/>
                <w:sz w:val="21"/>
                <w:szCs w:val="21"/>
              </w:rPr>
              <w:t>0.5739</w:t>
            </w:r>
          </w:p>
        </w:tc>
        <w:tc>
          <w:tcPr>
            <w:tcW w:w="1755" w:type="dxa"/>
            <w:noWrap w:val="0"/>
            <w:vAlign w:val="center"/>
          </w:tcPr>
          <w:p>
            <w:pPr>
              <w:jc w:val="center"/>
              <w:rPr>
                <w:rFonts w:ascii="宋体" w:hAnsi="宋体" w:cs="宋体"/>
                <w:sz w:val="21"/>
                <w:szCs w:val="21"/>
              </w:rPr>
            </w:pPr>
            <w:r>
              <w:rPr>
                <w:rFonts w:hint="eastAsia"/>
                <w:sz w:val="21"/>
                <w:szCs w:val="21"/>
              </w:rPr>
              <w:t>0.0126</w:t>
            </w:r>
          </w:p>
        </w:tc>
        <w:tc>
          <w:tcPr>
            <w:tcW w:w="1753" w:type="dxa"/>
            <w:tcBorders>
              <w:left w:val="single" w:color="auto" w:sz="4" w:space="0"/>
            </w:tcBorders>
            <w:noWrap w:val="0"/>
            <w:vAlign w:val="center"/>
          </w:tcPr>
          <w:p>
            <w:pPr>
              <w:jc w:val="center"/>
              <w:rPr>
                <w:rFonts w:ascii="宋体" w:hAnsi="宋体" w:cs="宋体"/>
                <w:b/>
                <w:sz w:val="21"/>
                <w:szCs w:val="21"/>
              </w:rPr>
            </w:pPr>
            <w:r>
              <w:rPr>
                <w:rFonts w:hint="eastAsia"/>
                <w:b/>
                <w:sz w:val="21"/>
                <w:szCs w:val="21"/>
              </w:rPr>
              <w:t>+0.5613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86" w:hRule="atLeast"/>
          <w:jc w:val="center"/>
        </w:trPr>
        <w:tc>
          <w:tcPr>
            <w:tcW w:w="3496" w:type="dxa"/>
            <w:noWrap w:val="0"/>
            <w:vAlign w:val="center"/>
          </w:tcPr>
          <w:p>
            <w:pPr>
              <w:jc w:val="center"/>
              <w:rPr>
                <w:sz w:val="21"/>
                <w:szCs w:val="21"/>
              </w:rPr>
            </w:pPr>
            <w:r>
              <w:rPr>
                <w:rFonts w:hAnsi="宋体"/>
                <w:sz w:val="21"/>
                <w:szCs w:val="21"/>
              </w:rPr>
              <w:t>璧山县</w:t>
            </w:r>
          </w:p>
        </w:tc>
        <w:tc>
          <w:tcPr>
            <w:tcW w:w="2234" w:type="dxa"/>
            <w:noWrap w:val="0"/>
            <w:vAlign w:val="center"/>
          </w:tcPr>
          <w:p>
            <w:pPr>
              <w:jc w:val="center"/>
              <w:rPr>
                <w:rFonts w:ascii="宋体" w:hAnsi="宋体" w:cs="宋体"/>
                <w:sz w:val="21"/>
                <w:szCs w:val="21"/>
              </w:rPr>
            </w:pPr>
            <w:r>
              <w:rPr>
                <w:rFonts w:hint="eastAsia"/>
                <w:sz w:val="21"/>
                <w:szCs w:val="21"/>
              </w:rPr>
              <w:t>0.1208</w:t>
            </w:r>
          </w:p>
        </w:tc>
        <w:tc>
          <w:tcPr>
            <w:tcW w:w="1755" w:type="dxa"/>
            <w:noWrap w:val="0"/>
            <w:vAlign w:val="center"/>
          </w:tcPr>
          <w:p>
            <w:pPr>
              <w:jc w:val="center"/>
              <w:rPr>
                <w:rFonts w:ascii="宋体" w:hAnsi="宋体" w:cs="宋体"/>
                <w:sz w:val="21"/>
                <w:szCs w:val="21"/>
              </w:rPr>
            </w:pPr>
            <w:r>
              <w:rPr>
                <w:rFonts w:hint="eastAsia"/>
                <w:sz w:val="21"/>
                <w:szCs w:val="21"/>
              </w:rPr>
              <w:t>0.0032</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+0.1176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304" w:hRule="atLeast"/>
          <w:jc w:val="center"/>
        </w:trPr>
        <w:tc>
          <w:tcPr>
            <w:tcW w:w="3496" w:type="dxa"/>
            <w:noWrap w:val="0"/>
            <w:vAlign w:val="center"/>
          </w:tcPr>
          <w:p>
            <w:pPr>
              <w:jc w:val="center"/>
              <w:rPr>
                <w:rFonts w:hint="eastAsia"/>
                <w:sz w:val="21"/>
                <w:szCs w:val="21"/>
              </w:rPr>
            </w:pPr>
            <w:r>
              <w:rPr>
                <w:rFonts w:hAnsi="宋体"/>
                <w:sz w:val="21"/>
                <w:szCs w:val="21"/>
              </w:rPr>
              <w:t>青鹏煤业公司</w:t>
            </w:r>
            <w:r>
              <w:rPr>
                <w:rFonts w:hint="eastAsia" w:hAnsi="宋体"/>
                <w:sz w:val="21"/>
                <w:szCs w:val="21"/>
              </w:rPr>
              <w:t>家属院</w:t>
            </w:r>
          </w:p>
        </w:tc>
        <w:tc>
          <w:tcPr>
            <w:tcW w:w="2234" w:type="dxa"/>
            <w:noWrap w:val="0"/>
            <w:vAlign w:val="center"/>
          </w:tcPr>
          <w:p>
            <w:pPr>
              <w:jc w:val="center"/>
              <w:rPr>
                <w:rFonts w:ascii="宋体" w:hAnsi="宋体" w:cs="宋体"/>
                <w:sz w:val="21"/>
                <w:szCs w:val="21"/>
              </w:rPr>
            </w:pPr>
            <w:r>
              <w:rPr>
                <w:rFonts w:hint="eastAsia"/>
                <w:sz w:val="21"/>
                <w:szCs w:val="21"/>
              </w:rPr>
              <w:t>3.1638</w:t>
            </w:r>
          </w:p>
        </w:tc>
        <w:tc>
          <w:tcPr>
            <w:tcW w:w="1755" w:type="dxa"/>
            <w:noWrap w:val="0"/>
            <w:vAlign w:val="center"/>
          </w:tcPr>
          <w:p>
            <w:pPr>
              <w:jc w:val="center"/>
              <w:rPr>
                <w:rFonts w:ascii="宋体" w:hAnsi="宋体" w:cs="宋体"/>
                <w:sz w:val="21"/>
                <w:szCs w:val="21"/>
              </w:rPr>
            </w:pPr>
            <w:r>
              <w:rPr>
                <w:rFonts w:hint="eastAsia"/>
                <w:sz w:val="21"/>
                <w:szCs w:val="21"/>
              </w:rPr>
              <w:t>0.0566</w:t>
            </w:r>
          </w:p>
        </w:tc>
        <w:tc>
          <w:tcPr>
            <w:tcW w:w="1753" w:type="dxa"/>
            <w:tcBorders>
              <w:left w:val="single" w:color="auto" w:sz="4" w:space="0"/>
            </w:tcBorders>
            <w:noWrap w:val="0"/>
            <w:vAlign w:val="center"/>
          </w:tcPr>
          <w:p>
            <w:pPr>
              <w:jc w:val="center"/>
              <w:rPr>
                <w:rFonts w:ascii="宋体" w:hAnsi="宋体" w:cs="宋体"/>
                <w:b/>
                <w:sz w:val="21"/>
                <w:szCs w:val="21"/>
              </w:rPr>
            </w:pPr>
            <w:r>
              <w:rPr>
                <w:rFonts w:hint="eastAsia"/>
                <w:b/>
                <w:sz w:val="21"/>
                <w:szCs w:val="21"/>
              </w:rPr>
              <w:t>+3.1072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80" w:hRule="atLeast"/>
          <w:jc w:val="center"/>
        </w:trPr>
        <w:tc>
          <w:tcPr>
            <w:tcW w:w="3496" w:type="dxa"/>
            <w:noWrap w:val="0"/>
            <w:vAlign w:val="center"/>
          </w:tcPr>
          <w:p>
            <w:pPr>
              <w:jc w:val="center"/>
              <w:rPr>
                <w:sz w:val="21"/>
                <w:szCs w:val="21"/>
              </w:rPr>
            </w:pPr>
            <w:r>
              <w:rPr>
                <w:rFonts w:hAnsi="宋体"/>
                <w:sz w:val="21"/>
                <w:szCs w:val="21"/>
              </w:rPr>
              <w:t>青木关镇</w:t>
            </w:r>
          </w:p>
        </w:tc>
        <w:tc>
          <w:tcPr>
            <w:tcW w:w="2234" w:type="dxa"/>
            <w:noWrap w:val="0"/>
            <w:vAlign w:val="center"/>
          </w:tcPr>
          <w:p>
            <w:pPr>
              <w:jc w:val="center"/>
              <w:rPr>
                <w:rFonts w:ascii="宋体" w:hAnsi="宋体" w:cs="宋体"/>
                <w:sz w:val="21"/>
                <w:szCs w:val="21"/>
              </w:rPr>
            </w:pPr>
            <w:r>
              <w:rPr>
                <w:rFonts w:hint="eastAsia"/>
                <w:sz w:val="21"/>
                <w:szCs w:val="21"/>
              </w:rPr>
              <w:t>0.9556</w:t>
            </w:r>
          </w:p>
        </w:tc>
        <w:tc>
          <w:tcPr>
            <w:tcW w:w="1755" w:type="dxa"/>
            <w:noWrap w:val="0"/>
            <w:vAlign w:val="center"/>
          </w:tcPr>
          <w:p>
            <w:pPr>
              <w:jc w:val="center"/>
              <w:rPr>
                <w:rFonts w:ascii="宋体" w:hAnsi="宋体" w:cs="宋体"/>
                <w:sz w:val="21"/>
                <w:szCs w:val="21"/>
              </w:rPr>
            </w:pPr>
            <w:r>
              <w:rPr>
                <w:rFonts w:hint="eastAsia"/>
                <w:sz w:val="21"/>
                <w:szCs w:val="21"/>
              </w:rPr>
              <w:t>0.0183</w:t>
            </w:r>
          </w:p>
        </w:tc>
        <w:tc>
          <w:tcPr>
            <w:tcW w:w="1753" w:type="dxa"/>
            <w:tcBorders>
              <w:left w:val="single" w:color="auto" w:sz="4" w:space="0"/>
            </w:tcBorders>
            <w:noWrap w:val="0"/>
            <w:vAlign w:val="center"/>
          </w:tcPr>
          <w:p>
            <w:pPr>
              <w:jc w:val="center"/>
              <w:rPr>
                <w:rFonts w:ascii="宋体" w:hAnsi="宋体" w:cs="宋体"/>
                <w:b/>
                <w:sz w:val="21"/>
                <w:szCs w:val="21"/>
              </w:rPr>
            </w:pPr>
            <w:r>
              <w:rPr>
                <w:rFonts w:hint="eastAsia"/>
                <w:b/>
                <w:sz w:val="21"/>
                <w:szCs w:val="21"/>
              </w:rPr>
              <w:t>+0.9373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98" w:hRule="atLeast"/>
          <w:jc w:val="center"/>
        </w:trPr>
        <w:tc>
          <w:tcPr>
            <w:tcW w:w="3496" w:type="dxa"/>
            <w:noWrap w:val="0"/>
            <w:vAlign w:val="center"/>
          </w:tcPr>
          <w:p>
            <w:pPr>
              <w:jc w:val="center"/>
              <w:rPr>
                <w:sz w:val="21"/>
                <w:szCs w:val="21"/>
              </w:rPr>
            </w:pPr>
            <w:r>
              <w:rPr>
                <w:rFonts w:hAnsi="宋体"/>
                <w:sz w:val="21"/>
                <w:szCs w:val="21"/>
              </w:rPr>
              <w:t>凤凰镇</w:t>
            </w:r>
          </w:p>
        </w:tc>
        <w:tc>
          <w:tcPr>
            <w:tcW w:w="2234" w:type="dxa"/>
            <w:noWrap w:val="0"/>
            <w:vAlign w:val="center"/>
          </w:tcPr>
          <w:p>
            <w:pPr>
              <w:jc w:val="center"/>
              <w:rPr>
                <w:rFonts w:ascii="宋体" w:hAnsi="宋体" w:cs="宋体"/>
                <w:sz w:val="21"/>
                <w:szCs w:val="21"/>
              </w:rPr>
            </w:pPr>
            <w:r>
              <w:rPr>
                <w:rFonts w:hint="eastAsia"/>
                <w:sz w:val="21"/>
                <w:szCs w:val="21"/>
              </w:rPr>
              <w:t>0.2764</w:t>
            </w:r>
          </w:p>
        </w:tc>
        <w:tc>
          <w:tcPr>
            <w:tcW w:w="1755" w:type="dxa"/>
            <w:noWrap w:val="0"/>
            <w:vAlign w:val="center"/>
          </w:tcPr>
          <w:p>
            <w:pPr>
              <w:jc w:val="center"/>
              <w:rPr>
                <w:rFonts w:ascii="宋体" w:hAnsi="宋体" w:cs="宋体"/>
                <w:sz w:val="21"/>
                <w:szCs w:val="21"/>
              </w:rPr>
            </w:pPr>
            <w:r>
              <w:rPr>
                <w:rFonts w:hint="eastAsia"/>
                <w:sz w:val="21"/>
                <w:szCs w:val="21"/>
              </w:rPr>
              <w:t>0.0046</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+0.2718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302" w:hRule="atLeast"/>
          <w:jc w:val="center"/>
        </w:trPr>
        <w:tc>
          <w:tcPr>
            <w:tcW w:w="3496" w:type="dxa"/>
            <w:noWrap w:val="0"/>
            <w:vAlign w:val="center"/>
          </w:tcPr>
          <w:p>
            <w:pPr>
              <w:jc w:val="center"/>
              <w:rPr>
                <w:sz w:val="21"/>
                <w:szCs w:val="21"/>
              </w:rPr>
            </w:pPr>
            <w:r>
              <w:rPr>
                <w:rFonts w:hAnsi="宋体"/>
                <w:sz w:val="21"/>
                <w:szCs w:val="21"/>
              </w:rPr>
              <w:t>管家桥村</w:t>
            </w:r>
          </w:p>
        </w:tc>
        <w:tc>
          <w:tcPr>
            <w:tcW w:w="2234" w:type="dxa"/>
            <w:noWrap w:val="0"/>
            <w:vAlign w:val="center"/>
          </w:tcPr>
          <w:p>
            <w:pPr>
              <w:jc w:val="center"/>
              <w:rPr>
                <w:rFonts w:ascii="宋体" w:hAnsi="宋体" w:cs="宋体"/>
                <w:sz w:val="21"/>
                <w:szCs w:val="21"/>
              </w:rPr>
            </w:pPr>
            <w:r>
              <w:rPr>
                <w:rFonts w:hint="eastAsia"/>
                <w:sz w:val="21"/>
                <w:szCs w:val="21"/>
              </w:rPr>
              <w:t>0.3601</w:t>
            </w:r>
          </w:p>
        </w:tc>
        <w:tc>
          <w:tcPr>
            <w:tcW w:w="1755" w:type="dxa"/>
            <w:noWrap w:val="0"/>
            <w:vAlign w:val="center"/>
          </w:tcPr>
          <w:p>
            <w:pPr>
              <w:jc w:val="center"/>
              <w:rPr>
                <w:rFonts w:ascii="宋体" w:hAnsi="宋体" w:cs="宋体"/>
                <w:sz w:val="21"/>
                <w:szCs w:val="21"/>
              </w:rPr>
            </w:pPr>
            <w:r>
              <w:rPr>
                <w:rFonts w:hint="eastAsia"/>
                <w:sz w:val="21"/>
                <w:szCs w:val="21"/>
              </w:rPr>
              <w:t>0.0079</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+0.3522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292" w:hRule="atLeast"/>
          <w:jc w:val="center"/>
        </w:trPr>
        <w:tc>
          <w:tcPr>
            <w:tcW w:w="3496" w:type="dxa"/>
            <w:noWrap w:val="0"/>
            <w:vAlign w:val="center"/>
          </w:tcPr>
          <w:p>
            <w:pPr>
              <w:jc w:val="center"/>
              <w:rPr>
                <w:sz w:val="21"/>
                <w:szCs w:val="21"/>
              </w:rPr>
            </w:pPr>
            <w:r>
              <w:rPr>
                <w:rFonts w:hAnsi="宋体"/>
                <w:sz w:val="21"/>
                <w:szCs w:val="21"/>
              </w:rPr>
              <w:t>陈家桥镇</w:t>
            </w:r>
          </w:p>
        </w:tc>
        <w:tc>
          <w:tcPr>
            <w:tcW w:w="2234" w:type="dxa"/>
            <w:noWrap w:val="0"/>
            <w:vAlign w:val="center"/>
          </w:tcPr>
          <w:p>
            <w:pPr>
              <w:jc w:val="center"/>
              <w:rPr>
                <w:rFonts w:ascii="宋体" w:hAnsi="宋体" w:cs="宋体"/>
                <w:sz w:val="21"/>
                <w:szCs w:val="21"/>
              </w:rPr>
            </w:pPr>
            <w:r>
              <w:rPr>
                <w:rFonts w:hint="eastAsia"/>
                <w:sz w:val="21"/>
                <w:szCs w:val="21"/>
              </w:rPr>
              <w:t>0.1607</w:t>
            </w:r>
          </w:p>
        </w:tc>
        <w:tc>
          <w:tcPr>
            <w:tcW w:w="1755" w:type="dxa"/>
            <w:noWrap w:val="0"/>
            <w:vAlign w:val="center"/>
          </w:tcPr>
          <w:p>
            <w:pPr>
              <w:jc w:val="center"/>
              <w:rPr>
                <w:rFonts w:ascii="宋体" w:hAnsi="宋体" w:cs="宋体"/>
                <w:sz w:val="21"/>
                <w:szCs w:val="21"/>
              </w:rPr>
            </w:pPr>
            <w:r>
              <w:rPr>
                <w:rFonts w:hint="eastAsia"/>
                <w:sz w:val="21"/>
                <w:szCs w:val="21"/>
              </w:rPr>
              <w:t>0.0039</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+0.1568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8" w:type="dxa"/>
          <w:trHeight w:val="310" w:hRule="atLeast"/>
          <w:jc w:val="center"/>
        </w:trPr>
        <w:tc>
          <w:tcPr>
            <w:tcW w:w="3496" w:type="dxa"/>
            <w:noWrap w:val="0"/>
            <w:vAlign w:val="center"/>
          </w:tcPr>
          <w:p>
            <w:pPr>
              <w:jc w:val="center"/>
              <w:rPr>
                <w:sz w:val="21"/>
                <w:szCs w:val="21"/>
              </w:rPr>
            </w:pPr>
            <w:r>
              <w:rPr>
                <w:rFonts w:hAnsi="宋体"/>
                <w:sz w:val="21"/>
                <w:szCs w:val="21"/>
              </w:rPr>
              <w:t>大学城</w:t>
            </w:r>
          </w:p>
        </w:tc>
        <w:tc>
          <w:tcPr>
            <w:tcW w:w="2234" w:type="dxa"/>
            <w:noWrap w:val="0"/>
            <w:vAlign w:val="center"/>
          </w:tcPr>
          <w:p>
            <w:pPr>
              <w:jc w:val="center"/>
              <w:rPr>
                <w:rFonts w:ascii="宋体" w:hAnsi="宋体" w:cs="宋体"/>
                <w:sz w:val="21"/>
                <w:szCs w:val="21"/>
              </w:rPr>
            </w:pPr>
            <w:r>
              <w:rPr>
                <w:rFonts w:hint="eastAsia"/>
                <w:sz w:val="21"/>
                <w:szCs w:val="21"/>
              </w:rPr>
              <w:t>0.1665</w:t>
            </w:r>
          </w:p>
        </w:tc>
        <w:tc>
          <w:tcPr>
            <w:tcW w:w="1755" w:type="dxa"/>
            <w:noWrap w:val="0"/>
            <w:vAlign w:val="center"/>
          </w:tcPr>
          <w:p>
            <w:pPr>
              <w:jc w:val="center"/>
              <w:rPr>
                <w:rFonts w:ascii="宋体" w:hAnsi="宋体" w:cs="宋体"/>
                <w:sz w:val="21"/>
                <w:szCs w:val="21"/>
              </w:rPr>
            </w:pPr>
            <w:r>
              <w:rPr>
                <w:rFonts w:hint="eastAsia"/>
                <w:sz w:val="21"/>
                <w:szCs w:val="21"/>
              </w:rPr>
              <w:t>0.0038</w:t>
            </w:r>
          </w:p>
        </w:tc>
        <w:tc>
          <w:tcPr>
            <w:tcW w:w="1753"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+0.1627</w:t>
            </w:r>
          </w:p>
        </w:tc>
      </w:tr>
    </w:tbl>
    <w:p>
      <w:pPr>
        <w:autoSpaceDE w:val="0"/>
        <w:autoSpaceDN w:val="0"/>
        <w:adjustRightInd w:val="0"/>
        <w:spacing w:line="480" w:lineRule="exact"/>
        <w:ind w:firstLine="420" w:firstLineChars="200"/>
        <w:jc w:val="left"/>
        <w:rPr>
          <w:rFonts w:hint="eastAsia"/>
        </w:rPr>
      </w:pPr>
    </w:p>
    <w:p>
      <w:pPr>
        <w:autoSpaceDE w:val="0"/>
        <w:autoSpaceDN w:val="0"/>
        <w:adjustRightInd w:val="0"/>
        <w:spacing w:line="480" w:lineRule="exact"/>
        <w:ind w:firstLine="420" w:firstLineChars="200"/>
        <w:jc w:val="left"/>
        <w:rPr>
          <w:rFonts w:hint="eastAsia"/>
        </w:rPr>
      </w:pPr>
      <w:r>
        <w:t>从表</w:t>
      </w:r>
      <w:r>
        <w:rPr>
          <w:rFonts w:hint="eastAsia"/>
        </w:rPr>
        <w:t>8</w:t>
      </w:r>
      <w:r>
        <w:t>-1</w:t>
      </w:r>
      <w:r>
        <w:rPr>
          <w:rFonts w:hint="eastAsia"/>
        </w:rPr>
        <w:t>9</w:t>
      </w:r>
      <w:r>
        <w:t>可以看出，</w:t>
      </w:r>
      <w:r>
        <w:rPr>
          <w:rFonts w:hint="eastAsia"/>
        </w:rPr>
        <w:t>当四个工段废气处理设备同时出现故障时，排放出的</w:t>
      </w:r>
      <w:r>
        <w:t>PM</w:t>
      </w:r>
      <w:r>
        <w:rPr>
          <w:vertAlign w:val="subscript"/>
        </w:rPr>
        <w:t>10</w:t>
      </w:r>
      <w:r>
        <w:t>对各评价点的小时最大影响值较正常排放时有明显增加，尤其是</w:t>
      </w:r>
      <w:r>
        <w:rPr>
          <w:rFonts w:hint="eastAsia"/>
          <w:kern w:val="0"/>
        </w:rPr>
        <w:t>在福里树村、殷家老院子、青鹏煤业公司和青木关镇</w:t>
      </w:r>
      <w:r>
        <w:rPr>
          <w:kern w:val="0"/>
        </w:rPr>
        <w:t>，</w:t>
      </w:r>
      <w:r>
        <w:rPr>
          <w:rFonts w:hint="eastAsia"/>
          <w:kern w:val="0"/>
        </w:rPr>
        <w:t>增加量最大出现在青鹏煤业公司家属院附近，</w:t>
      </w:r>
      <w:r>
        <w:rPr>
          <w:kern w:val="0"/>
        </w:rPr>
        <w:t>这种</w:t>
      </w:r>
      <w:r>
        <w:t>情况应引起企业的高度重视，尽量减少</w:t>
      </w:r>
      <w:r>
        <w:rPr>
          <w:rFonts w:hint="eastAsia"/>
        </w:rPr>
        <w:t>布袋除尘系统故障</w:t>
      </w:r>
      <w:r>
        <w:t>的发生。</w:t>
      </w:r>
      <w:r>
        <w:rPr>
          <w:rFonts w:hint="eastAsia"/>
        </w:rPr>
        <w:t>由于事故排放产生的污染属短时污染，对环境的影响相对较小。</w:t>
      </w:r>
    </w:p>
    <w:p>
      <w:pPr>
        <w:pStyle w:val="28"/>
        <w:spacing w:line="480" w:lineRule="exact"/>
        <w:ind w:firstLine="480"/>
        <w:rPr>
          <w:rFonts w:hint="eastAsia"/>
        </w:rPr>
      </w:pPr>
    </w:p>
    <w:p>
      <w:pPr>
        <w:spacing w:line="480" w:lineRule="exact"/>
        <w:ind w:firstLine="316" w:firstLineChars="150"/>
        <w:jc w:val="center"/>
        <w:rPr>
          <w:b/>
        </w:rPr>
        <w:sectPr>
          <w:pgSz w:w="11906" w:h="16838"/>
          <w:pgMar w:top="1440" w:right="1418" w:bottom="1440" w:left="1418" w:header="851" w:footer="992" w:gutter="0"/>
          <w:paperSrc w:first="20070" w:other="20070"/>
          <w:cols w:space="425" w:num="1"/>
          <w:docGrid w:linePitch="312" w:charSpace="0"/>
        </w:sect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16</w:t>
      </w:r>
      <w:r>
        <w:rPr>
          <w:b/>
        </w:rPr>
        <w:t xml:space="preserve">  </w:t>
      </w:r>
      <w:r>
        <w:rPr>
          <w:rFonts w:hint="eastAsia"/>
          <w:b/>
        </w:rPr>
        <w:t>技改前后小时最大预测值对敏感点影响对比分析</w:t>
      </w:r>
      <w:r>
        <w:rPr>
          <w:b/>
        </w:rPr>
        <w:t xml:space="preserve">    单位：</w:t>
      </w:r>
      <w:r>
        <w:rPr>
          <w:b/>
          <w:szCs w:val="21"/>
        </w:rPr>
        <w:t>µg/m</w:t>
      </w:r>
      <w:r>
        <w:rPr>
          <w:b/>
          <w:szCs w:val="21"/>
          <w:vertAlign w:val="superscript"/>
        </w:rPr>
        <w:t>3</w:t>
      </w:r>
    </w:p>
    <w:tbl>
      <w:tblPr>
        <w:tblStyle w:val="20"/>
        <w:tblW w:w="1410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77"/>
        <w:gridCol w:w="1107"/>
        <w:gridCol w:w="1103"/>
        <w:gridCol w:w="1267"/>
        <w:gridCol w:w="886"/>
        <w:gridCol w:w="1030"/>
        <w:gridCol w:w="1052"/>
        <w:gridCol w:w="1066"/>
        <w:gridCol w:w="886"/>
        <w:gridCol w:w="1052"/>
        <w:gridCol w:w="1052"/>
        <w:gridCol w:w="1052"/>
        <w:gridCol w:w="8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blHeader/>
          <w:jc w:val="center"/>
        </w:trPr>
        <w:tc>
          <w:tcPr>
            <w:tcW w:w="1677" w:type="dxa"/>
            <w:vMerge w:val="restart"/>
            <w:tcBorders>
              <w:tl2br w:val="single" w:color="auto" w:sz="4" w:space="0"/>
            </w:tcBorders>
            <w:noWrap w:val="0"/>
            <w:vAlign w:val="center"/>
          </w:tcPr>
          <w:p>
            <w:pPr>
              <w:pStyle w:val="33"/>
              <w:snapToGrid w:val="0"/>
              <w:spacing w:line="480" w:lineRule="exact"/>
              <w:ind w:left="0" w:leftChars="0" w:right="-122" w:firstLine="525" w:firstLineChars="250"/>
              <w:jc w:val="both"/>
              <w:rPr>
                <w:color w:val="auto"/>
              </w:rPr>
            </w:pPr>
            <w:r>
              <w:rPr>
                <w:color w:val="auto"/>
              </w:rPr>
              <w:t>预测因子</w:t>
            </w:r>
          </w:p>
          <w:p>
            <w:pPr>
              <w:pStyle w:val="33"/>
              <w:snapToGrid w:val="0"/>
              <w:spacing w:line="480" w:lineRule="exact"/>
              <w:ind w:right="-122"/>
              <w:jc w:val="both"/>
              <w:rPr>
                <w:color w:val="auto"/>
              </w:rPr>
            </w:pPr>
            <w:r>
              <w:rPr>
                <w:color w:val="auto"/>
              </w:rPr>
              <w:t>关心点</w:t>
            </w:r>
          </w:p>
        </w:tc>
        <w:tc>
          <w:tcPr>
            <w:tcW w:w="4363" w:type="dxa"/>
            <w:gridSpan w:val="4"/>
            <w:tcBorders>
              <w:right w:val="single" w:color="auto" w:sz="4" w:space="0"/>
            </w:tcBorders>
            <w:noWrap w:val="0"/>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4034" w:type="dxa"/>
            <w:gridSpan w:val="4"/>
            <w:tcBorders>
              <w:left w:val="single" w:color="auto" w:sz="4" w:space="0"/>
              <w:right w:val="single" w:color="auto" w:sz="4" w:space="0"/>
            </w:tcBorders>
            <w:noWrap w:val="0"/>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4033" w:type="dxa"/>
            <w:gridSpan w:val="4"/>
            <w:tcBorders>
              <w:left w:val="single" w:color="auto" w:sz="4" w:space="0"/>
            </w:tcBorders>
            <w:noWrap w:val="0"/>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677" w:type="dxa"/>
            <w:vMerge w:val="continue"/>
            <w:noWrap w:val="0"/>
            <w:vAlign w:val="center"/>
          </w:tcPr>
          <w:p>
            <w:pPr>
              <w:pStyle w:val="33"/>
              <w:snapToGrid w:val="0"/>
              <w:spacing w:line="480" w:lineRule="exact"/>
              <w:ind w:right="-122"/>
              <w:rPr>
                <w:color w:val="auto"/>
              </w:rPr>
            </w:pPr>
          </w:p>
        </w:tc>
        <w:tc>
          <w:tcPr>
            <w:tcW w:w="1107"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1103" w:type="dxa"/>
            <w:tcBorders>
              <w:lef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1267"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886"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left="-17" w:leftChars="-93" w:right="-122" w:hanging="178" w:hangingChars="85"/>
              <w:rPr>
                <w:rFonts w:hint="eastAsia"/>
                <w:color w:val="auto"/>
              </w:rPr>
            </w:pPr>
            <w:r>
              <w:rPr>
                <w:rFonts w:hint="eastAsia"/>
                <w:color w:val="auto"/>
              </w:rPr>
              <w:t>（%）</w:t>
            </w:r>
          </w:p>
        </w:tc>
        <w:tc>
          <w:tcPr>
            <w:tcW w:w="1030"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105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1066"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886"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c>
          <w:tcPr>
            <w:tcW w:w="105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105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105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877"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1677" w:type="dxa"/>
            <w:shd w:val="clear" w:color="auto" w:fill="auto"/>
            <w:noWrap w:val="0"/>
            <w:vAlign w:val="center"/>
          </w:tcPr>
          <w:p>
            <w:pPr>
              <w:spacing w:line="480" w:lineRule="exact"/>
              <w:jc w:val="center"/>
              <w:rPr>
                <w:sz w:val="21"/>
                <w:szCs w:val="21"/>
              </w:rPr>
            </w:pPr>
            <w:r>
              <w:rPr>
                <w:sz w:val="21"/>
                <w:szCs w:val="21"/>
              </w:rPr>
              <w:t>大路镇</w:t>
            </w:r>
          </w:p>
        </w:tc>
        <w:tc>
          <w:tcPr>
            <w:tcW w:w="1107" w:type="dxa"/>
            <w:tcBorders>
              <w:right w:val="single" w:color="auto" w:sz="4" w:space="0"/>
            </w:tcBorders>
            <w:shd w:val="clear" w:color="auto" w:fill="F3F3F3"/>
            <w:noWrap w:val="0"/>
            <w:vAlign w:val="center"/>
          </w:tcPr>
          <w:p>
            <w:pPr>
              <w:jc w:val="center"/>
              <w:rPr>
                <w:sz w:val="21"/>
                <w:szCs w:val="21"/>
              </w:rPr>
            </w:pPr>
            <w:r>
              <w:rPr>
                <w:sz w:val="21"/>
                <w:szCs w:val="21"/>
              </w:rPr>
              <w:t>2.75</w:t>
            </w:r>
          </w:p>
        </w:tc>
        <w:tc>
          <w:tcPr>
            <w:tcW w:w="1103" w:type="dxa"/>
            <w:tcBorders>
              <w:left w:val="single" w:color="auto" w:sz="4" w:space="0"/>
            </w:tcBorders>
            <w:shd w:val="clear" w:color="auto" w:fill="F3F3F3"/>
            <w:noWrap w:val="0"/>
            <w:vAlign w:val="center"/>
          </w:tcPr>
          <w:p>
            <w:pPr>
              <w:jc w:val="center"/>
              <w:rPr>
                <w:sz w:val="21"/>
                <w:szCs w:val="21"/>
              </w:rPr>
            </w:pPr>
            <w:r>
              <w:rPr>
                <w:sz w:val="21"/>
                <w:szCs w:val="21"/>
              </w:rPr>
              <w:t>7.03</w:t>
            </w:r>
          </w:p>
        </w:tc>
        <w:tc>
          <w:tcPr>
            <w:tcW w:w="1267" w:type="dxa"/>
            <w:tcBorders>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-4.28</w:t>
            </w:r>
          </w:p>
        </w:tc>
        <w:tc>
          <w:tcPr>
            <w:tcW w:w="886" w:type="dxa"/>
            <w:tcBorders>
              <w:left w:val="single" w:color="auto" w:sz="4" w:space="0"/>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-60.88</w:t>
            </w:r>
          </w:p>
        </w:tc>
        <w:tc>
          <w:tcPr>
            <w:tcW w:w="1030" w:type="dxa"/>
            <w:tcBorders>
              <w:left w:val="single" w:color="auto" w:sz="4" w:space="0"/>
              <w:right w:val="single" w:color="auto" w:sz="4" w:space="0"/>
            </w:tcBorders>
            <w:shd w:val="clear" w:color="auto" w:fill="F3F3F3"/>
            <w:noWrap w:val="0"/>
            <w:vAlign w:val="center"/>
          </w:tcPr>
          <w:p>
            <w:pPr>
              <w:jc w:val="center"/>
              <w:rPr>
                <w:sz w:val="21"/>
                <w:szCs w:val="21"/>
              </w:rPr>
            </w:pPr>
            <w:r>
              <w:rPr>
                <w:sz w:val="21"/>
                <w:szCs w:val="21"/>
              </w:rPr>
              <w:t>3.2</w:t>
            </w:r>
          </w:p>
        </w:tc>
        <w:tc>
          <w:tcPr>
            <w:tcW w:w="1052" w:type="dxa"/>
            <w:tcBorders>
              <w:left w:val="single" w:color="auto" w:sz="4" w:space="0"/>
            </w:tcBorders>
            <w:shd w:val="clear" w:color="auto" w:fill="F3F3F3"/>
            <w:noWrap w:val="0"/>
            <w:vAlign w:val="center"/>
          </w:tcPr>
          <w:p>
            <w:pPr>
              <w:jc w:val="center"/>
              <w:rPr>
                <w:sz w:val="21"/>
                <w:szCs w:val="21"/>
              </w:rPr>
            </w:pPr>
            <w:r>
              <w:rPr>
                <w:sz w:val="21"/>
                <w:szCs w:val="21"/>
              </w:rPr>
              <w:t>16.29</w:t>
            </w:r>
          </w:p>
        </w:tc>
        <w:tc>
          <w:tcPr>
            <w:tcW w:w="1066" w:type="dxa"/>
            <w:tcBorders>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-13.09</w:t>
            </w:r>
          </w:p>
        </w:tc>
        <w:tc>
          <w:tcPr>
            <w:tcW w:w="886" w:type="dxa"/>
            <w:tcBorders>
              <w:lef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-80.36</w:t>
            </w:r>
          </w:p>
        </w:tc>
        <w:tc>
          <w:tcPr>
            <w:tcW w:w="1052" w:type="dxa"/>
            <w:tcBorders>
              <w:right w:val="single" w:color="auto" w:sz="4" w:space="0"/>
            </w:tcBorders>
            <w:shd w:val="clear" w:color="auto" w:fill="F3F3F3"/>
            <w:noWrap w:val="0"/>
            <w:vAlign w:val="center"/>
          </w:tcPr>
          <w:p>
            <w:pPr>
              <w:jc w:val="center"/>
              <w:rPr>
                <w:sz w:val="21"/>
                <w:szCs w:val="21"/>
              </w:rPr>
            </w:pPr>
            <w:r>
              <w:rPr>
                <w:sz w:val="21"/>
                <w:szCs w:val="21"/>
              </w:rPr>
              <w:t>21.65</w:t>
            </w:r>
          </w:p>
        </w:tc>
        <w:tc>
          <w:tcPr>
            <w:tcW w:w="1052" w:type="dxa"/>
            <w:tcBorders>
              <w:left w:val="single" w:color="auto" w:sz="4" w:space="0"/>
              <w:right w:val="single" w:color="auto" w:sz="4" w:space="0"/>
            </w:tcBorders>
            <w:shd w:val="clear" w:color="auto" w:fill="F3F3F3"/>
            <w:noWrap w:val="0"/>
            <w:vAlign w:val="center"/>
          </w:tcPr>
          <w:p>
            <w:pPr>
              <w:jc w:val="center"/>
              <w:rPr>
                <w:sz w:val="21"/>
                <w:szCs w:val="21"/>
              </w:rPr>
            </w:pPr>
            <w:r>
              <w:rPr>
                <w:sz w:val="21"/>
                <w:szCs w:val="21"/>
              </w:rPr>
              <w:t>13.78</w:t>
            </w:r>
          </w:p>
        </w:tc>
        <w:tc>
          <w:tcPr>
            <w:tcW w:w="1052" w:type="dxa"/>
            <w:tcBorders>
              <w:left w:val="single" w:color="auto" w:sz="4" w:space="0"/>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7.87</w:t>
            </w:r>
          </w:p>
        </w:tc>
        <w:tc>
          <w:tcPr>
            <w:tcW w:w="877" w:type="dxa"/>
            <w:tcBorders>
              <w:lef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57.11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677" w:type="dxa"/>
            <w:noWrap w:val="0"/>
            <w:vAlign w:val="center"/>
          </w:tcPr>
          <w:p>
            <w:pPr>
              <w:spacing w:line="480" w:lineRule="exact"/>
              <w:jc w:val="center"/>
              <w:rPr>
                <w:sz w:val="21"/>
                <w:szCs w:val="21"/>
              </w:rPr>
            </w:pPr>
            <w:r>
              <w:rPr>
                <w:rFonts w:hAnsi="宋体"/>
                <w:sz w:val="21"/>
                <w:szCs w:val="21"/>
              </w:rPr>
              <w:t>六塘镇</w:t>
            </w:r>
          </w:p>
        </w:tc>
        <w:tc>
          <w:tcPr>
            <w:tcW w:w="1107" w:type="dxa"/>
            <w:tcBorders>
              <w:right w:val="single" w:color="auto" w:sz="4" w:space="0"/>
            </w:tcBorders>
            <w:noWrap w:val="0"/>
            <w:vAlign w:val="center"/>
          </w:tcPr>
          <w:p>
            <w:pPr>
              <w:jc w:val="center"/>
              <w:rPr>
                <w:sz w:val="21"/>
                <w:szCs w:val="21"/>
              </w:rPr>
            </w:pPr>
            <w:r>
              <w:rPr>
                <w:sz w:val="21"/>
                <w:szCs w:val="21"/>
              </w:rPr>
              <w:t>3.81</w:t>
            </w:r>
          </w:p>
        </w:tc>
        <w:tc>
          <w:tcPr>
            <w:tcW w:w="1103" w:type="dxa"/>
            <w:tcBorders>
              <w:left w:val="single" w:color="auto" w:sz="4" w:space="0"/>
            </w:tcBorders>
            <w:noWrap w:val="0"/>
            <w:vAlign w:val="center"/>
          </w:tcPr>
          <w:p>
            <w:pPr>
              <w:jc w:val="center"/>
              <w:rPr>
                <w:sz w:val="21"/>
                <w:szCs w:val="21"/>
              </w:rPr>
            </w:pPr>
            <w:r>
              <w:rPr>
                <w:sz w:val="21"/>
                <w:szCs w:val="21"/>
              </w:rPr>
              <w:t>12.29</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-8.48</w:t>
            </w:r>
          </w:p>
        </w:tc>
        <w:tc>
          <w:tcPr>
            <w:tcW w:w="886"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-69.00</w:t>
            </w:r>
          </w:p>
        </w:tc>
        <w:tc>
          <w:tcPr>
            <w:tcW w:w="1030" w:type="dxa"/>
            <w:tcBorders>
              <w:left w:val="single" w:color="auto" w:sz="4" w:space="0"/>
              <w:right w:val="single" w:color="auto" w:sz="4" w:space="0"/>
            </w:tcBorders>
            <w:noWrap w:val="0"/>
            <w:vAlign w:val="center"/>
          </w:tcPr>
          <w:p>
            <w:pPr>
              <w:jc w:val="center"/>
              <w:rPr>
                <w:sz w:val="21"/>
                <w:szCs w:val="21"/>
              </w:rPr>
            </w:pPr>
            <w:r>
              <w:rPr>
                <w:sz w:val="21"/>
                <w:szCs w:val="21"/>
              </w:rPr>
              <w:t>3.66</w:t>
            </w:r>
          </w:p>
        </w:tc>
        <w:tc>
          <w:tcPr>
            <w:tcW w:w="1052" w:type="dxa"/>
            <w:tcBorders>
              <w:left w:val="single" w:color="auto" w:sz="4" w:space="0"/>
            </w:tcBorders>
            <w:noWrap w:val="0"/>
            <w:vAlign w:val="center"/>
          </w:tcPr>
          <w:p>
            <w:pPr>
              <w:jc w:val="center"/>
              <w:rPr>
                <w:sz w:val="21"/>
                <w:szCs w:val="21"/>
              </w:rPr>
            </w:pPr>
            <w:r>
              <w:rPr>
                <w:sz w:val="21"/>
                <w:szCs w:val="21"/>
              </w:rPr>
              <w:t>24.06</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-20.4</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-84.79</w:t>
            </w:r>
          </w:p>
        </w:tc>
        <w:tc>
          <w:tcPr>
            <w:tcW w:w="1052" w:type="dxa"/>
            <w:tcBorders>
              <w:right w:val="single" w:color="auto" w:sz="4" w:space="0"/>
            </w:tcBorders>
            <w:noWrap w:val="0"/>
            <w:vAlign w:val="center"/>
          </w:tcPr>
          <w:p>
            <w:pPr>
              <w:jc w:val="center"/>
              <w:rPr>
                <w:sz w:val="21"/>
                <w:szCs w:val="21"/>
              </w:rPr>
            </w:pPr>
            <w:r>
              <w:rPr>
                <w:sz w:val="21"/>
                <w:szCs w:val="21"/>
              </w:rPr>
              <w:t>24.76</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20.34</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4.42</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21.73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1677" w:type="dxa"/>
            <w:noWrap w:val="0"/>
            <w:vAlign w:val="center"/>
          </w:tcPr>
          <w:p>
            <w:pPr>
              <w:spacing w:line="480" w:lineRule="exact"/>
              <w:jc w:val="center"/>
              <w:rPr>
                <w:sz w:val="21"/>
                <w:szCs w:val="21"/>
              </w:rPr>
            </w:pPr>
            <w:r>
              <w:rPr>
                <w:rFonts w:hAnsi="宋体"/>
                <w:sz w:val="21"/>
                <w:szCs w:val="21"/>
              </w:rPr>
              <w:t>接龙镇</w:t>
            </w:r>
          </w:p>
        </w:tc>
        <w:tc>
          <w:tcPr>
            <w:tcW w:w="1107" w:type="dxa"/>
            <w:tcBorders>
              <w:right w:val="single" w:color="auto" w:sz="4" w:space="0"/>
            </w:tcBorders>
            <w:noWrap w:val="0"/>
            <w:vAlign w:val="center"/>
          </w:tcPr>
          <w:p>
            <w:pPr>
              <w:jc w:val="center"/>
              <w:rPr>
                <w:sz w:val="21"/>
                <w:szCs w:val="21"/>
              </w:rPr>
            </w:pPr>
            <w:r>
              <w:rPr>
                <w:sz w:val="21"/>
                <w:szCs w:val="21"/>
              </w:rPr>
              <w:t>6.85</w:t>
            </w:r>
          </w:p>
        </w:tc>
        <w:tc>
          <w:tcPr>
            <w:tcW w:w="1103" w:type="dxa"/>
            <w:tcBorders>
              <w:left w:val="single" w:color="auto" w:sz="4" w:space="0"/>
            </w:tcBorders>
            <w:noWrap w:val="0"/>
            <w:vAlign w:val="center"/>
          </w:tcPr>
          <w:p>
            <w:pPr>
              <w:jc w:val="center"/>
              <w:rPr>
                <w:sz w:val="21"/>
                <w:szCs w:val="21"/>
              </w:rPr>
            </w:pPr>
            <w:r>
              <w:rPr>
                <w:sz w:val="21"/>
                <w:szCs w:val="21"/>
              </w:rPr>
              <w:t>15.15</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-8.3</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-54.79</w:t>
            </w:r>
          </w:p>
        </w:tc>
        <w:tc>
          <w:tcPr>
            <w:tcW w:w="1030" w:type="dxa"/>
            <w:tcBorders>
              <w:right w:val="single" w:color="auto" w:sz="4" w:space="0"/>
            </w:tcBorders>
            <w:noWrap w:val="0"/>
            <w:vAlign w:val="center"/>
          </w:tcPr>
          <w:p>
            <w:pPr>
              <w:jc w:val="center"/>
              <w:rPr>
                <w:sz w:val="21"/>
                <w:szCs w:val="21"/>
              </w:rPr>
            </w:pPr>
            <w:r>
              <w:rPr>
                <w:sz w:val="21"/>
                <w:szCs w:val="21"/>
              </w:rPr>
              <w:t>15.31</w:t>
            </w:r>
          </w:p>
        </w:tc>
        <w:tc>
          <w:tcPr>
            <w:tcW w:w="1052" w:type="dxa"/>
            <w:tcBorders>
              <w:left w:val="single" w:color="auto" w:sz="4" w:space="0"/>
            </w:tcBorders>
            <w:noWrap w:val="0"/>
            <w:vAlign w:val="center"/>
          </w:tcPr>
          <w:p>
            <w:pPr>
              <w:jc w:val="center"/>
              <w:rPr>
                <w:sz w:val="21"/>
                <w:szCs w:val="21"/>
              </w:rPr>
            </w:pPr>
            <w:r>
              <w:rPr>
                <w:sz w:val="21"/>
                <w:szCs w:val="21"/>
              </w:rPr>
              <w:t>30.05</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-14.74</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-49.05</w:t>
            </w:r>
          </w:p>
        </w:tc>
        <w:tc>
          <w:tcPr>
            <w:tcW w:w="1052" w:type="dxa"/>
            <w:tcBorders>
              <w:right w:val="single" w:color="auto" w:sz="4" w:space="0"/>
            </w:tcBorders>
            <w:noWrap w:val="0"/>
            <w:vAlign w:val="center"/>
          </w:tcPr>
          <w:p>
            <w:pPr>
              <w:jc w:val="center"/>
              <w:rPr>
                <w:sz w:val="21"/>
                <w:szCs w:val="21"/>
              </w:rPr>
            </w:pPr>
            <w:r>
              <w:rPr>
                <w:sz w:val="21"/>
                <w:szCs w:val="21"/>
              </w:rPr>
              <w:t>103.53</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25.43</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78.1</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307.12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677" w:type="dxa"/>
            <w:shd w:val="clear" w:color="auto" w:fill="auto"/>
            <w:noWrap w:val="0"/>
            <w:vAlign w:val="center"/>
          </w:tcPr>
          <w:p>
            <w:pPr>
              <w:spacing w:line="480" w:lineRule="exact"/>
              <w:jc w:val="center"/>
              <w:rPr>
                <w:sz w:val="21"/>
                <w:szCs w:val="21"/>
              </w:rPr>
            </w:pPr>
            <w:r>
              <w:rPr>
                <w:rFonts w:hAnsi="宋体"/>
                <w:sz w:val="21"/>
                <w:szCs w:val="21"/>
              </w:rPr>
              <w:t>福里树村</w:t>
            </w:r>
          </w:p>
        </w:tc>
        <w:tc>
          <w:tcPr>
            <w:tcW w:w="1107" w:type="dxa"/>
            <w:tcBorders>
              <w:right w:val="single" w:color="auto" w:sz="4" w:space="0"/>
            </w:tcBorders>
            <w:shd w:val="clear" w:color="auto" w:fill="auto"/>
            <w:noWrap w:val="0"/>
            <w:vAlign w:val="center"/>
          </w:tcPr>
          <w:p>
            <w:pPr>
              <w:jc w:val="center"/>
              <w:rPr>
                <w:sz w:val="21"/>
                <w:szCs w:val="21"/>
              </w:rPr>
            </w:pPr>
            <w:r>
              <w:rPr>
                <w:sz w:val="21"/>
                <w:szCs w:val="21"/>
              </w:rPr>
              <w:t>22.74</w:t>
            </w:r>
          </w:p>
        </w:tc>
        <w:tc>
          <w:tcPr>
            <w:tcW w:w="1103" w:type="dxa"/>
            <w:tcBorders>
              <w:left w:val="single" w:color="auto" w:sz="4" w:space="0"/>
            </w:tcBorders>
            <w:shd w:val="clear" w:color="auto" w:fill="auto"/>
            <w:noWrap w:val="0"/>
            <w:vAlign w:val="center"/>
          </w:tcPr>
          <w:p>
            <w:pPr>
              <w:jc w:val="center"/>
              <w:rPr>
                <w:sz w:val="21"/>
                <w:szCs w:val="21"/>
              </w:rPr>
            </w:pPr>
            <w:r>
              <w:rPr>
                <w:sz w:val="21"/>
                <w:szCs w:val="21"/>
              </w:rPr>
              <w:t>75.43</w:t>
            </w:r>
          </w:p>
        </w:tc>
        <w:tc>
          <w:tcPr>
            <w:tcW w:w="1267" w:type="dxa"/>
            <w:tcBorders>
              <w:righ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-52.69</w:t>
            </w:r>
          </w:p>
        </w:tc>
        <w:tc>
          <w:tcPr>
            <w:tcW w:w="886" w:type="dxa"/>
            <w:tcBorders>
              <w:lef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-69.85</w:t>
            </w:r>
          </w:p>
        </w:tc>
        <w:tc>
          <w:tcPr>
            <w:tcW w:w="1030" w:type="dxa"/>
            <w:tcBorders>
              <w:right w:val="single" w:color="auto" w:sz="4" w:space="0"/>
            </w:tcBorders>
            <w:noWrap w:val="0"/>
            <w:vAlign w:val="center"/>
          </w:tcPr>
          <w:p>
            <w:pPr>
              <w:jc w:val="center"/>
              <w:rPr>
                <w:sz w:val="21"/>
                <w:szCs w:val="21"/>
              </w:rPr>
            </w:pPr>
            <w:r>
              <w:rPr>
                <w:sz w:val="21"/>
                <w:szCs w:val="21"/>
              </w:rPr>
              <w:t>45.68</w:t>
            </w:r>
          </w:p>
        </w:tc>
        <w:tc>
          <w:tcPr>
            <w:tcW w:w="1052" w:type="dxa"/>
            <w:tcBorders>
              <w:left w:val="single" w:color="auto" w:sz="4" w:space="0"/>
            </w:tcBorders>
            <w:noWrap w:val="0"/>
            <w:vAlign w:val="center"/>
          </w:tcPr>
          <w:p>
            <w:pPr>
              <w:jc w:val="center"/>
              <w:rPr>
                <w:sz w:val="21"/>
                <w:szCs w:val="21"/>
              </w:rPr>
            </w:pPr>
            <w:r>
              <w:rPr>
                <w:sz w:val="21"/>
                <w:szCs w:val="21"/>
              </w:rPr>
              <w:t>118.58</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-72.9</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-61.48</w:t>
            </w:r>
          </w:p>
        </w:tc>
        <w:tc>
          <w:tcPr>
            <w:tcW w:w="1052" w:type="dxa"/>
            <w:tcBorders>
              <w:right w:val="single" w:color="auto" w:sz="4" w:space="0"/>
            </w:tcBorders>
            <w:noWrap w:val="0"/>
            <w:vAlign w:val="center"/>
          </w:tcPr>
          <w:p>
            <w:pPr>
              <w:jc w:val="center"/>
              <w:rPr>
                <w:sz w:val="21"/>
                <w:szCs w:val="21"/>
              </w:rPr>
            </w:pPr>
            <w:r>
              <w:rPr>
                <w:sz w:val="21"/>
                <w:szCs w:val="21"/>
              </w:rPr>
              <w:t>274.52</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100.73</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173.79</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172.53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677" w:type="dxa"/>
            <w:shd w:val="clear" w:color="auto" w:fill="auto"/>
            <w:noWrap w:val="0"/>
            <w:vAlign w:val="center"/>
          </w:tcPr>
          <w:p>
            <w:pPr>
              <w:spacing w:line="480" w:lineRule="exact"/>
              <w:jc w:val="center"/>
              <w:rPr>
                <w:sz w:val="21"/>
                <w:szCs w:val="21"/>
              </w:rPr>
            </w:pPr>
            <w:r>
              <w:rPr>
                <w:rFonts w:hAnsi="宋体"/>
                <w:sz w:val="21"/>
                <w:szCs w:val="21"/>
              </w:rPr>
              <w:t>殷家老院子</w:t>
            </w:r>
          </w:p>
        </w:tc>
        <w:tc>
          <w:tcPr>
            <w:tcW w:w="1107" w:type="dxa"/>
            <w:tcBorders>
              <w:right w:val="single" w:color="auto" w:sz="4" w:space="0"/>
            </w:tcBorders>
            <w:shd w:val="clear" w:color="auto" w:fill="auto"/>
            <w:noWrap w:val="0"/>
            <w:vAlign w:val="center"/>
          </w:tcPr>
          <w:p>
            <w:pPr>
              <w:jc w:val="center"/>
              <w:rPr>
                <w:sz w:val="21"/>
                <w:szCs w:val="21"/>
              </w:rPr>
            </w:pPr>
            <w:r>
              <w:rPr>
                <w:sz w:val="21"/>
                <w:szCs w:val="21"/>
              </w:rPr>
              <w:t>12.61</w:t>
            </w:r>
          </w:p>
        </w:tc>
        <w:tc>
          <w:tcPr>
            <w:tcW w:w="1103" w:type="dxa"/>
            <w:tcBorders>
              <w:left w:val="single" w:color="auto" w:sz="4" w:space="0"/>
            </w:tcBorders>
            <w:shd w:val="clear" w:color="auto" w:fill="auto"/>
            <w:noWrap w:val="0"/>
            <w:vAlign w:val="center"/>
          </w:tcPr>
          <w:p>
            <w:pPr>
              <w:jc w:val="center"/>
              <w:rPr>
                <w:sz w:val="21"/>
                <w:szCs w:val="21"/>
              </w:rPr>
            </w:pPr>
            <w:r>
              <w:rPr>
                <w:sz w:val="21"/>
                <w:szCs w:val="21"/>
              </w:rPr>
              <w:t>30.99</w:t>
            </w:r>
          </w:p>
        </w:tc>
        <w:tc>
          <w:tcPr>
            <w:tcW w:w="1267" w:type="dxa"/>
            <w:tcBorders>
              <w:righ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-18.38</w:t>
            </w:r>
          </w:p>
        </w:tc>
        <w:tc>
          <w:tcPr>
            <w:tcW w:w="886" w:type="dxa"/>
            <w:tcBorders>
              <w:lef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-59.31</w:t>
            </w:r>
          </w:p>
        </w:tc>
        <w:tc>
          <w:tcPr>
            <w:tcW w:w="1030" w:type="dxa"/>
            <w:tcBorders>
              <w:right w:val="single" w:color="auto" w:sz="4" w:space="0"/>
            </w:tcBorders>
            <w:shd w:val="clear" w:color="auto" w:fill="auto"/>
            <w:noWrap w:val="0"/>
            <w:vAlign w:val="center"/>
          </w:tcPr>
          <w:p>
            <w:pPr>
              <w:jc w:val="center"/>
              <w:rPr>
                <w:sz w:val="21"/>
                <w:szCs w:val="21"/>
              </w:rPr>
            </w:pPr>
            <w:r>
              <w:rPr>
                <w:sz w:val="21"/>
                <w:szCs w:val="21"/>
              </w:rPr>
              <w:t>20.86</w:t>
            </w:r>
          </w:p>
        </w:tc>
        <w:tc>
          <w:tcPr>
            <w:tcW w:w="1052" w:type="dxa"/>
            <w:tcBorders>
              <w:left w:val="single" w:color="auto" w:sz="4" w:space="0"/>
            </w:tcBorders>
            <w:shd w:val="clear" w:color="auto" w:fill="auto"/>
            <w:noWrap w:val="0"/>
            <w:vAlign w:val="center"/>
          </w:tcPr>
          <w:p>
            <w:pPr>
              <w:jc w:val="center"/>
              <w:rPr>
                <w:sz w:val="21"/>
                <w:szCs w:val="21"/>
              </w:rPr>
            </w:pPr>
            <w:r>
              <w:rPr>
                <w:sz w:val="21"/>
                <w:szCs w:val="21"/>
              </w:rPr>
              <w:t>53.11</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-32.25</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-60.72</w:t>
            </w:r>
          </w:p>
        </w:tc>
        <w:tc>
          <w:tcPr>
            <w:tcW w:w="1052" w:type="dxa"/>
            <w:tcBorders>
              <w:right w:val="single" w:color="auto" w:sz="4" w:space="0"/>
            </w:tcBorders>
            <w:noWrap w:val="0"/>
            <w:vAlign w:val="center"/>
          </w:tcPr>
          <w:p>
            <w:pPr>
              <w:jc w:val="center"/>
              <w:rPr>
                <w:sz w:val="21"/>
                <w:szCs w:val="21"/>
              </w:rPr>
            </w:pPr>
            <w:r>
              <w:rPr>
                <w:sz w:val="21"/>
                <w:szCs w:val="21"/>
              </w:rPr>
              <w:t>141.09</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44.91</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96.18</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214.16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1677" w:type="dxa"/>
            <w:noWrap w:val="0"/>
            <w:vAlign w:val="center"/>
          </w:tcPr>
          <w:p>
            <w:pPr>
              <w:spacing w:line="480" w:lineRule="exact"/>
              <w:jc w:val="center"/>
              <w:rPr>
                <w:sz w:val="21"/>
                <w:szCs w:val="21"/>
              </w:rPr>
            </w:pPr>
            <w:r>
              <w:rPr>
                <w:rFonts w:hAnsi="宋体"/>
                <w:sz w:val="21"/>
                <w:szCs w:val="21"/>
              </w:rPr>
              <w:t>璧山县</w:t>
            </w:r>
          </w:p>
        </w:tc>
        <w:tc>
          <w:tcPr>
            <w:tcW w:w="1107" w:type="dxa"/>
            <w:tcBorders>
              <w:right w:val="single" w:color="auto" w:sz="4" w:space="0"/>
            </w:tcBorders>
            <w:noWrap w:val="0"/>
            <w:vAlign w:val="center"/>
          </w:tcPr>
          <w:p>
            <w:pPr>
              <w:jc w:val="center"/>
              <w:rPr>
                <w:sz w:val="21"/>
                <w:szCs w:val="21"/>
              </w:rPr>
            </w:pPr>
            <w:r>
              <w:rPr>
                <w:sz w:val="21"/>
                <w:szCs w:val="21"/>
              </w:rPr>
              <w:t>3.22</w:t>
            </w:r>
          </w:p>
        </w:tc>
        <w:tc>
          <w:tcPr>
            <w:tcW w:w="1103" w:type="dxa"/>
            <w:tcBorders>
              <w:left w:val="single" w:color="auto" w:sz="4" w:space="0"/>
            </w:tcBorders>
            <w:noWrap w:val="0"/>
            <w:vAlign w:val="center"/>
          </w:tcPr>
          <w:p>
            <w:pPr>
              <w:jc w:val="center"/>
              <w:rPr>
                <w:sz w:val="21"/>
                <w:szCs w:val="21"/>
              </w:rPr>
            </w:pPr>
            <w:r>
              <w:rPr>
                <w:sz w:val="21"/>
                <w:szCs w:val="21"/>
              </w:rPr>
              <w:t>7.29</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-4.07</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-55.83</w:t>
            </w:r>
          </w:p>
        </w:tc>
        <w:tc>
          <w:tcPr>
            <w:tcW w:w="1030" w:type="dxa"/>
            <w:tcBorders>
              <w:right w:val="single" w:color="auto" w:sz="4" w:space="0"/>
            </w:tcBorders>
            <w:noWrap w:val="0"/>
            <w:vAlign w:val="center"/>
          </w:tcPr>
          <w:p>
            <w:pPr>
              <w:jc w:val="center"/>
              <w:rPr>
                <w:sz w:val="21"/>
                <w:szCs w:val="21"/>
              </w:rPr>
            </w:pPr>
            <w:r>
              <w:rPr>
                <w:sz w:val="21"/>
                <w:szCs w:val="21"/>
              </w:rPr>
              <w:t>2.6</w:t>
            </w:r>
          </w:p>
        </w:tc>
        <w:tc>
          <w:tcPr>
            <w:tcW w:w="1052" w:type="dxa"/>
            <w:tcBorders>
              <w:left w:val="single" w:color="auto" w:sz="4" w:space="0"/>
            </w:tcBorders>
            <w:noWrap w:val="0"/>
            <w:vAlign w:val="center"/>
          </w:tcPr>
          <w:p>
            <w:pPr>
              <w:jc w:val="center"/>
              <w:rPr>
                <w:sz w:val="21"/>
                <w:szCs w:val="21"/>
              </w:rPr>
            </w:pPr>
            <w:r>
              <w:rPr>
                <w:sz w:val="21"/>
                <w:szCs w:val="21"/>
              </w:rPr>
              <w:t>15.08</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-12.48</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-82.76</w:t>
            </w:r>
          </w:p>
        </w:tc>
        <w:tc>
          <w:tcPr>
            <w:tcW w:w="1052" w:type="dxa"/>
            <w:tcBorders>
              <w:right w:val="single" w:color="auto" w:sz="4" w:space="0"/>
            </w:tcBorders>
            <w:noWrap w:val="0"/>
            <w:vAlign w:val="center"/>
          </w:tcPr>
          <w:p>
            <w:pPr>
              <w:jc w:val="center"/>
              <w:rPr>
                <w:sz w:val="21"/>
                <w:szCs w:val="21"/>
              </w:rPr>
            </w:pPr>
            <w:r>
              <w:rPr>
                <w:sz w:val="21"/>
                <w:szCs w:val="21"/>
              </w:rPr>
              <w:t>17.61</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12.9</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4.71</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36.51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677" w:type="dxa"/>
            <w:noWrap w:val="0"/>
            <w:vAlign w:val="center"/>
          </w:tcPr>
          <w:p>
            <w:pPr>
              <w:spacing w:line="480" w:lineRule="exact"/>
              <w:jc w:val="center"/>
              <w:rPr>
                <w:rFonts w:hint="eastAsia"/>
                <w:sz w:val="21"/>
                <w:szCs w:val="21"/>
              </w:rPr>
            </w:pPr>
            <w:r>
              <w:rPr>
                <w:rFonts w:hAnsi="宋体"/>
                <w:sz w:val="21"/>
                <w:szCs w:val="21"/>
              </w:rPr>
              <w:t>青鹏煤业公司</w:t>
            </w:r>
            <w:r>
              <w:rPr>
                <w:rFonts w:hint="eastAsia" w:hAnsi="宋体"/>
                <w:sz w:val="21"/>
                <w:szCs w:val="21"/>
              </w:rPr>
              <w:t>家属院</w:t>
            </w:r>
          </w:p>
        </w:tc>
        <w:tc>
          <w:tcPr>
            <w:tcW w:w="1107" w:type="dxa"/>
            <w:tcBorders>
              <w:right w:val="single" w:color="auto" w:sz="4" w:space="0"/>
            </w:tcBorders>
            <w:noWrap w:val="0"/>
            <w:vAlign w:val="center"/>
          </w:tcPr>
          <w:p>
            <w:pPr>
              <w:jc w:val="center"/>
              <w:rPr>
                <w:sz w:val="21"/>
                <w:szCs w:val="21"/>
              </w:rPr>
            </w:pPr>
            <w:r>
              <w:rPr>
                <w:sz w:val="21"/>
                <w:szCs w:val="21"/>
              </w:rPr>
              <w:t>56.55</w:t>
            </w:r>
          </w:p>
        </w:tc>
        <w:tc>
          <w:tcPr>
            <w:tcW w:w="1103" w:type="dxa"/>
            <w:tcBorders>
              <w:left w:val="single" w:color="auto" w:sz="4" w:space="0"/>
            </w:tcBorders>
            <w:noWrap w:val="0"/>
            <w:vAlign w:val="center"/>
          </w:tcPr>
          <w:p>
            <w:pPr>
              <w:jc w:val="center"/>
              <w:rPr>
                <w:sz w:val="21"/>
                <w:szCs w:val="21"/>
              </w:rPr>
            </w:pPr>
            <w:r>
              <w:rPr>
                <w:sz w:val="21"/>
                <w:szCs w:val="21"/>
              </w:rPr>
              <w:t>100.65</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-44.1</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-43.82</w:t>
            </w:r>
          </w:p>
        </w:tc>
        <w:tc>
          <w:tcPr>
            <w:tcW w:w="1030" w:type="dxa"/>
            <w:tcBorders>
              <w:right w:val="single" w:color="auto" w:sz="4" w:space="0"/>
            </w:tcBorders>
            <w:noWrap w:val="0"/>
            <w:vAlign w:val="center"/>
          </w:tcPr>
          <w:p>
            <w:pPr>
              <w:jc w:val="center"/>
              <w:rPr>
                <w:sz w:val="21"/>
                <w:szCs w:val="21"/>
              </w:rPr>
            </w:pPr>
            <w:r>
              <w:rPr>
                <w:sz w:val="21"/>
                <w:szCs w:val="21"/>
              </w:rPr>
              <w:t>66.93</w:t>
            </w:r>
          </w:p>
        </w:tc>
        <w:tc>
          <w:tcPr>
            <w:tcW w:w="1052" w:type="dxa"/>
            <w:tcBorders>
              <w:left w:val="single" w:color="auto" w:sz="4" w:space="0"/>
            </w:tcBorders>
            <w:noWrap w:val="0"/>
            <w:vAlign w:val="center"/>
          </w:tcPr>
          <w:p>
            <w:pPr>
              <w:jc w:val="center"/>
              <w:rPr>
                <w:sz w:val="21"/>
                <w:szCs w:val="21"/>
              </w:rPr>
            </w:pPr>
            <w:r>
              <w:rPr>
                <w:sz w:val="21"/>
                <w:szCs w:val="21"/>
              </w:rPr>
              <w:t>219.58</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-152.65</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-69.52</w:t>
            </w:r>
          </w:p>
        </w:tc>
        <w:tc>
          <w:tcPr>
            <w:tcW w:w="1052" w:type="dxa"/>
            <w:tcBorders>
              <w:right w:val="single" w:color="auto" w:sz="4" w:space="0"/>
            </w:tcBorders>
            <w:noWrap w:val="0"/>
            <w:vAlign w:val="center"/>
          </w:tcPr>
          <w:p>
            <w:pPr>
              <w:jc w:val="center"/>
              <w:rPr>
                <w:sz w:val="21"/>
                <w:szCs w:val="21"/>
              </w:rPr>
            </w:pPr>
            <w:r>
              <w:rPr>
                <w:sz w:val="21"/>
                <w:szCs w:val="21"/>
              </w:rPr>
              <w:t>425.09</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186.79</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238.3</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127.58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1677" w:type="dxa"/>
            <w:noWrap w:val="0"/>
            <w:vAlign w:val="center"/>
          </w:tcPr>
          <w:p>
            <w:pPr>
              <w:spacing w:line="480" w:lineRule="exact"/>
              <w:jc w:val="center"/>
              <w:rPr>
                <w:sz w:val="21"/>
                <w:szCs w:val="21"/>
              </w:rPr>
            </w:pPr>
            <w:r>
              <w:rPr>
                <w:rFonts w:hAnsi="宋体"/>
                <w:sz w:val="21"/>
                <w:szCs w:val="21"/>
              </w:rPr>
              <w:t>青木关镇</w:t>
            </w:r>
          </w:p>
        </w:tc>
        <w:tc>
          <w:tcPr>
            <w:tcW w:w="1107" w:type="dxa"/>
            <w:tcBorders>
              <w:right w:val="single" w:color="auto" w:sz="4" w:space="0"/>
            </w:tcBorders>
            <w:noWrap w:val="0"/>
            <w:vAlign w:val="center"/>
          </w:tcPr>
          <w:p>
            <w:pPr>
              <w:jc w:val="center"/>
              <w:rPr>
                <w:sz w:val="21"/>
                <w:szCs w:val="21"/>
              </w:rPr>
            </w:pPr>
            <w:r>
              <w:rPr>
                <w:sz w:val="21"/>
                <w:szCs w:val="21"/>
              </w:rPr>
              <w:t>18.32</w:t>
            </w:r>
          </w:p>
        </w:tc>
        <w:tc>
          <w:tcPr>
            <w:tcW w:w="1103" w:type="dxa"/>
            <w:tcBorders>
              <w:left w:val="single" w:color="auto" w:sz="4" w:space="0"/>
            </w:tcBorders>
            <w:noWrap w:val="0"/>
            <w:vAlign w:val="center"/>
          </w:tcPr>
          <w:p>
            <w:pPr>
              <w:jc w:val="center"/>
              <w:rPr>
                <w:sz w:val="21"/>
                <w:szCs w:val="21"/>
              </w:rPr>
            </w:pPr>
            <w:r>
              <w:rPr>
                <w:sz w:val="21"/>
                <w:szCs w:val="21"/>
              </w:rPr>
              <w:t>49.03</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-30.71</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-62.64</w:t>
            </w:r>
          </w:p>
        </w:tc>
        <w:tc>
          <w:tcPr>
            <w:tcW w:w="1030" w:type="dxa"/>
            <w:tcBorders>
              <w:right w:val="single" w:color="auto" w:sz="4" w:space="0"/>
            </w:tcBorders>
            <w:noWrap w:val="0"/>
            <w:vAlign w:val="center"/>
          </w:tcPr>
          <w:p>
            <w:pPr>
              <w:jc w:val="center"/>
              <w:rPr>
                <w:sz w:val="21"/>
                <w:szCs w:val="21"/>
              </w:rPr>
            </w:pPr>
            <w:r>
              <w:rPr>
                <w:sz w:val="21"/>
                <w:szCs w:val="21"/>
              </w:rPr>
              <w:t>28.33</w:t>
            </w:r>
          </w:p>
        </w:tc>
        <w:tc>
          <w:tcPr>
            <w:tcW w:w="1052" w:type="dxa"/>
            <w:tcBorders>
              <w:left w:val="single" w:color="auto" w:sz="4" w:space="0"/>
            </w:tcBorders>
            <w:noWrap w:val="0"/>
            <w:vAlign w:val="center"/>
          </w:tcPr>
          <w:p>
            <w:pPr>
              <w:jc w:val="center"/>
              <w:rPr>
                <w:sz w:val="21"/>
                <w:szCs w:val="21"/>
              </w:rPr>
            </w:pPr>
            <w:r>
              <w:rPr>
                <w:sz w:val="21"/>
                <w:szCs w:val="21"/>
              </w:rPr>
              <w:t>136.75</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-108.42</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-79.28</w:t>
            </w:r>
          </w:p>
        </w:tc>
        <w:tc>
          <w:tcPr>
            <w:tcW w:w="1052" w:type="dxa"/>
            <w:tcBorders>
              <w:right w:val="single" w:color="auto" w:sz="4" w:space="0"/>
            </w:tcBorders>
            <w:noWrap w:val="0"/>
            <w:vAlign w:val="center"/>
          </w:tcPr>
          <w:p>
            <w:pPr>
              <w:jc w:val="center"/>
              <w:rPr>
                <w:sz w:val="21"/>
                <w:szCs w:val="21"/>
              </w:rPr>
            </w:pPr>
            <w:r>
              <w:rPr>
                <w:sz w:val="21"/>
                <w:szCs w:val="21"/>
              </w:rPr>
              <w:t>191.58</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116.59</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74.99</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64.32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677" w:type="dxa"/>
            <w:noWrap w:val="0"/>
            <w:vAlign w:val="center"/>
          </w:tcPr>
          <w:p>
            <w:pPr>
              <w:spacing w:line="480" w:lineRule="exact"/>
              <w:jc w:val="center"/>
              <w:rPr>
                <w:sz w:val="21"/>
                <w:szCs w:val="21"/>
              </w:rPr>
            </w:pPr>
            <w:r>
              <w:rPr>
                <w:rFonts w:hAnsi="宋体"/>
                <w:sz w:val="21"/>
                <w:szCs w:val="21"/>
              </w:rPr>
              <w:t>凤凰镇</w:t>
            </w:r>
          </w:p>
        </w:tc>
        <w:tc>
          <w:tcPr>
            <w:tcW w:w="1107" w:type="dxa"/>
            <w:tcBorders>
              <w:right w:val="single" w:color="auto" w:sz="4" w:space="0"/>
            </w:tcBorders>
            <w:noWrap w:val="0"/>
            <w:vAlign w:val="center"/>
          </w:tcPr>
          <w:p>
            <w:pPr>
              <w:jc w:val="center"/>
              <w:rPr>
                <w:sz w:val="21"/>
                <w:szCs w:val="21"/>
              </w:rPr>
            </w:pPr>
            <w:r>
              <w:rPr>
                <w:sz w:val="21"/>
                <w:szCs w:val="21"/>
              </w:rPr>
              <w:t>4.58</w:t>
            </w:r>
          </w:p>
        </w:tc>
        <w:tc>
          <w:tcPr>
            <w:tcW w:w="1103" w:type="dxa"/>
            <w:tcBorders>
              <w:left w:val="single" w:color="auto" w:sz="4" w:space="0"/>
            </w:tcBorders>
            <w:noWrap w:val="0"/>
            <w:vAlign w:val="center"/>
          </w:tcPr>
          <w:p>
            <w:pPr>
              <w:jc w:val="center"/>
              <w:rPr>
                <w:sz w:val="21"/>
                <w:szCs w:val="21"/>
              </w:rPr>
            </w:pPr>
            <w:r>
              <w:rPr>
                <w:sz w:val="21"/>
                <w:szCs w:val="21"/>
              </w:rPr>
              <w:t>11.5</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-6.92</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-60.17</w:t>
            </w:r>
          </w:p>
        </w:tc>
        <w:tc>
          <w:tcPr>
            <w:tcW w:w="1030" w:type="dxa"/>
            <w:tcBorders>
              <w:right w:val="single" w:color="auto" w:sz="4" w:space="0"/>
            </w:tcBorders>
            <w:noWrap w:val="0"/>
            <w:vAlign w:val="center"/>
          </w:tcPr>
          <w:p>
            <w:pPr>
              <w:jc w:val="center"/>
              <w:rPr>
                <w:sz w:val="21"/>
                <w:szCs w:val="21"/>
              </w:rPr>
            </w:pPr>
            <w:r>
              <w:rPr>
                <w:sz w:val="21"/>
                <w:szCs w:val="21"/>
              </w:rPr>
              <w:t>8.39</w:t>
            </w:r>
          </w:p>
        </w:tc>
        <w:tc>
          <w:tcPr>
            <w:tcW w:w="1052" w:type="dxa"/>
            <w:tcBorders>
              <w:left w:val="single" w:color="auto" w:sz="4" w:space="0"/>
            </w:tcBorders>
            <w:noWrap w:val="0"/>
            <w:vAlign w:val="center"/>
          </w:tcPr>
          <w:p>
            <w:pPr>
              <w:jc w:val="center"/>
              <w:rPr>
                <w:sz w:val="21"/>
                <w:szCs w:val="21"/>
              </w:rPr>
            </w:pPr>
            <w:r>
              <w:rPr>
                <w:sz w:val="21"/>
                <w:szCs w:val="21"/>
              </w:rPr>
              <w:t>17.27</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-8.88</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-51.42</w:t>
            </w:r>
          </w:p>
        </w:tc>
        <w:tc>
          <w:tcPr>
            <w:tcW w:w="1052" w:type="dxa"/>
            <w:tcBorders>
              <w:right w:val="single" w:color="auto" w:sz="4" w:space="0"/>
            </w:tcBorders>
            <w:noWrap w:val="0"/>
            <w:vAlign w:val="center"/>
          </w:tcPr>
          <w:p>
            <w:pPr>
              <w:jc w:val="center"/>
              <w:rPr>
                <w:sz w:val="21"/>
                <w:szCs w:val="21"/>
              </w:rPr>
            </w:pPr>
            <w:r>
              <w:rPr>
                <w:sz w:val="21"/>
                <w:szCs w:val="21"/>
              </w:rPr>
              <w:t>56.74</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14.61</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42.13</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288.36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1677" w:type="dxa"/>
            <w:noWrap w:val="0"/>
            <w:vAlign w:val="center"/>
          </w:tcPr>
          <w:p>
            <w:pPr>
              <w:spacing w:line="480" w:lineRule="exact"/>
              <w:jc w:val="center"/>
              <w:rPr>
                <w:sz w:val="21"/>
                <w:szCs w:val="21"/>
              </w:rPr>
            </w:pPr>
            <w:r>
              <w:rPr>
                <w:rFonts w:hAnsi="宋体"/>
                <w:sz w:val="21"/>
                <w:szCs w:val="21"/>
              </w:rPr>
              <w:t>管家桥村</w:t>
            </w:r>
          </w:p>
        </w:tc>
        <w:tc>
          <w:tcPr>
            <w:tcW w:w="1107" w:type="dxa"/>
            <w:tcBorders>
              <w:right w:val="single" w:color="auto" w:sz="4" w:space="0"/>
            </w:tcBorders>
            <w:noWrap w:val="0"/>
            <w:vAlign w:val="center"/>
          </w:tcPr>
          <w:p>
            <w:pPr>
              <w:jc w:val="center"/>
              <w:rPr>
                <w:sz w:val="21"/>
                <w:szCs w:val="21"/>
              </w:rPr>
            </w:pPr>
            <w:r>
              <w:rPr>
                <w:sz w:val="21"/>
                <w:szCs w:val="21"/>
              </w:rPr>
              <w:t>7.89</w:t>
            </w:r>
          </w:p>
        </w:tc>
        <w:tc>
          <w:tcPr>
            <w:tcW w:w="1103" w:type="dxa"/>
            <w:tcBorders>
              <w:left w:val="single" w:color="auto" w:sz="4" w:space="0"/>
            </w:tcBorders>
            <w:noWrap w:val="0"/>
            <w:vAlign w:val="center"/>
          </w:tcPr>
          <w:p>
            <w:pPr>
              <w:jc w:val="center"/>
              <w:rPr>
                <w:sz w:val="21"/>
                <w:szCs w:val="21"/>
              </w:rPr>
            </w:pPr>
            <w:r>
              <w:rPr>
                <w:sz w:val="21"/>
                <w:szCs w:val="21"/>
              </w:rPr>
              <w:t>21.83</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-13.94</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-63.86</w:t>
            </w:r>
          </w:p>
        </w:tc>
        <w:tc>
          <w:tcPr>
            <w:tcW w:w="1030" w:type="dxa"/>
            <w:tcBorders>
              <w:right w:val="single" w:color="auto" w:sz="4" w:space="0"/>
            </w:tcBorders>
            <w:noWrap w:val="0"/>
            <w:vAlign w:val="center"/>
          </w:tcPr>
          <w:p>
            <w:pPr>
              <w:jc w:val="center"/>
              <w:rPr>
                <w:sz w:val="21"/>
                <w:szCs w:val="21"/>
              </w:rPr>
            </w:pPr>
            <w:r>
              <w:rPr>
                <w:sz w:val="21"/>
                <w:szCs w:val="21"/>
              </w:rPr>
              <w:t>15.11</w:t>
            </w:r>
          </w:p>
        </w:tc>
        <w:tc>
          <w:tcPr>
            <w:tcW w:w="1052" w:type="dxa"/>
            <w:tcBorders>
              <w:left w:val="single" w:color="auto" w:sz="4" w:space="0"/>
            </w:tcBorders>
            <w:noWrap w:val="0"/>
            <w:vAlign w:val="center"/>
          </w:tcPr>
          <w:p>
            <w:pPr>
              <w:jc w:val="center"/>
              <w:rPr>
                <w:sz w:val="21"/>
                <w:szCs w:val="21"/>
              </w:rPr>
            </w:pPr>
            <w:r>
              <w:rPr>
                <w:sz w:val="21"/>
                <w:szCs w:val="21"/>
              </w:rPr>
              <w:t>42.53</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-27.42</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-64.47</w:t>
            </w:r>
          </w:p>
        </w:tc>
        <w:tc>
          <w:tcPr>
            <w:tcW w:w="1052" w:type="dxa"/>
            <w:tcBorders>
              <w:right w:val="single" w:color="auto" w:sz="4" w:space="0"/>
            </w:tcBorders>
            <w:noWrap w:val="0"/>
            <w:vAlign w:val="center"/>
          </w:tcPr>
          <w:p>
            <w:pPr>
              <w:jc w:val="center"/>
              <w:rPr>
                <w:sz w:val="21"/>
                <w:szCs w:val="21"/>
              </w:rPr>
            </w:pPr>
            <w:r>
              <w:rPr>
                <w:sz w:val="21"/>
                <w:szCs w:val="21"/>
              </w:rPr>
              <w:t>102.21</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36.49</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65.72</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180.10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1677" w:type="dxa"/>
            <w:noWrap w:val="0"/>
            <w:vAlign w:val="center"/>
          </w:tcPr>
          <w:p>
            <w:pPr>
              <w:spacing w:line="480" w:lineRule="exact"/>
              <w:jc w:val="center"/>
              <w:rPr>
                <w:sz w:val="21"/>
                <w:szCs w:val="21"/>
              </w:rPr>
            </w:pPr>
            <w:r>
              <w:rPr>
                <w:rFonts w:hAnsi="宋体"/>
                <w:sz w:val="21"/>
                <w:szCs w:val="21"/>
              </w:rPr>
              <w:t>陈家桥镇</w:t>
            </w:r>
          </w:p>
        </w:tc>
        <w:tc>
          <w:tcPr>
            <w:tcW w:w="1107" w:type="dxa"/>
            <w:tcBorders>
              <w:right w:val="single" w:color="auto" w:sz="4" w:space="0"/>
            </w:tcBorders>
            <w:noWrap w:val="0"/>
            <w:vAlign w:val="center"/>
          </w:tcPr>
          <w:p>
            <w:pPr>
              <w:jc w:val="center"/>
              <w:rPr>
                <w:sz w:val="21"/>
                <w:szCs w:val="21"/>
              </w:rPr>
            </w:pPr>
            <w:r>
              <w:rPr>
                <w:sz w:val="21"/>
                <w:szCs w:val="21"/>
              </w:rPr>
              <w:t>3.91</w:t>
            </w:r>
          </w:p>
        </w:tc>
        <w:tc>
          <w:tcPr>
            <w:tcW w:w="1103" w:type="dxa"/>
            <w:tcBorders>
              <w:left w:val="single" w:color="auto" w:sz="4" w:space="0"/>
            </w:tcBorders>
            <w:noWrap w:val="0"/>
            <w:vAlign w:val="center"/>
          </w:tcPr>
          <w:p>
            <w:pPr>
              <w:jc w:val="center"/>
              <w:rPr>
                <w:sz w:val="21"/>
                <w:szCs w:val="21"/>
              </w:rPr>
            </w:pPr>
            <w:r>
              <w:rPr>
                <w:sz w:val="21"/>
                <w:szCs w:val="21"/>
              </w:rPr>
              <w:t>10.57</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-6.66</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-63.01</w:t>
            </w:r>
          </w:p>
        </w:tc>
        <w:tc>
          <w:tcPr>
            <w:tcW w:w="1030" w:type="dxa"/>
            <w:tcBorders>
              <w:right w:val="single" w:color="auto" w:sz="4" w:space="0"/>
            </w:tcBorders>
            <w:noWrap w:val="0"/>
            <w:vAlign w:val="center"/>
          </w:tcPr>
          <w:p>
            <w:pPr>
              <w:jc w:val="center"/>
              <w:rPr>
                <w:sz w:val="21"/>
                <w:szCs w:val="21"/>
              </w:rPr>
            </w:pPr>
            <w:r>
              <w:rPr>
                <w:sz w:val="21"/>
                <w:szCs w:val="21"/>
              </w:rPr>
              <w:t>4.89</w:t>
            </w:r>
          </w:p>
        </w:tc>
        <w:tc>
          <w:tcPr>
            <w:tcW w:w="1052" w:type="dxa"/>
            <w:tcBorders>
              <w:left w:val="single" w:color="auto" w:sz="4" w:space="0"/>
            </w:tcBorders>
            <w:noWrap w:val="0"/>
            <w:vAlign w:val="center"/>
          </w:tcPr>
          <w:p>
            <w:pPr>
              <w:jc w:val="center"/>
              <w:rPr>
                <w:sz w:val="21"/>
                <w:szCs w:val="21"/>
              </w:rPr>
            </w:pPr>
            <w:r>
              <w:rPr>
                <w:sz w:val="21"/>
                <w:szCs w:val="21"/>
              </w:rPr>
              <w:t>20.83</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-15.94</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-76.52</w:t>
            </w:r>
          </w:p>
        </w:tc>
        <w:tc>
          <w:tcPr>
            <w:tcW w:w="1052" w:type="dxa"/>
            <w:tcBorders>
              <w:right w:val="single" w:color="auto" w:sz="4" w:space="0"/>
            </w:tcBorders>
            <w:noWrap w:val="0"/>
            <w:vAlign w:val="center"/>
          </w:tcPr>
          <w:p>
            <w:pPr>
              <w:jc w:val="center"/>
              <w:rPr>
                <w:sz w:val="21"/>
                <w:szCs w:val="21"/>
              </w:rPr>
            </w:pPr>
            <w:r>
              <w:rPr>
                <w:sz w:val="21"/>
                <w:szCs w:val="21"/>
              </w:rPr>
              <w:t>33.06</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17.87</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15.19</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85.00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677" w:type="dxa"/>
            <w:noWrap w:val="0"/>
            <w:vAlign w:val="center"/>
          </w:tcPr>
          <w:p>
            <w:pPr>
              <w:spacing w:line="480" w:lineRule="exact"/>
              <w:jc w:val="center"/>
              <w:rPr>
                <w:sz w:val="21"/>
                <w:szCs w:val="21"/>
              </w:rPr>
            </w:pPr>
            <w:r>
              <w:rPr>
                <w:rFonts w:hAnsi="宋体"/>
                <w:sz w:val="21"/>
                <w:szCs w:val="21"/>
              </w:rPr>
              <w:t>大学城</w:t>
            </w:r>
          </w:p>
        </w:tc>
        <w:tc>
          <w:tcPr>
            <w:tcW w:w="1107" w:type="dxa"/>
            <w:tcBorders>
              <w:right w:val="single" w:color="auto" w:sz="4" w:space="0"/>
            </w:tcBorders>
            <w:noWrap w:val="0"/>
            <w:vAlign w:val="center"/>
          </w:tcPr>
          <w:p>
            <w:pPr>
              <w:jc w:val="center"/>
              <w:rPr>
                <w:sz w:val="21"/>
                <w:szCs w:val="21"/>
              </w:rPr>
            </w:pPr>
            <w:r>
              <w:rPr>
                <w:sz w:val="21"/>
                <w:szCs w:val="21"/>
              </w:rPr>
              <w:t>3.76</w:t>
            </w:r>
          </w:p>
        </w:tc>
        <w:tc>
          <w:tcPr>
            <w:tcW w:w="1103" w:type="dxa"/>
            <w:tcBorders>
              <w:left w:val="single" w:color="auto" w:sz="4" w:space="0"/>
            </w:tcBorders>
            <w:noWrap w:val="0"/>
            <w:vAlign w:val="center"/>
          </w:tcPr>
          <w:p>
            <w:pPr>
              <w:jc w:val="center"/>
              <w:rPr>
                <w:sz w:val="21"/>
                <w:szCs w:val="21"/>
              </w:rPr>
            </w:pPr>
            <w:r>
              <w:rPr>
                <w:sz w:val="21"/>
                <w:szCs w:val="21"/>
              </w:rPr>
              <w:t>9.23</w:t>
            </w:r>
          </w:p>
        </w:tc>
        <w:tc>
          <w:tcPr>
            <w:tcW w:w="1267"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-5.47</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-59.26</w:t>
            </w:r>
          </w:p>
        </w:tc>
        <w:tc>
          <w:tcPr>
            <w:tcW w:w="1030" w:type="dxa"/>
            <w:tcBorders>
              <w:right w:val="single" w:color="auto" w:sz="4" w:space="0"/>
            </w:tcBorders>
            <w:noWrap w:val="0"/>
            <w:vAlign w:val="center"/>
          </w:tcPr>
          <w:p>
            <w:pPr>
              <w:jc w:val="center"/>
              <w:rPr>
                <w:sz w:val="21"/>
                <w:szCs w:val="21"/>
              </w:rPr>
            </w:pPr>
            <w:r>
              <w:rPr>
                <w:sz w:val="21"/>
                <w:szCs w:val="21"/>
              </w:rPr>
              <w:t>4.15</w:t>
            </w:r>
          </w:p>
        </w:tc>
        <w:tc>
          <w:tcPr>
            <w:tcW w:w="1052" w:type="dxa"/>
            <w:tcBorders>
              <w:left w:val="single" w:color="auto" w:sz="4" w:space="0"/>
            </w:tcBorders>
            <w:noWrap w:val="0"/>
            <w:vAlign w:val="center"/>
          </w:tcPr>
          <w:p>
            <w:pPr>
              <w:jc w:val="center"/>
              <w:rPr>
                <w:sz w:val="21"/>
                <w:szCs w:val="21"/>
              </w:rPr>
            </w:pPr>
            <w:r>
              <w:rPr>
                <w:sz w:val="21"/>
                <w:szCs w:val="21"/>
              </w:rPr>
              <w:t>18.45</w:t>
            </w:r>
          </w:p>
        </w:tc>
        <w:tc>
          <w:tcPr>
            <w:tcW w:w="1066"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-14.3</w:t>
            </w:r>
          </w:p>
        </w:tc>
        <w:tc>
          <w:tcPr>
            <w:tcW w:w="886" w:type="dxa"/>
            <w:tcBorders>
              <w:left w:val="single" w:color="auto" w:sz="4" w:space="0"/>
            </w:tcBorders>
            <w:noWrap w:val="0"/>
            <w:vAlign w:val="center"/>
          </w:tcPr>
          <w:p>
            <w:pPr>
              <w:jc w:val="center"/>
              <w:rPr>
                <w:rFonts w:ascii="宋体" w:hAnsi="宋体" w:cs="宋体"/>
                <w:sz w:val="21"/>
                <w:szCs w:val="21"/>
              </w:rPr>
            </w:pPr>
            <w:r>
              <w:rPr>
                <w:rFonts w:hint="eastAsia"/>
                <w:sz w:val="21"/>
                <w:szCs w:val="21"/>
              </w:rPr>
              <w:t>-77.51</w:t>
            </w:r>
          </w:p>
        </w:tc>
        <w:tc>
          <w:tcPr>
            <w:tcW w:w="1052" w:type="dxa"/>
            <w:tcBorders>
              <w:right w:val="single" w:color="auto" w:sz="4" w:space="0"/>
            </w:tcBorders>
            <w:noWrap w:val="0"/>
            <w:vAlign w:val="center"/>
          </w:tcPr>
          <w:p>
            <w:pPr>
              <w:jc w:val="center"/>
              <w:rPr>
                <w:sz w:val="21"/>
                <w:szCs w:val="21"/>
              </w:rPr>
            </w:pPr>
            <w:r>
              <w:rPr>
                <w:sz w:val="21"/>
                <w:szCs w:val="21"/>
              </w:rPr>
              <w:t>28.05</w:t>
            </w:r>
          </w:p>
        </w:tc>
        <w:tc>
          <w:tcPr>
            <w:tcW w:w="1052" w:type="dxa"/>
            <w:tcBorders>
              <w:left w:val="single" w:color="auto" w:sz="4" w:space="0"/>
              <w:right w:val="single" w:color="auto" w:sz="4" w:space="0"/>
            </w:tcBorders>
            <w:noWrap w:val="0"/>
            <w:vAlign w:val="center"/>
          </w:tcPr>
          <w:p>
            <w:pPr>
              <w:jc w:val="center"/>
              <w:rPr>
                <w:sz w:val="21"/>
                <w:szCs w:val="21"/>
              </w:rPr>
            </w:pPr>
            <w:r>
              <w:rPr>
                <w:sz w:val="21"/>
                <w:szCs w:val="21"/>
              </w:rPr>
              <w:t>15.62</w:t>
            </w:r>
          </w:p>
        </w:tc>
        <w:tc>
          <w:tcPr>
            <w:tcW w:w="105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12.43</w:t>
            </w:r>
          </w:p>
        </w:tc>
        <w:tc>
          <w:tcPr>
            <w:tcW w:w="877" w:type="dxa"/>
            <w:tcBorders>
              <w:left w:val="single" w:color="auto" w:sz="4" w:space="0"/>
            </w:tcBorders>
            <w:noWrap w:val="0"/>
            <w:vAlign w:val="center"/>
          </w:tcPr>
          <w:p>
            <w:pPr>
              <w:jc w:val="center"/>
              <w:rPr>
                <w:rFonts w:ascii="宋体" w:hAnsi="宋体" w:cs="宋体"/>
                <w:sz w:val="21"/>
                <w:szCs w:val="21"/>
              </w:rPr>
            </w:pPr>
            <w:r>
              <w:rPr>
                <w:rFonts w:hint="eastAsia"/>
                <w:sz w:val="21"/>
                <w:szCs w:val="21"/>
              </w:rPr>
              <w:t>79.58</w:t>
            </w:r>
          </w:p>
        </w:tc>
      </w:tr>
    </w:tbl>
    <w:p>
      <w:pPr>
        <w:pStyle w:val="28"/>
        <w:spacing w:line="480" w:lineRule="exact"/>
        <w:ind w:firstLine="480"/>
        <w:sectPr>
          <w:pgSz w:w="16838" w:h="11906" w:orient="landscape"/>
          <w:pgMar w:top="1418" w:right="1418" w:bottom="1418" w:left="1418" w:header="851" w:footer="992" w:gutter="0"/>
          <w:paperSrc w:first="20070" w:other="20070"/>
          <w:cols w:space="425" w:num="1"/>
          <w:docGrid w:linePitch="312" w:charSpace="0"/>
        </w:sect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17</w:t>
      </w:r>
      <w:r>
        <w:rPr>
          <w:b/>
        </w:rPr>
        <w:t xml:space="preserve">  </w:t>
      </w:r>
      <w:r>
        <w:rPr>
          <w:rFonts w:hint="eastAsia"/>
          <w:b/>
        </w:rPr>
        <w:t>技改前后日均最大预测值对敏感点影响对比分析</w:t>
      </w:r>
      <w:r>
        <w:rPr>
          <w:b/>
        </w:rPr>
        <w:t xml:space="preserve">    单位：</w:t>
      </w:r>
      <w:r>
        <w:rPr>
          <w:b/>
          <w:szCs w:val="21"/>
        </w:rPr>
        <w:t>µg/m</w:t>
      </w:r>
      <w:r>
        <w:rPr>
          <w:b/>
          <w:szCs w:val="21"/>
          <w:vertAlign w:val="superscript"/>
        </w:rPr>
        <w:t>3</w:t>
      </w:r>
    </w:p>
    <w:tbl>
      <w:tblPr>
        <w:tblStyle w:val="20"/>
        <w:tblW w:w="1280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932"/>
        <w:gridCol w:w="932"/>
        <w:gridCol w:w="932"/>
        <w:gridCol w:w="759"/>
        <w:gridCol w:w="932"/>
        <w:gridCol w:w="932"/>
        <w:gridCol w:w="932"/>
        <w:gridCol w:w="759"/>
        <w:gridCol w:w="932"/>
        <w:gridCol w:w="932"/>
        <w:gridCol w:w="932"/>
        <w:gridCol w:w="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blHeader/>
          <w:jc w:val="center"/>
        </w:trPr>
        <w:tc>
          <w:tcPr>
            <w:tcW w:w="2106" w:type="dxa"/>
            <w:vMerge w:val="restart"/>
            <w:tcBorders>
              <w:tl2br w:val="single" w:color="auto" w:sz="4" w:space="0"/>
            </w:tcBorders>
            <w:noWrap w:val="0"/>
            <w:vAlign w:val="center"/>
          </w:tcPr>
          <w:p>
            <w:pPr>
              <w:pStyle w:val="33"/>
              <w:snapToGrid w:val="0"/>
              <w:spacing w:line="480" w:lineRule="exact"/>
              <w:ind w:right="-122" w:firstLine="420" w:firstLineChars="200"/>
              <w:jc w:val="both"/>
              <w:rPr>
                <w:color w:val="auto"/>
              </w:rPr>
            </w:pPr>
            <w:r>
              <w:rPr>
                <w:color w:val="auto"/>
              </w:rPr>
              <w:t>预测因子</w:t>
            </w:r>
          </w:p>
          <w:p>
            <w:pPr>
              <w:pStyle w:val="33"/>
              <w:snapToGrid w:val="0"/>
              <w:spacing w:line="480" w:lineRule="exact"/>
              <w:ind w:right="-122"/>
              <w:jc w:val="both"/>
              <w:rPr>
                <w:color w:val="auto"/>
              </w:rPr>
            </w:pPr>
            <w:r>
              <w:rPr>
                <w:color w:val="auto"/>
              </w:rPr>
              <w:t>关心点</w:t>
            </w:r>
          </w:p>
        </w:tc>
        <w:tc>
          <w:tcPr>
            <w:tcW w:w="3555" w:type="dxa"/>
            <w:gridSpan w:val="4"/>
            <w:tcBorders>
              <w:right w:val="single" w:color="auto" w:sz="4" w:space="0"/>
            </w:tcBorders>
            <w:noWrap w:val="0"/>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3555" w:type="dxa"/>
            <w:gridSpan w:val="4"/>
            <w:tcBorders>
              <w:left w:val="single" w:color="auto" w:sz="4" w:space="0"/>
              <w:right w:val="single" w:color="auto" w:sz="4" w:space="0"/>
            </w:tcBorders>
            <w:noWrap w:val="0"/>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3590" w:type="dxa"/>
            <w:gridSpan w:val="4"/>
            <w:tcBorders>
              <w:left w:val="single" w:color="auto" w:sz="4" w:space="0"/>
            </w:tcBorders>
            <w:noWrap w:val="0"/>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106" w:type="dxa"/>
            <w:vMerge w:val="continue"/>
            <w:noWrap w:val="0"/>
            <w:vAlign w:val="center"/>
          </w:tcPr>
          <w:p>
            <w:pPr>
              <w:pStyle w:val="33"/>
              <w:snapToGrid w:val="0"/>
              <w:spacing w:line="480" w:lineRule="exact"/>
              <w:ind w:right="-122"/>
              <w:rPr>
                <w:color w:val="auto"/>
              </w:rPr>
            </w:pP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759"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759"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增减减量</w:t>
            </w:r>
          </w:p>
        </w:tc>
        <w:tc>
          <w:tcPr>
            <w:tcW w:w="794"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2106" w:type="dxa"/>
            <w:shd w:val="clear" w:color="auto" w:fill="auto"/>
            <w:noWrap w:val="0"/>
            <w:vAlign w:val="center"/>
          </w:tcPr>
          <w:p>
            <w:pPr>
              <w:spacing w:line="480" w:lineRule="exact"/>
              <w:jc w:val="center"/>
              <w:rPr>
                <w:sz w:val="21"/>
                <w:szCs w:val="21"/>
              </w:rPr>
            </w:pPr>
            <w:r>
              <w:rPr>
                <w:sz w:val="21"/>
                <w:szCs w:val="21"/>
              </w:rPr>
              <w:t>大路镇</w:t>
            </w:r>
          </w:p>
        </w:tc>
        <w:tc>
          <w:tcPr>
            <w:tcW w:w="932" w:type="dxa"/>
            <w:tcBorders>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0.39</w:t>
            </w:r>
          </w:p>
        </w:tc>
        <w:tc>
          <w:tcPr>
            <w:tcW w:w="932" w:type="dxa"/>
            <w:tcBorders>
              <w:lef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0.62</w:t>
            </w:r>
          </w:p>
        </w:tc>
        <w:tc>
          <w:tcPr>
            <w:tcW w:w="932" w:type="dxa"/>
            <w:tcBorders>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-0.23</w:t>
            </w:r>
          </w:p>
        </w:tc>
        <w:tc>
          <w:tcPr>
            <w:tcW w:w="759" w:type="dxa"/>
            <w:tcBorders>
              <w:left w:val="single" w:color="auto" w:sz="4" w:space="0"/>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 xml:space="preserve">-37.10 </w:t>
            </w:r>
          </w:p>
        </w:tc>
        <w:tc>
          <w:tcPr>
            <w:tcW w:w="932" w:type="dxa"/>
            <w:tcBorders>
              <w:left w:val="single" w:color="auto" w:sz="4" w:space="0"/>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0.33</w:t>
            </w:r>
          </w:p>
        </w:tc>
        <w:tc>
          <w:tcPr>
            <w:tcW w:w="932" w:type="dxa"/>
            <w:tcBorders>
              <w:lef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0.96</w:t>
            </w:r>
          </w:p>
        </w:tc>
        <w:tc>
          <w:tcPr>
            <w:tcW w:w="932" w:type="dxa"/>
            <w:tcBorders>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-0.63</w:t>
            </w:r>
          </w:p>
        </w:tc>
        <w:tc>
          <w:tcPr>
            <w:tcW w:w="759" w:type="dxa"/>
            <w:tcBorders>
              <w:lef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 xml:space="preserve">-65.63 </w:t>
            </w:r>
          </w:p>
        </w:tc>
        <w:tc>
          <w:tcPr>
            <w:tcW w:w="932" w:type="dxa"/>
            <w:tcBorders>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2.26</w:t>
            </w:r>
          </w:p>
        </w:tc>
        <w:tc>
          <w:tcPr>
            <w:tcW w:w="932" w:type="dxa"/>
            <w:tcBorders>
              <w:left w:val="single" w:color="auto" w:sz="4" w:space="0"/>
              <w:right w:val="single" w:color="auto" w:sz="4" w:space="0"/>
            </w:tcBorders>
            <w:shd w:val="clear" w:color="auto" w:fill="F3F3F3"/>
            <w:noWrap w:val="0"/>
            <w:vAlign w:val="center"/>
          </w:tcPr>
          <w:p>
            <w:pPr>
              <w:jc w:val="center"/>
              <w:rPr>
                <w:rFonts w:ascii="宋体" w:hAnsi="宋体" w:cs="宋体"/>
                <w:sz w:val="21"/>
                <w:szCs w:val="21"/>
              </w:rPr>
            </w:pPr>
            <w:r>
              <w:rPr>
                <w:rFonts w:hint="eastAsia"/>
                <w:sz w:val="21"/>
                <w:szCs w:val="21"/>
              </w:rPr>
              <w:t>0.82</w:t>
            </w:r>
          </w:p>
        </w:tc>
        <w:tc>
          <w:tcPr>
            <w:tcW w:w="932" w:type="dxa"/>
            <w:tcBorders>
              <w:left w:val="single" w:color="auto" w:sz="4" w:space="0"/>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1.44</w:t>
            </w:r>
          </w:p>
        </w:tc>
        <w:tc>
          <w:tcPr>
            <w:tcW w:w="794" w:type="dxa"/>
            <w:tcBorders>
              <w:lef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 xml:space="preserve">175.61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106" w:type="dxa"/>
            <w:noWrap w:val="0"/>
            <w:vAlign w:val="center"/>
          </w:tcPr>
          <w:p>
            <w:pPr>
              <w:spacing w:line="480" w:lineRule="exact"/>
              <w:jc w:val="center"/>
              <w:rPr>
                <w:sz w:val="21"/>
                <w:szCs w:val="21"/>
              </w:rPr>
            </w:pPr>
            <w:r>
              <w:rPr>
                <w:rFonts w:hAnsi="宋体"/>
                <w:sz w:val="21"/>
                <w:szCs w:val="21"/>
              </w:rPr>
              <w:t>六塘镇</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0.72</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1.37</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-0.65</w:t>
            </w:r>
          </w:p>
        </w:tc>
        <w:tc>
          <w:tcPr>
            <w:tcW w:w="759"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 xml:space="preserve">-47.45 </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0.80</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2.09</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-1.29</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-61.72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5.39</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1.78</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3.61</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202.81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06" w:type="dxa"/>
            <w:noWrap w:val="0"/>
            <w:vAlign w:val="center"/>
          </w:tcPr>
          <w:p>
            <w:pPr>
              <w:spacing w:line="480" w:lineRule="exact"/>
              <w:jc w:val="center"/>
              <w:rPr>
                <w:sz w:val="21"/>
                <w:szCs w:val="21"/>
              </w:rPr>
            </w:pPr>
            <w:r>
              <w:rPr>
                <w:rFonts w:hAnsi="宋体"/>
                <w:sz w:val="21"/>
                <w:szCs w:val="21"/>
              </w:rPr>
              <w:t>接龙镇</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0.73</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1.55</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-0.82</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-52.90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1.22</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2.36</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-1.14</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-48.31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8.24</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1.99</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6.25</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314.07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106" w:type="dxa"/>
            <w:shd w:val="clear" w:color="auto" w:fill="auto"/>
            <w:noWrap w:val="0"/>
            <w:vAlign w:val="center"/>
          </w:tcPr>
          <w:p>
            <w:pPr>
              <w:spacing w:line="480" w:lineRule="exact"/>
              <w:jc w:val="center"/>
              <w:rPr>
                <w:sz w:val="21"/>
                <w:szCs w:val="21"/>
              </w:rPr>
            </w:pPr>
            <w:r>
              <w:rPr>
                <w:rFonts w:hAnsi="宋体"/>
                <w:sz w:val="21"/>
                <w:szCs w:val="21"/>
              </w:rPr>
              <w:t>福里树村</w:t>
            </w:r>
          </w:p>
        </w:tc>
        <w:tc>
          <w:tcPr>
            <w:tcW w:w="932" w:type="dxa"/>
            <w:tcBorders>
              <w:righ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2.82</w:t>
            </w:r>
          </w:p>
        </w:tc>
        <w:tc>
          <w:tcPr>
            <w:tcW w:w="932" w:type="dxa"/>
            <w:tcBorders>
              <w:lef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8.05</w:t>
            </w:r>
          </w:p>
        </w:tc>
        <w:tc>
          <w:tcPr>
            <w:tcW w:w="932" w:type="dxa"/>
            <w:tcBorders>
              <w:righ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-5.23</w:t>
            </w:r>
          </w:p>
        </w:tc>
        <w:tc>
          <w:tcPr>
            <w:tcW w:w="759" w:type="dxa"/>
            <w:tcBorders>
              <w:lef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 xml:space="preserve">-64.97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2.49</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12.03</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-9.54</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-79.30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16.83</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10.23</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6.6</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64.52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106" w:type="dxa"/>
            <w:shd w:val="clear" w:color="auto" w:fill="auto"/>
            <w:noWrap w:val="0"/>
            <w:vAlign w:val="center"/>
          </w:tcPr>
          <w:p>
            <w:pPr>
              <w:spacing w:line="480" w:lineRule="exact"/>
              <w:jc w:val="center"/>
              <w:rPr>
                <w:sz w:val="21"/>
                <w:szCs w:val="21"/>
              </w:rPr>
            </w:pPr>
            <w:r>
              <w:rPr>
                <w:rFonts w:hAnsi="宋体"/>
                <w:sz w:val="21"/>
                <w:szCs w:val="21"/>
              </w:rPr>
              <w:t>殷家老院子</w:t>
            </w:r>
          </w:p>
        </w:tc>
        <w:tc>
          <w:tcPr>
            <w:tcW w:w="932" w:type="dxa"/>
            <w:tcBorders>
              <w:righ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1.67</w:t>
            </w:r>
          </w:p>
        </w:tc>
        <w:tc>
          <w:tcPr>
            <w:tcW w:w="932" w:type="dxa"/>
            <w:tcBorders>
              <w:lef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3.47</w:t>
            </w:r>
          </w:p>
        </w:tc>
        <w:tc>
          <w:tcPr>
            <w:tcW w:w="932" w:type="dxa"/>
            <w:tcBorders>
              <w:righ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-1.8</w:t>
            </w:r>
          </w:p>
        </w:tc>
        <w:tc>
          <w:tcPr>
            <w:tcW w:w="759" w:type="dxa"/>
            <w:tcBorders>
              <w:lef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 xml:space="preserve">-51.87 </w:t>
            </w:r>
          </w:p>
        </w:tc>
        <w:tc>
          <w:tcPr>
            <w:tcW w:w="932" w:type="dxa"/>
            <w:tcBorders>
              <w:righ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1.76</w:t>
            </w:r>
          </w:p>
        </w:tc>
        <w:tc>
          <w:tcPr>
            <w:tcW w:w="932" w:type="dxa"/>
            <w:tcBorders>
              <w:left w:val="single" w:color="auto" w:sz="4" w:space="0"/>
            </w:tcBorders>
            <w:shd w:val="clear" w:color="auto" w:fill="auto"/>
            <w:noWrap w:val="0"/>
            <w:vAlign w:val="center"/>
          </w:tcPr>
          <w:p>
            <w:pPr>
              <w:jc w:val="center"/>
              <w:rPr>
                <w:rFonts w:ascii="宋体" w:hAnsi="宋体" w:cs="宋体"/>
                <w:sz w:val="21"/>
                <w:szCs w:val="21"/>
              </w:rPr>
            </w:pPr>
            <w:r>
              <w:rPr>
                <w:rFonts w:hint="eastAsia"/>
                <w:sz w:val="21"/>
                <w:szCs w:val="21"/>
              </w:rPr>
              <w:t>5.61</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-3.85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-68.63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11.87</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4.75</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7.12</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149.89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2106" w:type="dxa"/>
            <w:noWrap w:val="0"/>
            <w:vAlign w:val="center"/>
          </w:tcPr>
          <w:p>
            <w:pPr>
              <w:spacing w:line="480" w:lineRule="exact"/>
              <w:jc w:val="center"/>
              <w:rPr>
                <w:sz w:val="21"/>
                <w:szCs w:val="21"/>
              </w:rPr>
            </w:pPr>
            <w:r>
              <w:rPr>
                <w:rFonts w:hAnsi="宋体"/>
                <w:sz w:val="21"/>
                <w:szCs w:val="21"/>
              </w:rPr>
              <w:t>璧山县</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0.29</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0.66</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-0.37</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-56.06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0.27</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0.96</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-0.69</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-71.88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1.80</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0.81</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0.99</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122.22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2106" w:type="dxa"/>
            <w:noWrap w:val="0"/>
            <w:vAlign w:val="center"/>
          </w:tcPr>
          <w:p>
            <w:pPr>
              <w:spacing w:line="480" w:lineRule="exact"/>
              <w:jc w:val="center"/>
              <w:rPr>
                <w:sz w:val="21"/>
                <w:szCs w:val="21"/>
              </w:rPr>
            </w:pPr>
            <w:r>
              <w:rPr>
                <w:rFonts w:hAnsi="宋体"/>
                <w:sz w:val="21"/>
                <w:szCs w:val="21"/>
              </w:rPr>
              <w:t>青鹏煤业公司</w:t>
            </w:r>
            <w:r>
              <w:rPr>
                <w:rFonts w:hint="eastAsia" w:hAnsi="宋体"/>
                <w:sz w:val="21"/>
                <w:szCs w:val="21"/>
              </w:rPr>
              <w:t>家属院</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3.34</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5.59</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-2.25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-40.25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4.59</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12.70</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-8.11</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-63.86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31.03</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10.79</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20.24</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187.58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2106" w:type="dxa"/>
            <w:noWrap w:val="0"/>
            <w:vAlign w:val="center"/>
          </w:tcPr>
          <w:p>
            <w:pPr>
              <w:spacing w:line="480" w:lineRule="exact"/>
              <w:jc w:val="center"/>
              <w:rPr>
                <w:sz w:val="21"/>
                <w:szCs w:val="21"/>
              </w:rPr>
            </w:pPr>
            <w:r>
              <w:rPr>
                <w:rFonts w:hAnsi="宋体"/>
                <w:sz w:val="21"/>
                <w:szCs w:val="21"/>
              </w:rPr>
              <w:t>青木关镇</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1.65</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4.06</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-2.41</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-59.36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1.97</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8.39</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-6.42</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-76.52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13.33</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7.13</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6.2</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86.96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106" w:type="dxa"/>
            <w:noWrap w:val="0"/>
            <w:vAlign w:val="center"/>
          </w:tcPr>
          <w:p>
            <w:pPr>
              <w:spacing w:line="480" w:lineRule="exact"/>
              <w:jc w:val="center"/>
              <w:rPr>
                <w:sz w:val="21"/>
                <w:szCs w:val="21"/>
              </w:rPr>
            </w:pPr>
            <w:r>
              <w:rPr>
                <w:rFonts w:hAnsi="宋体"/>
                <w:sz w:val="21"/>
                <w:szCs w:val="21"/>
              </w:rPr>
              <w:t>凤凰镇</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0.46</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0.97</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-0.51</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-52.58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0.57</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1.40</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-0.83</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-59.29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3.85</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1.18</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2.67</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226.27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06" w:type="dxa"/>
            <w:noWrap w:val="0"/>
            <w:vAlign w:val="center"/>
          </w:tcPr>
          <w:p>
            <w:pPr>
              <w:spacing w:line="480" w:lineRule="exact"/>
              <w:jc w:val="center"/>
              <w:rPr>
                <w:sz w:val="21"/>
                <w:szCs w:val="21"/>
              </w:rPr>
            </w:pPr>
            <w:r>
              <w:rPr>
                <w:rFonts w:hAnsi="宋体"/>
                <w:sz w:val="21"/>
                <w:szCs w:val="21"/>
              </w:rPr>
              <w:t>管家桥村</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1.95</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3.20</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-1.25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-39.06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3.38</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4.64</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-1.26</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-27.16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22.89</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3.96</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18.93</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478.03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106" w:type="dxa"/>
            <w:noWrap w:val="0"/>
            <w:vAlign w:val="center"/>
          </w:tcPr>
          <w:p>
            <w:pPr>
              <w:spacing w:line="480" w:lineRule="exact"/>
              <w:jc w:val="center"/>
              <w:rPr>
                <w:sz w:val="21"/>
                <w:szCs w:val="21"/>
              </w:rPr>
            </w:pPr>
            <w:r>
              <w:rPr>
                <w:rFonts w:hAnsi="宋体"/>
                <w:sz w:val="21"/>
                <w:szCs w:val="21"/>
              </w:rPr>
              <w:t>陈家桥镇</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0.85</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1.57</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-0.72</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-45.86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1.03</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2.76</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-1.73</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-62.68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6.99</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2.35</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4.64</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197.45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106" w:type="dxa"/>
            <w:noWrap w:val="0"/>
            <w:vAlign w:val="center"/>
          </w:tcPr>
          <w:p>
            <w:pPr>
              <w:spacing w:line="480" w:lineRule="exact"/>
              <w:jc w:val="center"/>
              <w:rPr>
                <w:sz w:val="21"/>
                <w:szCs w:val="21"/>
              </w:rPr>
            </w:pPr>
            <w:r>
              <w:rPr>
                <w:rFonts w:hAnsi="宋体"/>
                <w:sz w:val="21"/>
                <w:szCs w:val="21"/>
              </w:rPr>
              <w:t>大学城</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0.84</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1.53</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-0.69</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-45.10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0.90</w:t>
            </w:r>
          </w:p>
        </w:tc>
        <w:tc>
          <w:tcPr>
            <w:tcW w:w="932" w:type="dxa"/>
            <w:tcBorders>
              <w:left w:val="single" w:color="auto" w:sz="4" w:space="0"/>
            </w:tcBorders>
            <w:noWrap w:val="0"/>
            <w:vAlign w:val="center"/>
          </w:tcPr>
          <w:p>
            <w:pPr>
              <w:jc w:val="center"/>
              <w:rPr>
                <w:rFonts w:ascii="宋体" w:hAnsi="宋体" w:cs="宋体"/>
                <w:sz w:val="21"/>
                <w:szCs w:val="21"/>
              </w:rPr>
            </w:pPr>
            <w:r>
              <w:rPr>
                <w:rFonts w:hint="eastAsia"/>
                <w:sz w:val="21"/>
                <w:szCs w:val="21"/>
              </w:rPr>
              <w:t>2.50</w:t>
            </w:r>
          </w:p>
        </w:tc>
        <w:tc>
          <w:tcPr>
            <w:tcW w:w="932" w:type="dxa"/>
            <w:tcBorders>
              <w:right w:val="single" w:color="auto" w:sz="4" w:space="0"/>
            </w:tcBorders>
            <w:noWrap w:val="0"/>
            <w:vAlign w:val="center"/>
          </w:tcPr>
          <w:p>
            <w:pPr>
              <w:jc w:val="right"/>
              <w:rPr>
                <w:rFonts w:ascii="宋体" w:hAnsi="宋体" w:cs="宋体"/>
                <w:sz w:val="21"/>
                <w:szCs w:val="21"/>
              </w:rPr>
            </w:pPr>
            <w:r>
              <w:rPr>
                <w:rFonts w:hint="eastAsia"/>
                <w:sz w:val="21"/>
                <w:szCs w:val="21"/>
              </w:rPr>
              <w:t>-1.6</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-64.00 </w:t>
            </w:r>
          </w:p>
        </w:tc>
        <w:tc>
          <w:tcPr>
            <w:tcW w:w="932" w:type="dxa"/>
            <w:tcBorders>
              <w:right w:val="single" w:color="auto" w:sz="4" w:space="0"/>
            </w:tcBorders>
            <w:noWrap w:val="0"/>
            <w:vAlign w:val="center"/>
          </w:tcPr>
          <w:p>
            <w:pPr>
              <w:jc w:val="center"/>
              <w:rPr>
                <w:rFonts w:ascii="宋体" w:hAnsi="宋体" w:cs="宋体"/>
                <w:sz w:val="21"/>
                <w:szCs w:val="21"/>
              </w:rPr>
            </w:pPr>
            <w:r>
              <w:rPr>
                <w:rFonts w:hint="eastAsia"/>
                <w:sz w:val="21"/>
                <w:szCs w:val="21"/>
              </w:rPr>
              <w:t>6.11</w:t>
            </w:r>
          </w:p>
        </w:tc>
        <w:tc>
          <w:tcPr>
            <w:tcW w:w="932" w:type="dxa"/>
            <w:tcBorders>
              <w:left w:val="single" w:color="auto" w:sz="4" w:space="0"/>
              <w:right w:val="single" w:color="auto" w:sz="4" w:space="0"/>
            </w:tcBorders>
            <w:noWrap w:val="0"/>
            <w:vAlign w:val="center"/>
          </w:tcPr>
          <w:p>
            <w:pPr>
              <w:jc w:val="center"/>
              <w:rPr>
                <w:rFonts w:ascii="宋体" w:hAnsi="宋体" w:cs="宋体"/>
                <w:sz w:val="21"/>
                <w:szCs w:val="21"/>
              </w:rPr>
            </w:pPr>
            <w:r>
              <w:rPr>
                <w:rFonts w:hint="eastAsia"/>
                <w:sz w:val="21"/>
                <w:szCs w:val="21"/>
              </w:rPr>
              <w:t>2.12</w:t>
            </w:r>
          </w:p>
        </w:tc>
        <w:tc>
          <w:tcPr>
            <w:tcW w:w="932"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3.99</w:t>
            </w:r>
          </w:p>
        </w:tc>
        <w:tc>
          <w:tcPr>
            <w:tcW w:w="794"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188.21 </w:t>
            </w:r>
          </w:p>
        </w:tc>
      </w:tr>
    </w:tbl>
    <w:p>
      <w:pPr>
        <w:adjustRightInd w:val="0"/>
        <w:snapToGrid w:val="0"/>
        <w:spacing w:line="480" w:lineRule="exact"/>
        <w:ind w:firstLine="480"/>
        <w:rPr>
          <w:rFonts w:hint="eastAsia"/>
        </w:rPr>
      </w:pPr>
    </w:p>
    <w:p>
      <w:pPr>
        <w:adjustRightInd w:val="0"/>
        <w:snapToGrid w:val="0"/>
        <w:spacing w:line="480" w:lineRule="exact"/>
        <w:ind w:firstLine="480"/>
        <w:rPr>
          <w:rFonts w:hint="eastAsia"/>
        </w:rPr>
      </w:pPr>
    </w:p>
    <w:p>
      <w:pPr>
        <w:spacing w:line="480" w:lineRule="exact"/>
        <w:ind w:firstLine="316" w:firstLineChars="150"/>
        <w:jc w:val="center"/>
        <w:rPr>
          <w:rFonts w:hint="eastAsia"/>
          <w:b/>
          <w:szCs w:val="21"/>
          <w:vertAlign w:val="superscript"/>
        </w:rPr>
      </w:pPr>
      <w:r>
        <w:rPr>
          <w:b/>
        </w:rPr>
        <w:t>表</w:t>
      </w:r>
      <w:r>
        <w:rPr>
          <w:rFonts w:hint="eastAsia"/>
          <w:b/>
        </w:rPr>
        <w:t>8</w:t>
      </w:r>
      <w:r>
        <w:rPr>
          <w:b/>
        </w:rPr>
        <w:t>-</w:t>
      </w:r>
      <w:r>
        <w:rPr>
          <w:rFonts w:hint="eastAsia"/>
          <w:b/>
        </w:rPr>
        <w:t>18</w:t>
      </w:r>
      <w:r>
        <w:rPr>
          <w:b/>
        </w:rPr>
        <w:t xml:space="preserve">  </w:t>
      </w:r>
      <w:r>
        <w:rPr>
          <w:rFonts w:hint="eastAsia"/>
          <w:b/>
        </w:rPr>
        <w:t>技改前后年均预测值对敏感点影响对比分析</w:t>
      </w:r>
      <w:r>
        <w:rPr>
          <w:b/>
        </w:rPr>
        <w:t xml:space="preserve">    单位：</w:t>
      </w:r>
      <w:r>
        <w:rPr>
          <w:b/>
          <w:szCs w:val="21"/>
        </w:rPr>
        <w:t>µg/m</w:t>
      </w:r>
      <w:r>
        <w:rPr>
          <w:b/>
          <w:szCs w:val="21"/>
          <w:vertAlign w:val="superscript"/>
        </w:rPr>
        <w:t>3</w:t>
      </w:r>
    </w:p>
    <w:tbl>
      <w:tblPr>
        <w:tblStyle w:val="20"/>
        <w:tblW w:w="125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06"/>
        <w:gridCol w:w="932"/>
        <w:gridCol w:w="932"/>
        <w:gridCol w:w="864"/>
        <w:gridCol w:w="759"/>
        <w:gridCol w:w="932"/>
        <w:gridCol w:w="932"/>
        <w:gridCol w:w="864"/>
        <w:gridCol w:w="759"/>
        <w:gridCol w:w="932"/>
        <w:gridCol w:w="932"/>
        <w:gridCol w:w="794"/>
        <w:gridCol w:w="79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7" w:hRule="atLeast"/>
          <w:tblHeader/>
          <w:jc w:val="center"/>
        </w:trPr>
        <w:tc>
          <w:tcPr>
            <w:tcW w:w="2106" w:type="dxa"/>
            <w:vMerge w:val="restart"/>
            <w:tcBorders>
              <w:tl2br w:val="single" w:color="auto" w:sz="4" w:space="0"/>
            </w:tcBorders>
            <w:noWrap w:val="0"/>
            <w:vAlign w:val="center"/>
          </w:tcPr>
          <w:p>
            <w:pPr>
              <w:pStyle w:val="33"/>
              <w:snapToGrid w:val="0"/>
              <w:spacing w:line="480" w:lineRule="exact"/>
              <w:ind w:right="-122" w:firstLine="630" w:firstLineChars="300"/>
              <w:jc w:val="both"/>
              <w:rPr>
                <w:color w:val="auto"/>
              </w:rPr>
            </w:pPr>
            <w:r>
              <w:rPr>
                <w:color w:val="auto"/>
              </w:rPr>
              <w:t>预测因子</w:t>
            </w:r>
          </w:p>
          <w:p>
            <w:pPr>
              <w:pStyle w:val="33"/>
              <w:snapToGrid w:val="0"/>
              <w:spacing w:line="480" w:lineRule="exact"/>
              <w:ind w:left="0" w:leftChars="0" w:right="-122"/>
              <w:jc w:val="both"/>
              <w:rPr>
                <w:color w:val="auto"/>
              </w:rPr>
            </w:pPr>
            <w:r>
              <w:rPr>
                <w:color w:val="auto"/>
              </w:rPr>
              <w:t>关心点</w:t>
            </w:r>
          </w:p>
        </w:tc>
        <w:tc>
          <w:tcPr>
            <w:tcW w:w="3487" w:type="dxa"/>
            <w:gridSpan w:val="4"/>
            <w:tcBorders>
              <w:right w:val="single" w:color="auto" w:sz="4" w:space="0"/>
            </w:tcBorders>
            <w:noWrap w:val="0"/>
            <w:vAlign w:val="center"/>
          </w:tcPr>
          <w:p>
            <w:pPr>
              <w:adjustRightInd w:val="0"/>
              <w:snapToGrid w:val="0"/>
              <w:spacing w:line="480" w:lineRule="exact"/>
              <w:jc w:val="center"/>
              <w:rPr>
                <w:kern w:val="0"/>
                <w:sz w:val="21"/>
                <w:szCs w:val="21"/>
              </w:rPr>
            </w:pPr>
            <w:r>
              <w:rPr>
                <w:sz w:val="21"/>
                <w:szCs w:val="21"/>
              </w:rPr>
              <w:t>PM</w:t>
            </w:r>
            <w:r>
              <w:rPr>
                <w:sz w:val="21"/>
                <w:szCs w:val="21"/>
                <w:vertAlign w:val="subscript"/>
              </w:rPr>
              <w:t>10</w:t>
            </w:r>
          </w:p>
        </w:tc>
        <w:tc>
          <w:tcPr>
            <w:tcW w:w="3487" w:type="dxa"/>
            <w:gridSpan w:val="4"/>
            <w:tcBorders>
              <w:left w:val="single" w:color="auto" w:sz="4" w:space="0"/>
              <w:right w:val="single" w:color="auto" w:sz="4" w:space="0"/>
            </w:tcBorders>
            <w:noWrap w:val="0"/>
            <w:vAlign w:val="center"/>
          </w:tcPr>
          <w:p>
            <w:pPr>
              <w:widowControl/>
              <w:adjustRightInd w:val="0"/>
              <w:snapToGrid w:val="0"/>
              <w:spacing w:line="480" w:lineRule="exact"/>
              <w:jc w:val="center"/>
              <w:rPr>
                <w:kern w:val="0"/>
                <w:sz w:val="21"/>
                <w:szCs w:val="21"/>
              </w:rPr>
            </w:pPr>
            <w:r>
              <w:rPr>
                <w:sz w:val="21"/>
                <w:szCs w:val="21"/>
              </w:rPr>
              <w:t>SO</w:t>
            </w:r>
            <w:r>
              <w:rPr>
                <w:sz w:val="21"/>
                <w:szCs w:val="21"/>
                <w:vertAlign w:val="subscript"/>
              </w:rPr>
              <w:t>2</w:t>
            </w:r>
          </w:p>
        </w:tc>
        <w:tc>
          <w:tcPr>
            <w:tcW w:w="3452" w:type="dxa"/>
            <w:gridSpan w:val="4"/>
            <w:tcBorders>
              <w:left w:val="single" w:color="auto" w:sz="4" w:space="0"/>
            </w:tcBorders>
            <w:noWrap w:val="0"/>
            <w:vAlign w:val="center"/>
          </w:tcPr>
          <w:p>
            <w:pPr>
              <w:widowControl/>
              <w:adjustRightInd w:val="0"/>
              <w:snapToGrid w:val="0"/>
              <w:spacing w:line="480" w:lineRule="exact"/>
              <w:jc w:val="center"/>
              <w:rPr>
                <w:rFonts w:hint="eastAsia"/>
                <w:kern w:val="0"/>
                <w:sz w:val="21"/>
                <w:szCs w:val="21"/>
              </w:rPr>
            </w:pPr>
            <w:r>
              <w:rPr>
                <w:rFonts w:hint="eastAsia"/>
                <w:kern w:val="0"/>
                <w:sz w:val="21"/>
                <w:szCs w:val="21"/>
              </w:rPr>
              <w:t>NO</w:t>
            </w:r>
            <w:r>
              <w:rPr>
                <w:rFonts w:hint="eastAsia"/>
                <w:kern w:val="0"/>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2106" w:type="dxa"/>
            <w:vMerge w:val="continue"/>
            <w:noWrap w:val="0"/>
            <w:vAlign w:val="center"/>
          </w:tcPr>
          <w:p>
            <w:pPr>
              <w:pStyle w:val="33"/>
              <w:snapToGrid w:val="0"/>
              <w:spacing w:line="480" w:lineRule="exact"/>
              <w:ind w:right="-122"/>
              <w:rPr>
                <w:color w:val="auto"/>
              </w:rPr>
            </w:pP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864"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变化量</w:t>
            </w:r>
          </w:p>
        </w:tc>
        <w:tc>
          <w:tcPr>
            <w:tcW w:w="759"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864"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变化量</w:t>
            </w:r>
          </w:p>
        </w:tc>
        <w:tc>
          <w:tcPr>
            <w:tcW w:w="759"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c>
          <w:tcPr>
            <w:tcW w:w="932" w:type="dxa"/>
            <w:tcBorders>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技改项目</w:t>
            </w:r>
          </w:p>
        </w:tc>
        <w:tc>
          <w:tcPr>
            <w:tcW w:w="932"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原有工程</w:t>
            </w:r>
          </w:p>
        </w:tc>
        <w:tc>
          <w:tcPr>
            <w:tcW w:w="794"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变化量</w:t>
            </w:r>
          </w:p>
        </w:tc>
        <w:tc>
          <w:tcPr>
            <w:tcW w:w="794" w:type="dxa"/>
            <w:tcBorders>
              <w:left w:val="single" w:color="auto" w:sz="4" w:space="0"/>
              <w:right w:val="single" w:color="auto" w:sz="4" w:space="0"/>
            </w:tcBorders>
            <w:noWrap w:val="0"/>
            <w:vAlign w:val="center"/>
          </w:tcPr>
          <w:p>
            <w:pPr>
              <w:pStyle w:val="33"/>
              <w:snapToGrid w:val="0"/>
              <w:spacing w:line="480" w:lineRule="exact"/>
              <w:ind w:right="-122"/>
              <w:rPr>
                <w:rFonts w:hint="eastAsia"/>
                <w:color w:val="auto"/>
              </w:rPr>
            </w:pPr>
            <w:r>
              <w:rPr>
                <w:rFonts w:hint="eastAsia"/>
                <w:color w:val="auto"/>
              </w:rPr>
              <w:t>增减率</w:t>
            </w:r>
          </w:p>
          <w:p>
            <w:pPr>
              <w:pStyle w:val="33"/>
              <w:snapToGrid w:val="0"/>
              <w:spacing w:line="480" w:lineRule="exact"/>
              <w:ind w:right="-122"/>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7" w:hRule="atLeast"/>
          <w:jc w:val="center"/>
        </w:trPr>
        <w:tc>
          <w:tcPr>
            <w:tcW w:w="2106" w:type="dxa"/>
            <w:shd w:val="clear" w:color="auto" w:fill="auto"/>
            <w:noWrap w:val="0"/>
            <w:vAlign w:val="center"/>
          </w:tcPr>
          <w:p>
            <w:pPr>
              <w:spacing w:line="480" w:lineRule="exact"/>
              <w:jc w:val="center"/>
              <w:rPr>
                <w:sz w:val="21"/>
                <w:szCs w:val="21"/>
              </w:rPr>
            </w:pPr>
            <w:r>
              <w:rPr>
                <w:sz w:val="21"/>
                <w:szCs w:val="21"/>
              </w:rPr>
              <w:t>大路镇</w:t>
            </w:r>
          </w:p>
        </w:tc>
        <w:tc>
          <w:tcPr>
            <w:tcW w:w="932" w:type="dxa"/>
            <w:tcBorders>
              <w:right w:val="single" w:color="auto" w:sz="4" w:space="0"/>
            </w:tcBorders>
            <w:shd w:val="clear" w:color="auto" w:fill="F3F3F3"/>
            <w:noWrap w:val="0"/>
            <w:vAlign w:val="center"/>
          </w:tcPr>
          <w:p>
            <w:pPr>
              <w:jc w:val="center"/>
              <w:rPr>
                <w:sz w:val="21"/>
                <w:szCs w:val="21"/>
              </w:rPr>
            </w:pPr>
            <w:r>
              <w:rPr>
                <w:sz w:val="21"/>
                <w:szCs w:val="21"/>
              </w:rPr>
              <w:t>0.0397</w:t>
            </w:r>
          </w:p>
        </w:tc>
        <w:tc>
          <w:tcPr>
            <w:tcW w:w="932" w:type="dxa"/>
            <w:tcBorders>
              <w:left w:val="single" w:color="auto" w:sz="4" w:space="0"/>
            </w:tcBorders>
            <w:shd w:val="clear" w:color="auto" w:fill="F3F3F3"/>
            <w:noWrap w:val="0"/>
            <w:vAlign w:val="center"/>
          </w:tcPr>
          <w:p>
            <w:pPr>
              <w:jc w:val="center"/>
              <w:rPr>
                <w:sz w:val="21"/>
                <w:szCs w:val="21"/>
              </w:rPr>
            </w:pPr>
            <w:r>
              <w:rPr>
                <w:sz w:val="21"/>
                <w:szCs w:val="21"/>
              </w:rPr>
              <w:t>0.0694</w:t>
            </w:r>
          </w:p>
        </w:tc>
        <w:tc>
          <w:tcPr>
            <w:tcW w:w="864" w:type="dxa"/>
            <w:tcBorders>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-0.0297</w:t>
            </w:r>
          </w:p>
        </w:tc>
        <w:tc>
          <w:tcPr>
            <w:tcW w:w="759" w:type="dxa"/>
            <w:tcBorders>
              <w:left w:val="single" w:color="auto" w:sz="4" w:space="0"/>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 xml:space="preserve">-42.80 </w:t>
            </w:r>
          </w:p>
        </w:tc>
        <w:tc>
          <w:tcPr>
            <w:tcW w:w="932" w:type="dxa"/>
            <w:tcBorders>
              <w:left w:val="single" w:color="auto" w:sz="4" w:space="0"/>
              <w:right w:val="single" w:color="auto" w:sz="4" w:space="0"/>
            </w:tcBorders>
            <w:shd w:val="clear" w:color="auto" w:fill="F3F3F3"/>
            <w:noWrap w:val="0"/>
            <w:vAlign w:val="center"/>
          </w:tcPr>
          <w:p>
            <w:pPr>
              <w:jc w:val="center"/>
              <w:rPr>
                <w:sz w:val="21"/>
                <w:szCs w:val="21"/>
              </w:rPr>
            </w:pPr>
            <w:r>
              <w:rPr>
                <w:sz w:val="21"/>
                <w:szCs w:val="21"/>
              </w:rPr>
              <w:t>0.0363</w:t>
            </w:r>
          </w:p>
        </w:tc>
        <w:tc>
          <w:tcPr>
            <w:tcW w:w="932" w:type="dxa"/>
            <w:tcBorders>
              <w:left w:val="single" w:color="auto" w:sz="4" w:space="0"/>
            </w:tcBorders>
            <w:shd w:val="clear" w:color="auto" w:fill="F3F3F3"/>
            <w:noWrap w:val="0"/>
            <w:vAlign w:val="center"/>
          </w:tcPr>
          <w:p>
            <w:pPr>
              <w:jc w:val="center"/>
              <w:rPr>
                <w:sz w:val="21"/>
                <w:szCs w:val="21"/>
              </w:rPr>
            </w:pPr>
            <w:r>
              <w:rPr>
                <w:sz w:val="21"/>
                <w:szCs w:val="21"/>
              </w:rPr>
              <w:t>0.1109</w:t>
            </w:r>
          </w:p>
        </w:tc>
        <w:tc>
          <w:tcPr>
            <w:tcW w:w="864" w:type="dxa"/>
            <w:tcBorders>
              <w:righ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-0.0746</w:t>
            </w:r>
          </w:p>
        </w:tc>
        <w:tc>
          <w:tcPr>
            <w:tcW w:w="759" w:type="dxa"/>
            <w:tcBorders>
              <w:left w:val="single" w:color="auto" w:sz="4" w:space="0"/>
            </w:tcBorders>
            <w:shd w:val="clear" w:color="auto" w:fill="F3F3F3"/>
            <w:noWrap w:val="0"/>
            <w:vAlign w:val="center"/>
          </w:tcPr>
          <w:p>
            <w:pPr>
              <w:jc w:val="right"/>
              <w:rPr>
                <w:rFonts w:ascii="宋体" w:hAnsi="宋体" w:cs="宋体"/>
                <w:sz w:val="21"/>
                <w:szCs w:val="21"/>
              </w:rPr>
            </w:pPr>
            <w:r>
              <w:rPr>
                <w:rFonts w:hint="eastAsia"/>
                <w:sz w:val="21"/>
                <w:szCs w:val="21"/>
              </w:rPr>
              <w:t xml:space="preserve">-67.27 </w:t>
            </w:r>
          </w:p>
        </w:tc>
        <w:tc>
          <w:tcPr>
            <w:tcW w:w="932" w:type="dxa"/>
            <w:tcBorders>
              <w:right w:val="single" w:color="auto" w:sz="4" w:space="0"/>
            </w:tcBorders>
            <w:shd w:val="clear" w:color="auto" w:fill="F3F3F3"/>
            <w:noWrap w:val="0"/>
            <w:vAlign w:val="center"/>
          </w:tcPr>
          <w:p>
            <w:pPr>
              <w:jc w:val="center"/>
              <w:rPr>
                <w:sz w:val="21"/>
                <w:szCs w:val="21"/>
              </w:rPr>
            </w:pPr>
            <w:r>
              <w:rPr>
                <w:sz w:val="21"/>
                <w:szCs w:val="21"/>
              </w:rPr>
              <w:t>0.0789</w:t>
            </w:r>
          </w:p>
        </w:tc>
        <w:tc>
          <w:tcPr>
            <w:tcW w:w="932" w:type="dxa"/>
            <w:tcBorders>
              <w:left w:val="single" w:color="auto" w:sz="4" w:space="0"/>
              <w:right w:val="single" w:color="auto" w:sz="4" w:space="0"/>
            </w:tcBorders>
            <w:shd w:val="clear" w:color="auto" w:fill="F3F3F3"/>
            <w:noWrap w:val="0"/>
            <w:vAlign w:val="center"/>
          </w:tcPr>
          <w:p>
            <w:pPr>
              <w:jc w:val="center"/>
              <w:rPr>
                <w:sz w:val="21"/>
                <w:szCs w:val="21"/>
              </w:rPr>
            </w:pPr>
            <w:r>
              <w:rPr>
                <w:sz w:val="21"/>
                <w:szCs w:val="21"/>
              </w:rPr>
              <w:t>0.2050</w:t>
            </w:r>
          </w:p>
        </w:tc>
        <w:tc>
          <w:tcPr>
            <w:tcW w:w="794" w:type="dxa"/>
            <w:tcBorders>
              <w:left w:val="single" w:color="auto" w:sz="4" w:space="0"/>
              <w:right w:val="single" w:color="auto" w:sz="4" w:space="0"/>
            </w:tcBorders>
            <w:shd w:val="clear" w:color="auto" w:fill="F3F3F3"/>
            <w:noWrap w:val="0"/>
            <w:vAlign w:val="center"/>
          </w:tcPr>
          <w:p>
            <w:pPr>
              <w:jc w:val="center"/>
              <w:rPr>
                <w:sz w:val="21"/>
                <w:szCs w:val="21"/>
              </w:rPr>
            </w:pPr>
            <w:r>
              <w:rPr>
                <w:sz w:val="21"/>
                <w:szCs w:val="21"/>
              </w:rPr>
              <w:t>0.1261</w:t>
            </w:r>
          </w:p>
        </w:tc>
        <w:tc>
          <w:tcPr>
            <w:tcW w:w="794" w:type="dxa"/>
            <w:tcBorders>
              <w:left w:val="single" w:color="auto" w:sz="4" w:space="0"/>
            </w:tcBorders>
            <w:shd w:val="clear" w:color="auto" w:fill="F3F3F3"/>
            <w:noWrap w:val="0"/>
            <w:vAlign w:val="center"/>
          </w:tcPr>
          <w:p>
            <w:pPr>
              <w:jc w:val="center"/>
              <w:rPr>
                <w:sz w:val="21"/>
                <w:szCs w:val="21"/>
              </w:rPr>
            </w:pPr>
            <w:r>
              <w:rPr>
                <w:sz w:val="21"/>
                <w:szCs w:val="21"/>
              </w:rPr>
              <w:t>159.98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2106" w:type="dxa"/>
            <w:noWrap w:val="0"/>
            <w:vAlign w:val="center"/>
          </w:tcPr>
          <w:p>
            <w:pPr>
              <w:spacing w:line="480" w:lineRule="exact"/>
              <w:jc w:val="center"/>
              <w:rPr>
                <w:sz w:val="21"/>
                <w:szCs w:val="21"/>
              </w:rPr>
            </w:pPr>
            <w:r>
              <w:rPr>
                <w:rFonts w:hAnsi="宋体"/>
                <w:sz w:val="21"/>
                <w:szCs w:val="21"/>
              </w:rPr>
              <w:t>六塘镇</w:t>
            </w:r>
          </w:p>
        </w:tc>
        <w:tc>
          <w:tcPr>
            <w:tcW w:w="932" w:type="dxa"/>
            <w:tcBorders>
              <w:right w:val="single" w:color="auto" w:sz="4" w:space="0"/>
            </w:tcBorders>
            <w:noWrap w:val="0"/>
            <w:vAlign w:val="center"/>
          </w:tcPr>
          <w:p>
            <w:pPr>
              <w:jc w:val="center"/>
              <w:rPr>
                <w:sz w:val="21"/>
                <w:szCs w:val="21"/>
              </w:rPr>
            </w:pPr>
            <w:r>
              <w:rPr>
                <w:sz w:val="21"/>
                <w:szCs w:val="21"/>
              </w:rPr>
              <w:t>0.0261</w:t>
            </w:r>
          </w:p>
        </w:tc>
        <w:tc>
          <w:tcPr>
            <w:tcW w:w="932" w:type="dxa"/>
            <w:tcBorders>
              <w:left w:val="single" w:color="auto" w:sz="4" w:space="0"/>
            </w:tcBorders>
            <w:noWrap w:val="0"/>
            <w:vAlign w:val="center"/>
          </w:tcPr>
          <w:p>
            <w:pPr>
              <w:jc w:val="center"/>
              <w:rPr>
                <w:sz w:val="21"/>
                <w:szCs w:val="21"/>
              </w:rPr>
            </w:pPr>
            <w:r>
              <w:rPr>
                <w:sz w:val="21"/>
                <w:szCs w:val="21"/>
              </w:rPr>
              <w:t>0.0452</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-0.0191</w:t>
            </w:r>
          </w:p>
        </w:tc>
        <w:tc>
          <w:tcPr>
            <w:tcW w:w="759" w:type="dxa"/>
            <w:tcBorders>
              <w:left w:val="single" w:color="auto" w:sz="4" w:space="0"/>
              <w:right w:val="single" w:color="auto" w:sz="4" w:space="0"/>
            </w:tcBorders>
            <w:noWrap w:val="0"/>
            <w:vAlign w:val="center"/>
          </w:tcPr>
          <w:p>
            <w:pPr>
              <w:jc w:val="right"/>
              <w:rPr>
                <w:rFonts w:ascii="宋体" w:hAnsi="宋体" w:cs="宋体"/>
                <w:sz w:val="21"/>
                <w:szCs w:val="21"/>
              </w:rPr>
            </w:pPr>
            <w:r>
              <w:rPr>
                <w:rFonts w:hint="eastAsia"/>
                <w:sz w:val="21"/>
                <w:szCs w:val="21"/>
              </w:rPr>
              <w:t xml:space="preserve">-42.26 </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0.027</w:t>
            </w:r>
          </w:p>
        </w:tc>
        <w:tc>
          <w:tcPr>
            <w:tcW w:w="932" w:type="dxa"/>
            <w:tcBorders>
              <w:left w:val="single" w:color="auto" w:sz="4" w:space="0"/>
            </w:tcBorders>
            <w:noWrap w:val="0"/>
            <w:vAlign w:val="center"/>
          </w:tcPr>
          <w:p>
            <w:pPr>
              <w:jc w:val="center"/>
              <w:rPr>
                <w:sz w:val="21"/>
                <w:szCs w:val="21"/>
              </w:rPr>
            </w:pPr>
            <w:r>
              <w:rPr>
                <w:sz w:val="21"/>
                <w:szCs w:val="21"/>
              </w:rPr>
              <w:t>0.0742</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-0.0472</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-63.61 </w:t>
            </w:r>
          </w:p>
        </w:tc>
        <w:tc>
          <w:tcPr>
            <w:tcW w:w="932" w:type="dxa"/>
            <w:tcBorders>
              <w:right w:val="single" w:color="auto" w:sz="4" w:space="0"/>
            </w:tcBorders>
            <w:noWrap w:val="0"/>
            <w:vAlign w:val="center"/>
          </w:tcPr>
          <w:p>
            <w:pPr>
              <w:jc w:val="center"/>
              <w:rPr>
                <w:sz w:val="21"/>
                <w:szCs w:val="21"/>
              </w:rPr>
            </w:pPr>
            <w:r>
              <w:rPr>
                <w:sz w:val="21"/>
                <w:szCs w:val="21"/>
              </w:rPr>
              <w:t>0.0528</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0.1520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0.0992</w:t>
            </w:r>
          </w:p>
        </w:tc>
        <w:tc>
          <w:tcPr>
            <w:tcW w:w="794" w:type="dxa"/>
            <w:tcBorders>
              <w:left w:val="single" w:color="auto" w:sz="4" w:space="0"/>
            </w:tcBorders>
            <w:noWrap w:val="0"/>
            <w:vAlign w:val="center"/>
          </w:tcPr>
          <w:p>
            <w:pPr>
              <w:jc w:val="center"/>
              <w:rPr>
                <w:sz w:val="21"/>
                <w:szCs w:val="21"/>
              </w:rPr>
            </w:pPr>
            <w:r>
              <w:rPr>
                <w:sz w:val="21"/>
                <w:szCs w:val="21"/>
              </w:rPr>
              <w:t>187.96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06" w:type="dxa"/>
            <w:noWrap w:val="0"/>
            <w:vAlign w:val="center"/>
          </w:tcPr>
          <w:p>
            <w:pPr>
              <w:spacing w:line="480" w:lineRule="exact"/>
              <w:jc w:val="center"/>
              <w:rPr>
                <w:sz w:val="21"/>
                <w:szCs w:val="21"/>
              </w:rPr>
            </w:pPr>
            <w:r>
              <w:rPr>
                <w:rFonts w:hAnsi="宋体"/>
                <w:sz w:val="21"/>
                <w:szCs w:val="21"/>
              </w:rPr>
              <w:t>接龙镇</w:t>
            </w:r>
          </w:p>
        </w:tc>
        <w:tc>
          <w:tcPr>
            <w:tcW w:w="932" w:type="dxa"/>
            <w:tcBorders>
              <w:right w:val="single" w:color="auto" w:sz="4" w:space="0"/>
            </w:tcBorders>
            <w:noWrap w:val="0"/>
            <w:vAlign w:val="center"/>
          </w:tcPr>
          <w:p>
            <w:pPr>
              <w:jc w:val="center"/>
              <w:rPr>
                <w:sz w:val="21"/>
                <w:szCs w:val="21"/>
              </w:rPr>
            </w:pPr>
            <w:r>
              <w:rPr>
                <w:sz w:val="21"/>
                <w:szCs w:val="21"/>
              </w:rPr>
              <w:t>0.0827</w:t>
            </w:r>
          </w:p>
        </w:tc>
        <w:tc>
          <w:tcPr>
            <w:tcW w:w="932" w:type="dxa"/>
            <w:tcBorders>
              <w:left w:val="single" w:color="auto" w:sz="4" w:space="0"/>
            </w:tcBorders>
            <w:noWrap w:val="0"/>
            <w:vAlign w:val="center"/>
          </w:tcPr>
          <w:p>
            <w:pPr>
              <w:jc w:val="center"/>
              <w:rPr>
                <w:sz w:val="21"/>
                <w:szCs w:val="21"/>
              </w:rPr>
            </w:pPr>
            <w:r>
              <w:rPr>
                <w:sz w:val="21"/>
                <w:szCs w:val="21"/>
              </w:rPr>
              <w:t>0.1295</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-0.0468</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-36.14 </w:t>
            </w:r>
          </w:p>
        </w:tc>
        <w:tc>
          <w:tcPr>
            <w:tcW w:w="932" w:type="dxa"/>
            <w:tcBorders>
              <w:right w:val="single" w:color="auto" w:sz="4" w:space="0"/>
            </w:tcBorders>
            <w:noWrap w:val="0"/>
            <w:vAlign w:val="center"/>
          </w:tcPr>
          <w:p>
            <w:pPr>
              <w:jc w:val="center"/>
              <w:rPr>
                <w:sz w:val="21"/>
                <w:szCs w:val="21"/>
              </w:rPr>
            </w:pPr>
            <w:r>
              <w:rPr>
                <w:sz w:val="21"/>
                <w:szCs w:val="21"/>
              </w:rPr>
              <w:t>0.0961</w:t>
            </w:r>
          </w:p>
        </w:tc>
        <w:tc>
          <w:tcPr>
            <w:tcW w:w="932" w:type="dxa"/>
            <w:tcBorders>
              <w:left w:val="single" w:color="auto" w:sz="4" w:space="0"/>
            </w:tcBorders>
            <w:noWrap w:val="0"/>
            <w:vAlign w:val="center"/>
          </w:tcPr>
          <w:p>
            <w:pPr>
              <w:jc w:val="center"/>
              <w:rPr>
                <w:sz w:val="21"/>
                <w:szCs w:val="21"/>
              </w:rPr>
            </w:pPr>
            <w:r>
              <w:rPr>
                <w:sz w:val="21"/>
                <w:szCs w:val="21"/>
              </w:rPr>
              <w:t>0.2032</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-0.1071</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-52.71 </w:t>
            </w:r>
          </w:p>
        </w:tc>
        <w:tc>
          <w:tcPr>
            <w:tcW w:w="932" w:type="dxa"/>
            <w:tcBorders>
              <w:right w:val="single" w:color="auto" w:sz="4" w:space="0"/>
            </w:tcBorders>
            <w:noWrap w:val="0"/>
            <w:vAlign w:val="center"/>
          </w:tcPr>
          <w:p>
            <w:pPr>
              <w:jc w:val="center"/>
              <w:rPr>
                <w:sz w:val="21"/>
                <w:szCs w:val="21"/>
              </w:rPr>
            </w:pPr>
            <w:r>
              <w:rPr>
                <w:sz w:val="21"/>
                <w:szCs w:val="21"/>
              </w:rPr>
              <w:t>0.1445</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0.5420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0.3975</w:t>
            </w:r>
          </w:p>
        </w:tc>
        <w:tc>
          <w:tcPr>
            <w:tcW w:w="794" w:type="dxa"/>
            <w:tcBorders>
              <w:left w:val="single" w:color="auto" w:sz="4" w:space="0"/>
            </w:tcBorders>
            <w:noWrap w:val="0"/>
            <w:vAlign w:val="center"/>
          </w:tcPr>
          <w:p>
            <w:pPr>
              <w:jc w:val="center"/>
              <w:rPr>
                <w:sz w:val="21"/>
                <w:szCs w:val="21"/>
              </w:rPr>
            </w:pPr>
            <w:r>
              <w:rPr>
                <w:sz w:val="21"/>
                <w:szCs w:val="21"/>
              </w:rPr>
              <w:t>275.04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106" w:type="dxa"/>
            <w:shd w:val="clear" w:color="auto" w:fill="auto"/>
            <w:noWrap w:val="0"/>
            <w:vAlign w:val="center"/>
          </w:tcPr>
          <w:p>
            <w:pPr>
              <w:spacing w:line="480" w:lineRule="exact"/>
              <w:jc w:val="center"/>
              <w:rPr>
                <w:sz w:val="21"/>
                <w:szCs w:val="21"/>
              </w:rPr>
            </w:pPr>
            <w:r>
              <w:rPr>
                <w:rFonts w:hAnsi="宋体"/>
                <w:sz w:val="21"/>
                <w:szCs w:val="21"/>
              </w:rPr>
              <w:t>福里树村</w:t>
            </w:r>
          </w:p>
        </w:tc>
        <w:tc>
          <w:tcPr>
            <w:tcW w:w="932" w:type="dxa"/>
            <w:tcBorders>
              <w:right w:val="single" w:color="auto" w:sz="4" w:space="0"/>
            </w:tcBorders>
            <w:shd w:val="clear" w:color="auto" w:fill="auto"/>
            <w:noWrap w:val="0"/>
            <w:vAlign w:val="center"/>
          </w:tcPr>
          <w:p>
            <w:pPr>
              <w:jc w:val="center"/>
              <w:rPr>
                <w:sz w:val="21"/>
                <w:szCs w:val="21"/>
              </w:rPr>
            </w:pPr>
            <w:r>
              <w:rPr>
                <w:sz w:val="21"/>
                <w:szCs w:val="21"/>
              </w:rPr>
              <w:t>0.322</w:t>
            </w:r>
          </w:p>
        </w:tc>
        <w:tc>
          <w:tcPr>
            <w:tcW w:w="932" w:type="dxa"/>
            <w:tcBorders>
              <w:left w:val="single" w:color="auto" w:sz="4" w:space="0"/>
            </w:tcBorders>
            <w:shd w:val="clear" w:color="auto" w:fill="auto"/>
            <w:noWrap w:val="0"/>
            <w:vAlign w:val="center"/>
          </w:tcPr>
          <w:p>
            <w:pPr>
              <w:jc w:val="center"/>
              <w:rPr>
                <w:sz w:val="21"/>
                <w:szCs w:val="21"/>
              </w:rPr>
            </w:pPr>
            <w:r>
              <w:rPr>
                <w:sz w:val="21"/>
                <w:szCs w:val="21"/>
              </w:rPr>
              <w:t>0.6615</w:t>
            </w:r>
          </w:p>
        </w:tc>
        <w:tc>
          <w:tcPr>
            <w:tcW w:w="864" w:type="dxa"/>
            <w:tcBorders>
              <w:righ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-0.3395</w:t>
            </w:r>
          </w:p>
        </w:tc>
        <w:tc>
          <w:tcPr>
            <w:tcW w:w="759" w:type="dxa"/>
            <w:tcBorders>
              <w:lef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 xml:space="preserve">-51.32 </w:t>
            </w:r>
          </w:p>
        </w:tc>
        <w:tc>
          <w:tcPr>
            <w:tcW w:w="932" w:type="dxa"/>
            <w:tcBorders>
              <w:right w:val="single" w:color="auto" w:sz="4" w:space="0"/>
            </w:tcBorders>
            <w:noWrap w:val="0"/>
            <w:vAlign w:val="center"/>
          </w:tcPr>
          <w:p>
            <w:pPr>
              <w:jc w:val="center"/>
              <w:rPr>
                <w:sz w:val="21"/>
                <w:szCs w:val="21"/>
              </w:rPr>
            </w:pPr>
            <w:r>
              <w:rPr>
                <w:sz w:val="21"/>
                <w:szCs w:val="21"/>
              </w:rPr>
              <w:t>0.287</w:t>
            </w:r>
          </w:p>
        </w:tc>
        <w:tc>
          <w:tcPr>
            <w:tcW w:w="932" w:type="dxa"/>
            <w:tcBorders>
              <w:left w:val="single" w:color="auto" w:sz="4" w:space="0"/>
            </w:tcBorders>
            <w:noWrap w:val="0"/>
            <w:vAlign w:val="center"/>
          </w:tcPr>
          <w:p>
            <w:pPr>
              <w:jc w:val="center"/>
              <w:rPr>
                <w:sz w:val="21"/>
                <w:szCs w:val="21"/>
              </w:rPr>
            </w:pPr>
            <w:r>
              <w:rPr>
                <w:sz w:val="21"/>
                <w:szCs w:val="21"/>
              </w:rPr>
              <w:t>1.0503</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-0.7633</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-72.67 </w:t>
            </w:r>
          </w:p>
        </w:tc>
        <w:tc>
          <w:tcPr>
            <w:tcW w:w="932" w:type="dxa"/>
            <w:tcBorders>
              <w:right w:val="single" w:color="auto" w:sz="4" w:space="0"/>
            </w:tcBorders>
            <w:noWrap w:val="0"/>
            <w:vAlign w:val="center"/>
          </w:tcPr>
          <w:p>
            <w:pPr>
              <w:jc w:val="center"/>
              <w:rPr>
                <w:sz w:val="21"/>
                <w:szCs w:val="21"/>
              </w:rPr>
            </w:pPr>
            <w:r>
              <w:rPr>
                <w:sz w:val="21"/>
                <w:szCs w:val="21"/>
              </w:rPr>
              <w:t>0.7474</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1.6200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0.8726</w:t>
            </w:r>
          </w:p>
        </w:tc>
        <w:tc>
          <w:tcPr>
            <w:tcW w:w="794" w:type="dxa"/>
            <w:tcBorders>
              <w:left w:val="single" w:color="auto" w:sz="4" w:space="0"/>
            </w:tcBorders>
            <w:noWrap w:val="0"/>
            <w:vAlign w:val="center"/>
          </w:tcPr>
          <w:p>
            <w:pPr>
              <w:jc w:val="center"/>
              <w:rPr>
                <w:sz w:val="21"/>
                <w:szCs w:val="21"/>
              </w:rPr>
            </w:pPr>
            <w:r>
              <w:rPr>
                <w:sz w:val="21"/>
                <w:szCs w:val="21"/>
              </w:rPr>
              <w:t>116.74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106" w:type="dxa"/>
            <w:shd w:val="clear" w:color="auto" w:fill="auto"/>
            <w:noWrap w:val="0"/>
            <w:vAlign w:val="center"/>
          </w:tcPr>
          <w:p>
            <w:pPr>
              <w:spacing w:line="480" w:lineRule="exact"/>
              <w:jc w:val="center"/>
              <w:rPr>
                <w:sz w:val="21"/>
                <w:szCs w:val="21"/>
              </w:rPr>
            </w:pPr>
            <w:r>
              <w:rPr>
                <w:rFonts w:hAnsi="宋体"/>
                <w:sz w:val="21"/>
                <w:szCs w:val="21"/>
              </w:rPr>
              <w:t>殷家老院子</w:t>
            </w:r>
          </w:p>
        </w:tc>
        <w:tc>
          <w:tcPr>
            <w:tcW w:w="932" w:type="dxa"/>
            <w:tcBorders>
              <w:right w:val="single" w:color="auto" w:sz="4" w:space="0"/>
            </w:tcBorders>
            <w:shd w:val="clear" w:color="auto" w:fill="auto"/>
            <w:noWrap w:val="0"/>
            <w:vAlign w:val="center"/>
          </w:tcPr>
          <w:p>
            <w:pPr>
              <w:jc w:val="center"/>
              <w:rPr>
                <w:sz w:val="21"/>
                <w:szCs w:val="21"/>
              </w:rPr>
            </w:pPr>
            <w:r>
              <w:rPr>
                <w:sz w:val="21"/>
                <w:szCs w:val="21"/>
              </w:rPr>
              <w:t>0.148</w:t>
            </w:r>
          </w:p>
        </w:tc>
        <w:tc>
          <w:tcPr>
            <w:tcW w:w="932" w:type="dxa"/>
            <w:tcBorders>
              <w:left w:val="single" w:color="auto" w:sz="4" w:space="0"/>
            </w:tcBorders>
            <w:shd w:val="clear" w:color="auto" w:fill="auto"/>
            <w:noWrap w:val="0"/>
            <w:vAlign w:val="center"/>
          </w:tcPr>
          <w:p>
            <w:pPr>
              <w:jc w:val="center"/>
              <w:rPr>
                <w:sz w:val="21"/>
                <w:szCs w:val="21"/>
              </w:rPr>
            </w:pPr>
            <w:r>
              <w:rPr>
                <w:sz w:val="21"/>
                <w:szCs w:val="21"/>
              </w:rPr>
              <w:t>0.2548</w:t>
            </w:r>
          </w:p>
        </w:tc>
        <w:tc>
          <w:tcPr>
            <w:tcW w:w="864" w:type="dxa"/>
            <w:tcBorders>
              <w:righ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-0.1068</w:t>
            </w:r>
          </w:p>
        </w:tc>
        <w:tc>
          <w:tcPr>
            <w:tcW w:w="759" w:type="dxa"/>
            <w:tcBorders>
              <w:left w:val="single" w:color="auto" w:sz="4" w:space="0"/>
            </w:tcBorders>
            <w:shd w:val="clear" w:color="auto" w:fill="auto"/>
            <w:noWrap w:val="0"/>
            <w:vAlign w:val="center"/>
          </w:tcPr>
          <w:p>
            <w:pPr>
              <w:jc w:val="right"/>
              <w:rPr>
                <w:rFonts w:ascii="宋体" w:hAnsi="宋体" w:cs="宋体"/>
                <w:sz w:val="21"/>
                <w:szCs w:val="21"/>
              </w:rPr>
            </w:pPr>
            <w:r>
              <w:rPr>
                <w:rFonts w:hint="eastAsia"/>
                <w:sz w:val="21"/>
                <w:szCs w:val="21"/>
              </w:rPr>
              <w:t xml:space="preserve">-41.92 </w:t>
            </w:r>
          </w:p>
        </w:tc>
        <w:tc>
          <w:tcPr>
            <w:tcW w:w="932" w:type="dxa"/>
            <w:tcBorders>
              <w:right w:val="single" w:color="auto" w:sz="4" w:space="0"/>
            </w:tcBorders>
            <w:shd w:val="clear" w:color="auto" w:fill="auto"/>
            <w:noWrap w:val="0"/>
            <w:vAlign w:val="center"/>
          </w:tcPr>
          <w:p>
            <w:pPr>
              <w:jc w:val="center"/>
              <w:rPr>
                <w:sz w:val="21"/>
                <w:szCs w:val="21"/>
              </w:rPr>
            </w:pPr>
            <w:r>
              <w:rPr>
                <w:sz w:val="21"/>
                <w:szCs w:val="21"/>
              </w:rPr>
              <w:t>0.165</w:t>
            </w:r>
          </w:p>
        </w:tc>
        <w:tc>
          <w:tcPr>
            <w:tcW w:w="932" w:type="dxa"/>
            <w:tcBorders>
              <w:left w:val="single" w:color="auto" w:sz="4" w:space="0"/>
            </w:tcBorders>
            <w:shd w:val="clear" w:color="auto" w:fill="auto"/>
            <w:noWrap w:val="0"/>
            <w:vAlign w:val="center"/>
          </w:tcPr>
          <w:p>
            <w:pPr>
              <w:jc w:val="center"/>
              <w:rPr>
                <w:sz w:val="21"/>
                <w:szCs w:val="21"/>
              </w:rPr>
            </w:pPr>
            <w:r>
              <w:rPr>
                <w:sz w:val="21"/>
                <w:szCs w:val="21"/>
              </w:rPr>
              <w:t>0.3916</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-0.2266</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-57.87 </w:t>
            </w:r>
          </w:p>
        </w:tc>
        <w:tc>
          <w:tcPr>
            <w:tcW w:w="932" w:type="dxa"/>
            <w:tcBorders>
              <w:right w:val="single" w:color="auto" w:sz="4" w:space="0"/>
            </w:tcBorders>
            <w:noWrap w:val="0"/>
            <w:vAlign w:val="center"/>
          </w:tcPr>
          <w:p>
            <w:pPr>
              <w:jc w:val="center"/>
              <w:rPr>
                <w:sz w:val="21"/>
                <w:szCs w:val="21"/>
              </w:rPr>
            </w:pPr>
            <w:r>
              <w:rPr>
                <w:sz w:val="21"/>
                <w:szCs w:val="21"/>
              </w:rPr>
              <w:t>0.2784</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0.9310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0.6526</w:t>
            </w:r>
          </w:p>
        </w:tc>
        <w:tc>
          <w:tcPr>
            <w:tcW w:w="794" w:type="dxa"/>
            <w:tcBorders>
              <w:left w:val="single" w:color="auto" w:sz="4" w:space="0"/>
            </w:tcBorders>
            <w:noWrap w:val="0"/>
            <w:vAlign w:val="center"/>
          </w:tcPr>
          <w:p>
            <w:pPr>
              <w:jc w:val="center"/>
              <w:rPr>
                <w:sz w:val="21"/>
                <w:szCs w:val="21"/>
              </w:rPr>
            </w:pPr>
            <w:r>
              <w:rPr>
                <w:sz w:val="21"/>
                <w:szCs w:val="21"/>
              </w:rPr>
              <w:t>234.36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2106" w:type="dxa"/>
            <w:noWrap w:val="0"/>
            <w:vAlign w:val="center"/>
          </w:tcPr>
          <w:p>
            <w:pPr>
              <w:spacing w:line="480" w:lineRule="exact"/>
              <w:jc w:val="center"/>
              <w:rPr>
                <w:sz w:val="21"/>
                <w:szCs w:val="21"/>
              </w:rPr>
            </w:pPr>
            <w:r>
              <w:rPr>
                <w:rFonts w:hAnsi="宋体"/>
                <w:sz w:val="21"/>
                <w:szCs w:val="21"/>
              </w:rPr>
              <w:t>璧山县</w:t>
            </w:r>
          </w:p>
        </w:tc>
        <w:tc>
          <w:tcPr>
            <w:tcW w:w="932" w:type="dxa"/>
            <w:tcBorders>
              <w:right w:val="single" w:color="auto" w:sz="4" w:space="0"/>
            </w:tcBorders>
            <w:noWrap w:val="0"/>
            <w:vAlign w:val="center"/>
          </w:tcPr>
          <w:p>
            <w:pPr>
              <w:jc w:val="center"/>
              <w:rPr>
                <w:sz w:val="21"/>
                <w:szCs w:val="21"/>
              </w:rPr>
            </w:pPr>
            <w:r>
              <w:rPr>
                <w:sz w:val="21"/>
                <w:szCs w:val="21"/>
              </w:rPr>
              <w:t>0.0347</w:t>
            </w:r>
          </w:p>
        </w:tc>
        <w:tc>
          <w:tcPr>
            <w:tcW w:w="932" w:type="dxa"/>
            <w:tcBorders>
              <w:left w:val="single" w:color="auto" w:sz="4" w:space="0"/>
            </w:tcBorders>
            <w:noWrap w:val="0"/>
            <w:vAlign w:val="center"/>
          </w:tcPr>
          <w:p>
            <w:pPr>
              <w:jc w:val="center"/>
              <w:rPr>
                <w:sz w:val="21"/>
                <w:szCs w:val="21"/>
              </w:rPr>
            </w:pPr>
            <w:r>
              <w:rPr>
                <w:sz w:val="21"/>
                <w:szCs w:val="21"/>
              </w:rPr>
              <w:t>0.0694</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-0.0347</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-50.00 </w:t>
            </w:r>
          </w:p>
        </w:tc>
        <w:tc>
          <w:tcPr>
            <w:tcW w:w="932" w:type="dxa"/>
            <w:tcBorders>
              <w:right w:val="single" w:color="auto" w:sz="4" w:space="0"/>
            </w:tcBorders>
            <w:noWrap w:val="0"/>
            <w:vAlign w:val="center"/>
          </w:tcPr>
          <w:p>
            <w:pPr>
              <w:jc w:val="center"/>
              <w:rPr>
                <w:sz w:val="21"/>
                <w:szCs w:val="21"/>
              </w:rPr>
            </w:pPr>
            <w:r>
              <w:rPr>
                <w:sz w:val="21"/>
                <w:szCs w:val="21"/>
              </w:rPr>
              <w:t>0.0228</w:t>
            </w:r>
          </w:p>
        </w:tc>
        <w:tc>
          <w:tcPr>
            <w:tcW w:w="932" w:type="dxa"/>
            <w:tcBorders>
              <w:left w:val="single" w:color="auto" w:sz="4" w:space="0"/>
            </w:tcBorders>
            <w:noWrap w:val="0"/>
            <w:vAlign w:val="center"/>
          </w:tcPr>
          <w:p>
            <w:pPr>
              <w:jc w:val="center"/>
              <w:rPr>
                <w:sz w:val="21"/>
                <w:szCs w:val="21"/>
              </w:rPr>
            </w:pPr>
            <w:r>
              <w:rPr>
                <w:sz w:val="21"/>
                <w:szCs w:val="21"/>
              </w:rPr>
              <w:t>0.1063</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-0.0835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-78.55 </w:t>
            </w:r>
          </w:p>
        </w:tc>
        <w:tc>
          <w:tcPr>
            <w:tcW w:w="932" w:type="dxa"/>
            <w:tcBorders>
              <w:right w:val="single" w:color="auto" w:sz="4" w:space="0"/>
            </w:tcBorders>
            <w:noWrap w:val="0"/>
            <w:vAlign w:val="center"/>
          </w:tcPr>
          <w:p>
            <w:pPr>
              <w:jc w:val="center"/>
              <w:rPr>
                <w:sz w:val="21"/>
                <w:szCs w:val="21"/>
              </w:rPr>
            </w:pPr>
            <w:r>
              <w:rPr>
                <w:sz w:val="21"/>
                <w:szCs w:val="21"/>
              </w:rPr>
              <w:t>0.0755</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0.1290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0.0535</w:t>
            </w:r>
          </w:p>
        </w:tc>
        <w:tc>
          <w:tcPr>
            <w:tcW w:w="794" w:type="dxa"/>
            <w:tcBorders>
              <w:left w:val="single" w:color="auto" w:sz="4" w:space="0"/>
            </w:tcBorders>
            <w:noWrap w:val="0"/>
            <w:vAlign w:val="center"/>
          </w:tcPr>
          <w:p>
            <w:pPr>
              <w:jc w:val="center"/>
              <w:rPr>
                <w:sz w:val="21"/>
                <w:szCs w:val="21"/>
              </w:rPr>
            </w:pPr>
            <w:r>
              <w:rPr>
                <w:sz w:val="21"/>
                <w:szCs w:val="21"/>
              </w:rPr>
              <w:t>70.80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2106" w:type="dxa"/>
            <w:noWrap w:val="0"/>
            <w:vAlign w:val="center"/>
          </w:tcPr>
          <w:p>
            <w:pPr>
              <w:spacing w:line="480" w:lineRule="exact"/>
              <w:jc w:val="center"/>
              <w:rPr>
                <w:sz w:val="21"/>
                <w:szCs w:val="21"/>
              </w:rPr>
            </w:pPr>
            <w:r>
              <w:rPr>
                <w:rFonts w:hAnsi="宋体"/>
                <w:sz w:val="21"/>
                <w:szCs w:val="21"/>
              </w:rPr>
              <w:t>青鹏煤业公司</w:t>
            </w:r>
            <w:r>
              <w:rPr>
                <w:rFonts w:hint="eastAsia" w:hAnsi="宋体"/>
                <w:sz w:val="21"/>
                <w:szCs w:val="21"/>
              </w:rPr>
              <w:t>家属院</w:t>
            </w:r>
          </w:p>
        </w:tc>
        <w:tc>
          <w:tcPr>
            <w:tcW w:w="932" w:type="dxa"/>
            <w:tcBorders>
              <w:right w:val="single" w:color="auto" w:sz="4" w:space="0"/>
            </w:tcBorders>
            <w:noWrap w:val="0"/>
            <w:vAlign w:val="center"/>
          </w:tcPr>
          <w:p>
            <w:pPr>
              <w:jc w:val="center"/>
              <w:rPr>
                <w:sz w:val="21"/>
                <w:szCs w:val="21"/>
              </w:rPr>
            </w:pPr>
            <w:r>
              <w:rPr>
                <w:sz w:val="21"/>
                <w:szCs w:val="21"/>
              </w:rPr>
              <w:t>0.167</w:t>
            </w:r>
          </w:p>
        </w:tc>
        <w:tc>
          <w:tcPr>
            <w:tcW w:w="932" w:type="dxa"/>
            <w:tcBorders>
              <w:left w:val="single" w:color="auto" w:sz="4" w:space="0"/>
            </w:tcBorders>
            <w:noWrap w:val="0"/>
            <w:vAlign w:val="center"/>
          </w:tcPr>
          <w:p>
            <w:pPr>
              <w:jc w:val="center"/>
              <w:rPr>
                <w:sz w:val="21"/>
                <w:szCs w:val="21"/>
              </w:rPr>
            </w:pPr>
            <w:r>
              <w:rPr>
                <w:sz w:val="21"/>
                <w:szCs w:val="21"/>
              </w:rPr>
              <w:t>0.2414</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-0.0744</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-30.82 </w:t>
            </w:r>
          </w:p>
        </w:tc>
        <w:tc>
          <w:tcPr>
            <w:tcW w:w="932" w:type="dxa"/>
            <w:tcBorders>
              <w:right w:val="single" w:color="auto" w:sz="4" w:space="0"/>
            </w:tcBorders>
            <w:noWrap w:val="0"/>
            <w:vAlign w:val="center"/>
          </w:tcPr>
          <w:p>
            <w:pPr>
              <w:jc w:val="center"/>
              <w:rPr>
                <w:sz w:val="21"/>
                <w:szCs w:val="21"/>
              </w:rPr>
            </w:pPr>
            <w:r>
              <w:rPr>
                <w:sz w:val="21"/>
                <w:szCs w:val="21"/>
              </w:rPr>
              <w:t>0.241</w:t>
            </w:r>
          </w:p>
        </w:tc>
        <w:tc>
          <w:tcPr>
            <w:tcW w:w="932" w:type="dxa"/>
            <w:tcBorders>
              <w:left w:val="single" w:color="auto" w:sz="4" w:space="0"/>
            </w:tcBorders>
            <w:noWrap w:val="0"/>
            <w:vAlign w:val="center"/>
          </w:tcPr>
          <w:p>
            <w:pPr>
              <w:jc w:val="center"/>
              <w:rPr>
                <w:sz w:val="21"/>
                <w:szCs w:val="21"/>
              </w:rPr>
            </w:pPr>
            <w:r>
              <w:rPr>
                <w:sz w:val="21"/>
                <w:szCs w:val="21"/>
              </w:rPr>
              <w:t>0.453</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-0.212</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-46.80 </w:t>
            </w:r>
          </w:p>
        </w:tc>
        <w:tc>
          <w:tcPr>
            <w:tcW w:w="932" w:type="dxa"/>
            <w:tcBorders>
              <w:right w:val="single" w:color="auto" w:sz="4" w:space="0"/>
            </w:tcBorders>
            <w:noWrap w:val="0"/>
            <w:vAlign w:val="center"/>
          </w:tcPr>
          <w:p>
            <w:pPr>
              <w:jc w:val="center"/>
              <w:rPr>
                <w:sz w:val="21"/>
                <w:szCs w:val="21"/>
              </w:rPr>
            </w:pPr>
            <w:r>
              <w:rPr>
                <w:sz w:val="21"/>
                <w:szCs w:val="21"/>
              </w:rPr>
              <w:t>0.3227</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1.3600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1.0373</w:t>
            </w:r>
          </w:p>
        </w:tc>
        <w:tc>
          <w:tcPr>
            <w:tcW w:w="794" w:type="dxa"/>
            <w:tcBorders>
              <w:left w:val="single" w:color="auto" w:sz="4" w:space="0"/>
            </w:tcBorders>
            <w:noWrap w:val="0"/>
            <w:vAlign w:val="center"/>
          </w:tcPr>
          <w:p>
            <w:pPr>
              <w:jc w:val="center"/>
              <w:rPr>
                <w:sz w:val="21"/>
                <w:szCs w:val="21"/>
              </w:rPr>
            </w:pPr>
            <w:r>
              <w:rPr>
                <w:sz w:val="21"/>
                <w:szCs w:val="21"/>
              </w:rPr>
              <w:t>321.38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2106" w:type="dxa"/>
            <w:noWrap w:val="0"/>
            <w:vAlign w:val="center"/>
          </w:tcPr>
          <w:p>
            <w:pPr>
              <w:spacing w:line="480" w:lineRule="exact"/>
              <w:jc w:val="center"/>
              <w:rPr>
                <w:sz w:val="21"/>
                <w:szCs w:val="21"/>
              </w:rPr>
            </w:pPr>
            <w:r>
              <w:rPr>
                <w:rFonts w:hAnsi="宋体"/>
                <w:sz w:val="21"/>
                <w:szCs w:val="21"/>
              </w:rPr>
              <w:t>青木关镇</w:t>
            </w:r>
          </w:p>
        </w:tc>
        <w:tc>
          <w:tcPr>
            <w:tcW w:w="932" w:type="dxa"/>
            <w:tcBorders>
              <w:right w:val="single" w:color="auto" w:sz="4" w:space="0"/>
            </w:tcBorders>
            <w:noWrap w:val="0"/>
            <w:vAlign w:val="center"/>
          </w:tcPr>
          <w:p>
            <w:pPr>
              <w:jc w:val="center"/>
              <w:rPr>
                <w:sz w:val="21"/>
                <w:szCs w:val="21"/>
              </w:rPr>
            </w:pPr>
            <w:r>
              <w:rPr>
                <w:sz w:val="21"/>
                <w:szCs w:val="21"/>
              </w:rPr>
              <w:t>0.16</w:t>
            </w:r>
          </w:p>
        </w:tc>
        <w:tc>
          <w:tcPr>
            <w:tcW w:w="932" w:type="dxa"/>
            <w:tcBorders>
              <w:left w:val="single" w:color="auto" w:sz="4" w:space="0"/>
            </w:tcBorders>
            <w:noWrap w:val="0"/>
            <w:vAlign w:val="center"/>
          </w:tcPr>
          <w:p>
            <w:pPr>
              <w:jc w:val="center"/>
              <w:rPr>
                <w:sz w:val="21"/>
                <w:szCs w:val="21"/>
              </w:rPr>
            </w:pPr>
            <w:r>
              <w:rPr>
                <w:sz w:val="21"/>
                <w:szCs w:val="21"/>
              </w:rPr>
              <w:t>0.1933</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-0.0333</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-17.23 </w:t>
            </w:r>
          </w:p>
        </w:tc>
        <w:tc>
          <w:tcPr>
            <w:tcW w:w="932" w:type="dxa"/>
            <w:tcBorders>
              <w:right w:val="single" w:color="auto" w:sz="4" w:space="0"/>
            </w:tcBorders>
            <w:noWrap w:val="0"/>
            <w:vAlign w:val="center"/>
          </w:tcPr>
          <w:p>
            <w:pPr>
              <w:jc w:val="center"/>
              <w:rPr>
                <w:sz w:val="21"/>
                <w:szCs w:val="21"/>
              </w:rPr>
            </w:pPr>
            <w:r>
              <w:rPr>
                <w:sz w:val="21"/>
                <w:szCs w:val="21"/>
              </w:rPr>
              <w:t>0.179</w:t>
            </w:r>
          </w:p>
        </w:tc>
        <w:tc>
          <w:tcPr>
            <w:tcW w:w="932" w:type="dxa"/>
            <w:tcBorders>
              <w:left w:val="single" w:color="auto" w:sz="4" w:space="0"/>
            </w:tcBorders>
            <w:noWrap w:val="0"/>
            <w:vAlign w:val="center"/>
          </w:tcPr>
          <w:p>
            <w:pPr>
              <w:jc w:val="center"/>
              <w:rPr>
                <w:sz w:val="21"/>
                <w:szCs w:val="21"/>
              </w:rPr>
            </w:pPr>
            <w:r>
              <w:rPr>
                <w:sz w:val="21"/>
                <w:szCs w:val="21"/>
              </w:rPr>
              <w:t>0.3395</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-0.1605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-47.28 </w:t>
            </w:r>
          </w:p>
        </w:tc>
        <w:tc>
          <w:tcPr>
            <w:tcW w:w="932" w:type="dxa"/>
            <w:tcBorders>
              <w:right w:val="single" w:color="auto" w:sz="4" w:space="0"/>
            </w:tcBorders>
            <w:noWrap w:val="0"/>
            <w:vAlign w:val="center"/>
          </w:tcPr>
          <w:p>
            <w:pPr>
              <w:jc w:val="center"/>
              <w:rPr>
                <w:sz w:val="21"/>
                <w:szCs w:val="21"/>
              </w:rPr>
            </w:pPr>
            <w:r>
              <w:rPr>
                <w:sz w:val="21"/>
                <w:szCs w:val="21"/>
              </w:rPr>
              <w:t>0.2419</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1.0100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0.7681</w:t>
            </w:r>
          </w:p>
        </w:tc>
        <w:tc>
          <w:tcPr>
            <w:tcW w:w="794" w:type="dxa"/>
            <w:tcBorders>
              <w:left w:val="single" w:color="auto" w:sz="4" w:space="0"/>
            </w:tcBorders>
            <w:noWrap w:val="0"/>
            <w:vAlign w:val="center"/>
          </w:tcPr>
          <w:p>
            <w:pPr>
              <w:jc w:val="center"/>
              <w:rPr>
                <w:sz w:val="21"/>
                <w:szCs w:val="21"/>
              </w:rPr>
            </w:pPr>
            <w:r>
              <w:rPr>
                <w:sz w:val="21"/>
                <w:szCs w:val="21"/>
              </w:rPr>
              <w:t>317.61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2106" w:type="dxa"/>
            <w:noWrap w:val="0"/>
            <w:vAlign w:val="center"/>
          </w:tcPr>
          <w:p>
            <w:pPr>
              <w:spacing w:line="480" w:lineRule="exact"/>
              <w:jc w:val="center"/>
              <w:rPr>
                <w:sz w:val="21"/>
                <w:szCs w:val="21"/>
              </w:rPr>
            </w:pPr>
            <w:r>
              <w:rPr>
                <w:rFonts w:hAnsi="宋体"/>
                <w:sz w:val="21"/>
                <w:szCs w:val="21"/>
              </w:rPr>
              <w:t>凤凰镇</w:t>
            </w:r>
          </w:p>
        </w:tc>
        <w:tc>
          <w:tcPr>
            <w:tcW w:w="932" w:type="dxa"/>
            <w:tcBorders>
              <w:right w:val="single" w:color="auto" w:sz="4" w:space="0"/>
            </w:tcBorders>
            <w:noWrap w:val="0"/>
            <w:vAlign w:val="center"/>
          </w:tcPr>
          <w:p>
            <w:pPr>
              <w:jc w:val="center"/>
              <w:rPr>
                <w:sz w:val="21"/>
                <w:szCs w:val="21"/>
              </w:rPr>
            </w:pPr>
            <w:r>
              <w:rPr>
                <w:sz w:val="21"/>
                <w:szCs w:val="21"/>
              </w:rPr>
              <w:t>0.0354</w:t>
            </w:r>
          </w:p>
        </w:tc>
        <w:tc>
          <w:tcPr>
            <w:tcW w:w="932" w:type="dxa"/>
            <w:tcBorders>
              <w:left w:val="single" w:color="auto" w:sz="4" w:space="0"/>
            </w:tcBorders>
            <w:noWrap w:val="0"/>
            <w:vAlign w:val="center"/>
          </w:tcPr>
          <w:p>
            <w:pPr>
              <w:jc w:val="center"/>
              <w:rPr>
                <w:sz w:val="21"/>
                <w:szCs w:val="21"/>
              </w:rPr>
            </w:pPr>
            <w:r>
              <w:rPr>
                <w:sz w:val="21"/>
                <w:szCs w:val="21"/>
              </w:rPr>
              <w:t>0.0547</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-0.0193</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-35.28 </w:t>
            </w:r>
          </w:p>
        </w:tc>
        <w:tc>
          <w:tcPr>
            <w:tcW w:w="932" w:type="dxa"/>
            <w:tcBorders>
              <w:right w:val="single" w:color="auto" w:sz="4" w:space="0"/>
            </w:tcBorders>
            <w:noWrap w:val="0"/>
            <w:vAlign w:val="center"/>
          </w:tcPr>
          <w:p>
            <w:pPr>
              <w:jc w:val="center"/>
              <w:rPr>
                <w:sz w:val="21"/>
                <w:szCs w:val="21"/>
              </w:rPr>
            </w:pPr>
            <w:r>
              <w:rPr>
                <w:sz w:val="21"/>
                <w:szCs w:val="21"/>
              </w:rPr>
              <w:t>0.0333</w:t>
            </w:r>
          </w:p>
        </w:tc>
        <w:tc>
          <w:tcPr>
            <w:tcW w:w="932" w:type="dxa"/>
            <w:tcBorders>
              <w:left w:val="single" w:color="auto" w:sz="4" w:space="0"/>
            </w:tcBorders>
            <w:noWrap w:val="0"/>
            <w:vAlign w:val="center"/>
          </w:tcPr>
          <w:p>
            <w:pPr>
              <w:jc w:val="center"/>
              <w:rPr>
                <w:sz w:val="21"/>
                <w:szCs w:val="21"/>
              </w:rPr>
            </w:pPr>
            <w:r>
              <w:rPr>
                <w:sz w:val="21"/>
                <w:szCs w:val="21"/>
              </w:rPr>
              <w:t>0.075</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-0.0417</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-55.60 </w:t>
            </w:r>
          </w:p>
        </w:tc>
        <w:tc>
          <w:tcPr>
            <w:tcW w:w="932" w:type="dxa"/>
            <w:tcBorders>
              <w:right w:val="single" w:color="auto" w:sz="4" w:space="0"/>
            </w:tcBorders>
            <w:noWrap w:val="0"/>
            <w:vAlign w:val="center"/>
          </w:tcPr>
          <w:p>
            <w:pPr>
              <w:jc w:val="center"/>
              <w:rPr>
                <w:sz w:val="21"/>
                <w:szCs w:val="21"/>
              </w:rPr>
            </w:pPr>
            <w:r>
              <w:rPr>
                <w:sz w:val="21"/>
                <w:szCs w:val="21"/>
              </w:rPr>
              <w:t>0.0534</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0.1880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0.1346</w:t>
            </w:r>
          </w:p>
        </w:tc>
        <w:tc>
          <w:tcPr>
            <w:tcW w:w="794" w:type="dxa"/>
            <w:tcBorders>
              <w:left w:val="single" w:color="auto" w:sz="4" w:space="0"/>
            </w:tcBorders>
            <w:noWrap w:val="0"/>
            <w:vAlign w:val="center"/>
          </w:tcPr>
          <w:p>
            <w:pPr>
              <w:jc w:val="center"/>
              <w:rPr>
                <w:sz w:val="21"/>
                <w:szCs w:val="21"/>
              </w:rPr>
            </w:pPr>
            <w:r>
              <w:rPr>
                <w:sz w:val="21"/>
                <w:szCs w:val="21"/>
              </w:rPr>
              <w:t>252.25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06" w:type="dxa"/>
            <w:noWrap w:val="0"/>
            <w:vAlign w:val="center"/>
          </w:tcPr>
          <w:p>
            <w:pPr>
              <w:spacing w:line="480" w:lineRule="exact"/>
              <w:jc w:val="center"/>
              <w:rPr>
                <w:sz w:val="21"/>
                <w:szCs w:val="21"/>
              </w:rPr>
            </w:pPr>
            <w:r>
              <w:rPr>
                <w:rFonts w:hAnsi="宋体"/>
                <w:sz w:val="21"/>
                <w:szCs w:val="21"/>
              </w:rPr>
              <w:t>管家桥村</w:t>
            </w:r>
          </w:p>
        </w:tc>
        <w:tc>
          <w:tcPr>
            <w:tcW w:w="932" w:type="dxa"/>
            <w:tcBorders>
              <w:right w:val="single" w:color="auto" w:sz="4" w:space="0"/>
            </w:tcBorders>
            <w:noWrap w:val="0"/>
            <w:vAlign w:val="center"/>
          </w:tcPr>
          <w:p>
            <w:pPr>
              <w:jc w:val="center"/>
              <w:rPr>
                <w:sz w:val="21"/>
                <w:szCs w:val="21"/>
              </w:rPr>
            </w:pPr>
            <w:r>
              <w:rPr>
                <w:sz w:val="21"/>
                <w:szCs w:val="21"/>
              </w:rPr>
              <w:t>0.626</w:t>
            </w:r>
          </w:p>
        </w:tc>
        <w:tc>
          <w:tcPr>
            <w:tcW w:w="932" w:type="dxa"/>
            <w:tcBorders>
              <w:left w:val="single" w:color="auto" w:sz="4" w:space="0"/>
            </w:tcBorders>
            <w:noWrap w:val="0"/>
            <w:vAlign w:val="center"/>
          </w:tcPr>
          <w:p>
            <w:pPr>
              <w:jc w:val="center"/>
              <w:rPr>
                <w:sz w:val="21"/>
                <w:szCs w:val="21"/>
              </w:rPr>
            </w:pPr>
            <w:r>
              <w:rPr>
                <w:sz w:val="21"/>
                <w:szCs w:val="21"/>
              </w:rPr>
              <w:t>0.7574</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-0.1314</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-17.35 </w:t>
            </w:r>
          </w:p>
        </w:tc>
        <w:tc>
          <w:tcPr>
            <w:tcW w:w="932" w:type="dxa"/>
            <w:tcBorders>
              <w:right w:val="single" w:color="auto" w:sz="4" w:space="0"/>
            </w:tcBorders>
            <w:noWrap w:val="0"/>
            <w:vAlign w:val="center"/>
          </w:tcPr>
          <w:p>
            <w:pPr>
              <w:jc w:val="center"/>
              <w:rPr>
                <w:sz w:val="21"/>
                <w:szCs w:val="21"/>
              </w:rPr>
            </w:pPr>
            <w:r>
              <w:rPr>
                <w:sz w:val="21"/>
                <w:szCs w:val="21"/>
              </w:rPr>
              <w:t>0.969</w:t>
            </w:r>
          </w:p>
        </w:tc>
        <w:tc>
          <w:tcPr>
            <w:tcW w:w="932" w:type="dxa"/>
            <w:tcBorders>
              <w:left w:val="single" w:color="auto" w:sz="4" w:space="0"/>
            </w:tcBorders>
            <w:noWrap w:val="0"/>
            <w:vAlign w:val="center"/>
          </w:tcPr>
          <w:p>
            <w:pPr>
              <w:jc w:val="center"/>
              <w:rPr>
                <w:sz w:val="21"/>
                <w:szCs w:val="21"/>
              </w:rPr>
            </w:pPr>
            <w:r>
              <w:rPr>
                <w:sz w:val="21"/>
                <w:szCs w:val="21"/>
              </w:rPr>
              <w:t>1.0615</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-0.0925</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-8.71 </w:t>
            </w:r>
          </w:p>
        </w:tc>
        <w:tc>
          <w:tcPr>
            <w:tcW w:w="932" w:type="dxa"/>
            <w:tcBorders>
              <w:right w:val="single" w:color="auto" w:sz="4" w:space="0"/>
            </w:tcBorders>
            <w:noWrap w:val="0"/>
            <w:vAlign w:val="center"/>
          </w:tcPr>
          <w:p>
            <w:pPr>
              <w:jc w:val="center"/>
              <w:rPr>
                <w:sz w:val="21"/>
                <w:szCs w:val="21"/>
              </w:rPr>
            </w:pPr>
            <w:r>
              <w:rPr>
                <w:sz w:val="21"/>
                <w:szCs w:val="21"/>
              </w:rPr>
              <w:t>0.7546</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5.4600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4.7054</w:t>
            </w:r>
          </w:p>
        </w:tc>
        <w:tc>
          <w:tcPr>
            <w:tcW w:w="794" w:type="dxa"/>
            <w:tcBorders>
              <w:left w:val="single" w:color="auto" w:sz="4" w:space="0"/>
            </w:tcBorders>
            <w:noWrap w:val="0"/>
            <w:vAlign w:val="center"/>
          </w:tcPr>
          <w:p>
            <w:pPr>
              <w:jc w:val="center"/>
              <w:rPr>
                <w:sz w:val="21"/>
                <w:szCs w:val="21"/>
              </w:rPr>
            </w:pPr>
            <w:r>
              <w:rPr>
                <w:sz w:val="21"/>
                <w:szCs w:val="21"/>
              </w:rPr>
              <w:t>623.59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02" w:hRule="atLeast"/>
          <w:jc w:val="center"/>
        </w:trPr>
        <w:tc>
          <w:tcPr>
            <w:tcW w:w="2106" w:type="dxa"/>
            <w:noWrap w:val="0"/>
            <w:vAlign w:val="center"/>
          </w:tcPr>
          <w:p>
            <w:pPr>
              <w:spacing w:line="480" w:lineRule="exact"/>
              <w:jc w:val="center"/>
              <w:rPr>
                <w:sz w:val="21"/>
                <w:szCs w:val="21"/>
              </w:rPr>
            </w:pPr>
            <w:r>
              <w:rPr>
                <w:rFonts w:hAnsi="宋体"/>
                <w:sz w:val="21"/>
                <w:szCs w:val="21"/>
              </w:rPr>
              <w:t>陈家桥镇</w:t>
            </w:r>
          </w:p>
        </w:tc>
        <w:tc>
          <w:tcPr>
            <w:tcW w:w="932" w:type="dxa"/>
            <w:tcBorders>
              <w:right w:val="single" w:color="auto" w:sz="4" w:space="0"/>
            </w:tcBorders>
            <w:noWrap w:val="0"/>
            <w:vAlign w:val="center"/>
          </w:tcPr>
          <w:p>
            <w:pPr>
              <w:jc w:val="center"/>
              <w:rPr>
                <w:sz w:val="21"/>
                <w:szCs w:val="21"/>
              </w:rPr>
            </w:pPr>
            <w:r>
              <w:rPr>
                <w:sz w:val="21"/>
                <w:szCs w:val="21"/>
              </w:rPr>
              <w:t>0.259</w:t>
            </w:r>
          </w:p>
        </w:tc>
        <w:tc>
          <w:tcPr>
            <w:tcW w:w="932" w:type="dxa"/>
            <w:tcBorders>
              <w:left w:val="single" w:color="auto" w:sz="4" w:space="0"/>
            </w:tcBorders>
            <w:noWrap w:val="0"/>
            <w:vAlign w:val="center"/>
          </w:tcPr>
          <w:p>
            <w:pPr>
              <w:jc w:val="center"/>
              <w:rPr>
                <w:sz w:val="21"/>
                <w:szCs w:val="21"/>
              </w:rPr>
            </w:pPr>
            <w:r>
              <w:rPr>
                <w:sz w:val="21"/>
                <w:szCs w:val="21"/>
              </w:rPr>
              <w:t>0.4666</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-0.2076</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-44.49 </w:t>
            </w:r>
          </w:p>
        </w:tc>
        <w:tc>
          <w:tcPr>
            <w:tcW w:w="932" w:type="dxa"/>
            <w:tcBorders>
              <w:right w:val="single" w:color="auto" w:sz="4" w:space="0"/>
            </w:tcBorders>
            <w:noWrap w:val="0"/>
            <w:vAlign w:val="center"/>
          </w:tcPr>
          <w:p>
            <w:pPr>
              <w:jc w:val="center"/>
              <w:rPr>
                <w:sz w:val="21"/>
                <w:szCs w:val="21"/>
              </w:rPr>
            </w:pPr>
            <w:r>
              <w:rPr>
                <w:sz w:val="21"/>
                <w:szCs w:val="21"/>
              </w:rPr>
              <w:t>0.272</w:t>
            </w:r>
          </w:p>
        </w:tc>
        <w:tc>
          <w:tcPr>
            <w:tcW w:w="932" w:type="dxa"/>
            <w:tcBorders>
              <w:left w:val="single" w:color="auto" w:sz="4" w:space="0"/>
            </w:tcBorders>
            <w:noWrap w:val="0"/>
            <w:vAlign w:val="center"/>
          </w:tcPr>
          <w:p>
            <w:pPr>
              <w:jc w:val="center"/>
              <w:rPr>
                <w:sz w:val="21"/>
                <w:szCs w:val="21"/>
              </w:rPr>
            </w:pPr>
            <w:r>
              <w:rPr>
                <w:sz w:val="21"/>
                <w:szCs w:val="21"/>
              </w:rPr>
              <w:t>0.6709</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-0.3989</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-59.46 </w:t>
            </w:r>
          </w:p>
        </w:tc>
        <w:tc>
          <w:tcPr>
            <w:tcW w:w="932" w:type="dxa"/>
            <w:tcBorders>
              <w:right w:val="single" w:color="auto" w:sz="4" w:space="0"/>
            </w:tcBorders>
            <w:noWrap w:val="0"/>
            <w:vAlign w:val="center"/>
          </w:tcPr>
          <w:p>
            <w:pPr>
              <w:jc w:val="center"/>
              <w:rPr>
                <w:sz w:val="21"/>
                <w:szCs w:val="21"/>
              </w:rPr>
            </w:pPr>
            <w:r>
              <w:rPr>
                <w:sz w:val="21"/>
                <w:szCs w:val="21"/>
              </w:rPr>
              <w:t>0.4772</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1.5300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1.0528</w:t>
            </w:r>
          </w:p>
        </w:tc>
        <w:tc>
          <w:tcPr>
            <w:tcW w:w="794" w:type="dxa"/>
            <w:tcBorders>
              <w:left w:val="single" w:color="auto" w:sz="4" w:space="0"/>
            </w:tcBorders>
            <w:noWrap w:val="0"/>
            <w:vAlign w:val="center"/>
          </w:tcPr>
          <w:p>
            <w:pPr>
              <w:jc w:val="center"/>
              <w:rPr>
                <w:sz w:val="21"/>
                <w:szCs w:val="21"/>
              </w:rPr>
            </w:pPr>
            <w:r>
              <w:rPr>
                <w:sz w:val="21"/>
                <w:szCs w:val="21"/>
              </w:rPr>
              <w:t>220.65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2106" w:type="dxa"/>
            <w:noWrap w:val="0"/>
            <w:vAlign w:val="center"/>
          </w:tcPr>
          <w:p>
            <w:pPr>
              <w:spacing w:line="480" w:lineRule="exact"/>
              <w:jc w:val="center"/>
              <w:rPr>
                <w:sz w:val="21"/>
                <w:szCs w:val="21"/>
              </w:rPr>
            </w:pPr>
            <w:r>
              <w:rPr>
                <w:rFonts w:hAnsi="宋体"/>
                <w:sz w:val="21"/>
                <w:szCs w:val="21"/>
              </w:rPr>
              <w:t>大学城</w:t>
            </w:r>
          </w:p>
        </w:tc>
        <w:tc>
          <w:tcPr>
            <w:tcW w:w="932" w:type="dxa"/>
            <w:tcBorders>
              <w:right w:val="single" w:color="auto" w:sz="4" w:space="0"/>
            </w:tcBorders>
            <w:noWrap w:val="0"/>
            <w:vAlign w:val="center"/>
          </w:tcPr>
          <w:p>
            <w:pPr>
              <w:jc w:val="center"/>
              <w:rPr>
                <w:sz w:val="21"/>
                <w:szCs w:val="21"/>
              </w:rPr>
            </w:pPr>
            <w:r>
              <w:rPr>
                <w:sz w:val="21"/>
                <w:szCs w:val="21"/>
              </w:rPr>
              <w:t>0.151</w:t>
            </w:r>
          </w:p>
        </w:tc>
        <w:tc>
          <w:tcPr>
            <w:tcW w:w="932" w:type="dxa"/>
            <w:tcBorders>
              <w:left w:val="single" w:color="auto" w:sz="4" w:space="0"/>
            </w:tcBorders>
            <w:noWrap w:val="0"/>
            <w:vAlign w:val="center"/>
          </w:tcPr>
          <w:p>
            <w:pPr>
              <w:jc w:val="center"/>
              <w:rPr>
                <w:sz w:val="21"/>
                <w:szCs w:val="21"/>
              </w:rPr>
            </w:pPr>
            <w:r>
              <w:rPr>
                <w:sz w:val="21"/>
                <w:szCs w:val="21"/>
              </w:rPr>
              <w:t>0.2854</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-0.1344</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-47.09 </w:t>
            </w:r>
          </w:p>
        </w:tc>
        <w:tc>
          <w:tcPr>
            <w:tcW w:w="932" w:type="dxa"/>
            <w:tcBorders>
              <w:right w:val="single" w:color="auto" w:sz="4" w:space="0"/>
            </w:tcBorders>
            <w:noWrap w:val="0"/>
            <w:vAlign w:val="center"/>
          </w:tcPr>
          <w:p>
            <w:pPr>
              <w:jc w:val="center"/>
              <w:rPr>
                <w:sz w:val="21"/>
                <w:szCs w:val="21"/>
              </w:rPr>
            </w:pPr>
            <w:r>
              <w:rPr>
                <w:sz w:val="21"/>
                <w:szCs w:val="21"/>
              </w:rPr>
              <w:t>0.133</w:t>
            </w:r>
          </w:p>
        </w:tc>
        <w:tc>
          <w:tcPr>
            <w:tcW w:w="932" w:type="dxa"/>
            <w:tcBorders>
              <w:left w:val="single" w:color="auto" w:sz="4" w:space="0"/>
            </w:tcBorders>
            <w:noWrap w:val="0"/>
            <w:vAlign w:val="center"/>
          </w:tcPr>
          <w:p>
            <w:pPr>
              <w:jc w:val="center"/>
              <w:rPr>
                <w:sz w:val="21"/>
                <w:szCs w:val="21"/>
              </w:rPr>
            </w:pPr>
            <w:r>
              <w:rPr>
                <w:sz w:val="21"/>
                <w:szCs w:val="21"/>
              </w:rPr>
              <w:t>0.4149</w:t>
            </w:r>
          </w:p>
        </w:tc>
        <w:tc>
          <w:tcPr>
            <w:tcW w:w="864" w:type="dxa"/>
            <w:tcBorders>
              <w:right w:val="single" w:color="auto" w:sz="4" w:space="0"/>
            </w:tcBorders>
            <w:noWrap w:val="0"/>
            <w:vAlign w:val="center"/>
          </w:tcPr>
          <w:p>
            <w:pPr>
              <w:jc w:val="right"/>
              <w:rPr>
                <w:rFonts w:ascii="宋体" w:hAnsi="宋体" w:cs="宋体"/>
                <w:sz w:val="21"/>
                <w:szCs w:val="21"/>
              </w:rPr>
            </w:pPr>
            <w:r>
              <w:rPr>
                <w:rFonts w:hint="eastAsia"/>
                <w:sz w:val="21"/>
                <w:szCs w:val="21"/>
              </w:rPr>
              <w:t>-0.2819</w:t>
            </w:r>
          </w:p>
        </w:tc>
        <w:tc>
          <w:tcPr>
            <w:tcW w:w="759" w:type="dxa"/>
            <w:tcBorders>
              <w:left w:val="single" w:color="auto" w:sz="4" w:space="0"/>
            </w:tcBorders>
            <w:noWrap w:val="0"/>
            <w:vAlign w:val="center"/>
          </w:tcPr>
          <w:p>
            <w:pPr>
              <w:jc w:val="right"/>
              <w:rPr>
                <w:rFonts w:ascii="宋体" w:hAnsi="宋体" w:cs="宋体"/>
                <w:sz w:val="21"/>
                <w:szCs w:val="21"/>
              </w:rPr>
            </w:pPr>
            <w:r>
              <w:rPr>
                <w:rFonts w:hint="eastAsia"/>
                <w:sz w:val="21"/>
                <w:szCs w:val="21"/>
              </w:rPr>
              <w:t xml:space="preserve">-67.94 </w:t>
            </w:r>
          </w:p>
        </w:tc>
        <w:tc>
          <w:tcPr>
            <w:tcW w:w="932" w:type="dxa"/>
            <w:tcBorders>
              <w:right w:val="single" w:color="auto" w:sz="4" w:space="0"/>
            </w:tcBorders>
            <w:noWrap w:val="0"/>
            <w:vAlign w:val="center"/>
          </w:tcPr>
          <w:p>
            <w:pPr>
              <w:jc w:val="center"/>
              <w:rPr>
                <w:sz w:val="21"/>
                <w:szCs w:val="21"/>
              </w:rPr>
            </w:pPr>
            <w:r>
              <w:rPr>
                <w:sz w:val="21"/>
                <w:szCs w:val="21"/>
              </w:rPr>
              <w:t>0.2950</w:t>
            </w:r>
          </w:p>
        </w:tc>
        <w:tc>
          <w:tcPr>
            <w:tcW w:w="932" w:type="dxa"/>
            <w:tcBorders>
              <w:left w:val="single" w:color="auto" w:sz="4" w:space="0"/>
              <w:right w:val="single" w:color="auto" w:sz="4" w:space="0"/>
            </w:tcBorders>
            <w:noWrap w:val="0"/>
            <w:vAlign w:val="center"/>
          </w:tcPr>
          <w:p>
            <w:pPr>
              <w:jc w:val="center"/>
              <w:rPr>
                <w:sz w:val="21"/>
                <w:szCs w:val="21"/>
              </w:rPr>
            </w:pPr>
            <w:r>
              <w:rPr>
                <w:sz w:val="21"/>
                <w:szCs w:val="21"/>
              </w:rPr>
              <w:t>0.7480</w:t>
            </w:r>
          </w:p>
        </w:tc>
        <w:tc>
          <w:tcPr>
            <w:tcW w:w="794" w:type="dxa"/>
            <w:tcBorders>
              <w:left w:val="single" w:color="auto" w:sz="4" w:space="0"/>
              <w:right w:val="single" w:color="auto" w:sz="4" w:space="0"/>
            </w:tcBorders>
            <w:noWrap w:val="0"/>
            <w:vAlign w:val="center"/>
          </w:tcPr>
          <w:p>
            <w:pPr>
              <w:jc w:val="center"/>
              <w:rPr>
                <w:sz w:val="21"/>
                <w:szCs w:val="21"/>
              </w:rPr>
            </w:pPr>
            <w:r>
              <w:rPr>
                <w:sz w:val="21"/>
                <w:szCs w:val="21"/>
              </w:rPr>
              <w:t>0.4530</w:t>
            </w:r>
          </w:p>
        </w:tc>
        <w:tc>
          <w:tcPr>
            <w:tcW w:w="794" w:type="dxa"/>
            <w:tcBorders>
              <w:left w:val="single" w:color="auto" w:sz="4" w:space="0"/>
            </w:tcBorders>
            <w:noWrap w:val="0"/>
            <w:vAlign w:val="center"/>
          </w:tcPr>
          <w:p>
            <w:pPr>
              <w:jc w:val="center"/>
              <w:rPr>
                <w:sz w:val="21"/>
                <w:szCs w:val="21"/>
              </w:rPr>
            </w:pPr>
            <w:r>
              <w:rPr>
                <w:sz w:val="21"/>
                <w:szCs w:val="21"/>
              </w:rPr>
              <w:t>153.54</w:t>
            </w:r>
          </w:p>
        </w:tc>
      </w:tr>
    </w:tbl>
    <w:p>
      <w:pPr>
        <w:adjustRightInd w:val="0"/>
        <w:snapToGrid w:val="0"/>
        <w:spacing w:line="480" w:lineRule="exact"/>
        <w:ind w:firstLine="480"/>
        <w:rPr>
          <w:rFonts w:hint="eastAsia"/>
        </w:rPr>
        <w:sectPr>
          <w:pgSz w:w="16838" w:h="11906" w:orient="landscape"/>
          <w:pgMar w:top="1418" w:right="1418" w:bottom="1418" w:left="1418" w:header="851" w:footer="992" w:gutter="0"/>
          <w:paperSrc w:first="20070" w:other="20070"/>
          <w:cols w:space="425" w:num="1"/>
          <w:docGrid w:linePitch="312" w:charSpace="0"/>
        </w:sectPr>
      </w:pPr>
    </w:p>
    <w:bookmarkEnd w:id="323"/>
    <w:bookmarkEnd w:id="324"/>
    <w:bookmarkEnd w:id="325"/>
    <w:bookmarkEnd w:id="326"/>
    <w:p>
      <w:pPr>
        <w:autoSpaceDE w:val="0"/>
        <w:autoSpaceDN w:val="0"/>
        <w:adjustRightInd w:val="0"/>
        <w:spacing w:line="480" w:lineRule="exact"/>
        <w:ind w:firstLine="315" w:firstLineChars="150"/>
        <w:jc w:val="left"/>
      </w:pPr>
      <w:bookmarkStart w:id="331" w:name="_Toc473281530"/>
      <w:bookmarkStart w:id="332" w:name="_Toc189814172"/>
      <w:bookmarkStart w:id="333" w:name="_Toc165607390"/>
      <w:bookmarkStart w:id="334" w:name="_Toc175479832"/>
      <w:r>
        <w:rPr>
          <w:rFonts w:hint="eastAsia"/>
        </w:rPr>
        <w:t>（8）</w:t>
      </w:r>
      <w:r>
        <w:t>大气环境防护距离</w:t>
      </w:r>
    </w:p>
    <w:p>
      <w:pPr>
        <w:spacing w:line="480" w:lineRule="exact"/>
        <w:ind w:firstLine="315" w:firstLineChars="150"/>
      </w:pPr>
      <w:r>
        <w:rPr>
          <w:rFonts w:hint="eastAsia"/>
        </w:rPr>
        <w:t>技改</w:t>
      </w:r>
      <w:r>
        <w:t>项目无组织排放主要有</w:t>
      </w:r>
      <w:r>
        <w:rPr>
          <w:rFonts w:hint="eastAsia"/>
        </w:rPr>
        <w:t>石灰石堆场，</w:t>
      </w:r>
      <w:r>
        <w:t>无组织排放源强为</w:t>
      </w:r>
      <w:r>
        <w:rPr>
          <w:rFonts w:hint="eastAsia"/>
        </w:rPr>
        <w:t>粉尘28.73</w:t>
      </w:r>
      <w:r>
        <w:t>t/a。根据拟建项目各无组织排放源的相关计算参数计算大气环境防护距离，计算结果见表</w:t>
      </w:r>
      <w:r>
        <w:rPr>
          <w:rFonts w:hint="eastAsia"/>
        </w:rPr>
        <w:t>8-20</w:t>
      </w:r>
      <w:r>
        <w:t>。</w:t>
      </w:r>
    </w:p>
    <w:p>
      <w:pPr>
        <w:spacing w:line="480" w:lineRule="exact"/>
        <w:ind w:firstLine="316" w:firstLineChars="150"/>
        <w:jc w:val="center"/>
        <w:rPr>
          <w:b/>
        </w:rPr>
      </w:pPr>
      <w:r>
        <w:rPr>
          <w:b/>
        </w:rPr>
        <w:t>表</w:t>
      </w:r>
      <w:r>
        <w:rPr>
          <w:rFonts w:hint="eastAsia"/>
          <w:b/>
        </w:rPr>
        <w:t>8-20</w:t>
      </w:r>
      <w:r>
        <w:rPr>
          <w:b/>
        </w:rPr>
        <w:t xml:space="preserve">  大气环境防护距离   单位：m</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292"/>
        <w:gridCol w:w="846"/>
        <w:gridCol w:w="900"/>
        <w:gridCol w:w="900"/>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noWrap w:val="0"/>
            <w:vAlign w:val="center"/>
          </w:tcPr>
          <w:p>
            <w:pPr>
              <w:adjustRightInd w:val="0"/>
              <w:snapToGrid w:val="0"/>
              <w:spacing w:line="480" w:lineRule="exact"/>
              <w:jc w:val="center"/>
              <w:rPr>
                <w:sz w:val="21"/>
                <w:szCs w:val="21"/>
              </w:rPr>
            </w:pPr>
            <w:r>
              <w:rPr>
                <w:sz w:val="21"/>
                <w:szCs w:val="21"/>
              </w:rPr>
              <w:t>无组织排放源</w:t>
            </w:r>
          </w:p>
        </w:tc>
        <w:tc>
          <w:tcPr>
            <w:tcW w:w="1292" w:type="dxa"/>
            <w:noWrap w:val="0"/>
            <w:vAlign w:val="center"/>
          </w:tcPr>
          <w:p>
            <w:pPr>
              <w:adjustRightInd w:val="0"/>
              <w:snapToGrid w:val="0"/>
              <w:spacing w:line="480" w:lineRule="exact"/>
              <w:jc w:val="center"/>
              <w:rPr>
                <w:sz w:val="21"/>
                <w:szCs w:val="21"/>
              </w:rPr>
            </w:pPr>
            <w:r>
              <w:rPr>
                <w:sz w:val="21"/>
                <w:szCs w:val="21"/>
              </w:rPr>
              <w:t>污染物</w:t>
            </w:r>
          </w:p>
        </w:tc>
        <w:tc>
          <w:tcPr>
            <w:tcW w:w="846" w:type="dxa"/>
            <w:noWrap w:val="0"/>
            <w:vAlign w:val="center"/>
          </w:tcPr>
          <w:p>
            <w:pPr>
              <w:adjustRightInd w:val="0"/>
              <w:snapToGrid w:val="0"/>
              <w:spacing w:line="480" w:lineRule="exact"/>
              <w:jc w:val="center"/>
              <w:rPr>
                <w:sz w:val="21"/>
                <w:szCs w:val="21"/>
              </w:rPr>
            </w:pPr>
            <w:r>
              <w:rPr>
                <w:sz w:val="21"/>
                <w:szCs w:val="21"/>
              </w:rPr>
              <w:t>长</w:t>
            </w:r>
          </w:p>
        </w:tc>
        <w:tc>
          <w:tcPr>
            <w:tcW w:w="900" w:type="dxa"/>
            <w:noWrap w:val="0"/>
            <w:vAlign w:val="center"/>
          </w:tcPr>
          <w:p>
            <w:pPr>
              <w:adjustRightInd w:val="0"/>
              <w:snapToGrid w:val="0"/>
              <w:spacing w:line="480" w:lineRule="exact"/>
              <w:jc w:val="center"/>
              <w:rPr>
                <w:sz w:val="21"/>
                <w:szCs w:val="21"/>
              </w:rPr>
            </w:pPr>
            <w:r>
              <w:rPr>
                <w:sz w:val="21"/>
                <w:szCs w:val="21"/>
              </w:rPr>
              <w:t>宽</w:t>
            </w:r>
          </w:p>
        </w:tc>
        <w:tc>
          <w:tcPr>
            <w:tcW w:w="900" w:type="dxa"/>
            <w:noWrap w:val="0"/>
            <w:vAlign w:val="center"/>
          </w:tcPr>
          <w:p>
            <w:pPr>
              <w:adjustRightInd w:val="0"/>
              <w:snapToGrid w:val="0"/>
              <w:spacing w:line="480" w:lineRule="exact"/>
              <w:jc w:val="center"/>
              <w:rPr>
                <w:sz w:val="21"/>
                <w:szCs w:val="21"/>
              </w:rPr>
            </w:pPr>
            <w:r>
              <w:rPr>
                <w:sz w:val="21"/>
                <w:szCs w:val="21"/>
              </w:rPr>
              <w:t>高</w:t>
            </w:r>
          </w:p>
        </w:tc>
        <w:tc>
          <w:tcPr>
            <w:tcW w:w="3036" w:type="dxa"/>
            <w:noWrap w:val="0"/>
            <w:vAlign w:val="center"/>
          </w:tcPr>
          <w:p>
            <w:pPr>
              <w:adjustRightInd w:val="0"/>
              <w:snapToGrid w:val="0"/>
              <w:spacing w:line="480" w:lineRule="exact"/>
              <w:jc w:val="center"/>
              <w:rPr>
                <w:sz w:val="21"/>
                <w:szCs w:val="21"/>
              </w:rPr>
            </w:pPr>
            <w:r>
              <w:rPr>
                <w:sz w:val="21"/>
                <w:szCs w:val="21"/>
              </w:rPr>
              <w:t>大气环境距离（距面源中心）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dxa"/>
            <w:noWrap w:val="0"/>
            <w:vAlign w:val="center"/>
          </w:tcPr>
          <w:p>
            <w:pPr>
              <w:adjustRightInd w:val="0"/>
              <w:snapToGrid w:val="0"/>
              <w:spacing w:line="480" w:lineRule="exact"/>
              <w:rPr>
                <w:rFonts w:hint="eastAsia"/>
                <w:sz w:val="21"/>
                <w:szCs w:val="21"/>
              </w:rPr>
            </w:pPr>
            <w:r>
              <w:rPr>
                <w:rFonts w:hint="eastAsia"/>
                <w:sz w:val="21"/>
                <w:szCs w:val="21"/>
              </w:rPr>
              <w:t>石灰石堆场</w:t>
            </w:r>
          </w:p>
        </w:tc>
        <w:tc>
          <w:tcPr>
            <w:tcW w:w="1292" w:type="dxa"/>
            <w:noWrap w:val="0"/>
            <w:vAlign w:val="center"/>
          </w:tcPr>
          <w:p>
            <w:pPr>
              <w:adjustRightInd w:val="0"/>
              <w:snapToGrid w:val="0"/>
              <w:spacing w:line="480" w:lineRule="exact"/>
              <w:jc w:val="center"/>
              <w:rPr>
                <w:sz w:val="21"/>
                <w:szCs w:val="21"/>
              </w:rPr>
            </w:pPr>
            <w:r>
              <w:rPr>
                <w:sz w:val="21"/>
                <w:szCs w:val="21"/>
              </w:rPr>
              <w:t>粉尘</w:t>
            </w:r>
          </w:p>
        </w:tc>
        <w:tc>
          <w:tcPr>
            <w:tcW w:w="846" w:type="dxa"/>
            <w:noWrap w:val="0"/>
            <w:vAlign w:val="center"/>
          </w:tcPr>
          <w:p>
            <w:pPr>
              <w:adjustRightInd w:val="0"/>
              <w:snapToGrid w:val="0"/>
              <w:spacing w:line="480" w:lineRule="exact"/>
              <w:jc w:val="center"/>
              <w:rPr>
                <w:rFonts w:hint="eastAsia"/>
                <w:sz w:val="21"/>
                <w:szCs w:val="21"/>
              </w:rPr>
            </w:pPr>
            <w:r>
              <w:rPr>
                <w:rFonts w:hint="eastAsia"/>
                <w:sz w:val="21"/>
                <w:szCs w:val="21"/>
              </w:rPr>
              <w:t>60</w:t>
            </w:r>
          </w:p>
        </w:tc>
        <w:tc>
          <w:tcPr>
            <w:tcW w:w="900" w:type="dxa"/>
            <w:noWrap w:val="0"/>
            <w:vAlign w:val="center"/>
          </w:tcPr>
          <w:p>
            <w:pPr>
              <w:adjustRightInd w:val="0"/>
              <w:snapToGrid w:val="0"/>
              <w:spacing w:line="480" w:lineRule="exact"/>
              <w:jc w:val="center"/>
              <w:rPr>
                <w:rFonts w:hint="eastAsia"/>
                <w:sz w:val="21"/>
                <w:szCs w:val="21"/>
              </w:rPr>
            </w:pPr>
            <w:r>
              <w:rPr>
                <w:rFonts w:hint="eastAsia"/>
                <w:sz w:val="21"/>
                <w:szCs w:val="21"/>
              </w:rPr>
              <w:t>40</w:t>
            </w:r>
          </w:p>
        </w:tc>
        <w:tc>
          <w:tcPr>
            <w:tcW w:w="900" w:type="dxa"/>
            <w:noWrap w:val="0"/>
            <w:vAlign w:val="center"/>
          </w:tcPr>
          <w:p>
            <w:pPr>
              <w:adjustRightInd w:val="0"/>
              <w:snapToGrid w:val="0"/>
              <w:spacing w:line="480" w:lineRule="exact"/>
              <w:jc w:val="center"/>
              <w:rPr>
                <w:rFonts w:hint="eastAsia"/>
                <w:sz w:val="21"/>
                <w:szCs w:val="21"/>
              </w:rPr>
            </w:pPr>
            <w:r>
              <w:rPr>
                <w:rFonts w:hint="eastAsia"/>
                <w:sz w:val="21"/>
                <w:szCs w:val="21"/>
              </w:rPr>
              <w:t>2.5</w:t>
            </w:r>
          </w:p>
        </w:tc>
        <w:tc>
          <w:tcPr>
            <w:tcW w:w="3036" w:type="dxa"/>
            <w:noWrap w:val="0"/>
            <w:vAlign w:val="center"/>
          </w:tcPr>
          <w:p>
            <w:pPr>
              <w:adjustRightInd w:val="0"/>
              <w:snapToGrid w:val="0"/>
              <w:spacing w:line="480" w:lineRule="exact"/>
              <w:jc w:val="center"/>
              <w:rPr>
                <w:rFonts w:hint="eastAsia"/>
                <w:sz w:val="21"/>
                <w:szCs w:val="21"/>
              </w:rPr>
            </w:pPr>
            <w:r>
              <w:rPr>
                <w:rFonts w:hint="eastAsia"/>
                <w:sz w:val="21"/>
                <w:szCs w:val="21"/>
              </w:rPr>
              <w:t>200</w:t>
            </w:r>
          </w:p>
        </w:tc>
      </w:tr>
    </w:tbl>
    <w:p>
      <w:pPr>
        <w:autoSpaceDE w:val="0"/>
        <w:autoSpaceDN w:val="0"/>
        <w:adjustRightInd w:val="0"/>
        <w:spacing w:line="360" w:lineRule="auto"/>
        <w:ind w:firstLine="420" w:firstLineChars="200"/>
        <w:jc w:val="left"/>
        <w:rPr>
          <w:rFonts w:hint="eastAsia"/>
        </w:rPr>
      </w:pPr>
    </w:p>
    <w:p>
      <w:pPr>
        <w:spacing w:line="460" w:lineRule="exact"/>
        <w:ind w:firstLine="420" w:firstLineChars="200"/>
        <w:rPr>
          <w:rFonts w:hint="eastAsia"/>
          <w:b/>
          <w:bCs/>
        </w:rPr>
      </w:pPr>
      <w:r>
        <w:rPr>
          <w:kern w:val="0"/>
        </w:rPr>
        <w:t>根据计算结果，</w:t>
      </w:r>
      <w:r>
        <w:rPr>
          <w:rFonts w:hint="eastAsia"/>
          <w:kern w:val="0"/>
        </w:rPr>
        <w:t>技改</w:t>
      </w:r>
      <w:r>
        <w:rPr>
          <w:kern w:val="0"/>
        </w:rPr>
        <w:t>项目最终确定的大气环境防护距离为距</w:t>
      </w:r>
      <w:r>
        <w:rPr>
          <w:rFonts w:hint="eastAsia"/>
          <w:kern w:val="0"/>
        </w:rPr>
        <w:t>石灰石堆场200</w:t>
      </w:r>
      <w:r>
        <w:rPr>
          <w:kern w:val="0"/>
        </w:rPr>
        <w:t>m，</w:t>
      </w:r>
      <w:r>
        <w:rPr>
          <w:rFonts w:hint="eastAsia"/>
          <w:kern w:val="0"/>
        </w:rPr>
        <w:t xml:space="preserve"> </w:t>
      </w:r>
      <w:r>
        <w:rPr>
          <w:kern w:val="0"/>
        </w:rPr>
        <w:t>搬迁项目实施后大气防护距离包络线见图</w:t>
      </w:r>
      <w:r>
        <w:rPr>
          <w:rFonts w:hint="eastAsia"/>
          <w:kern w:val="0"/>
        </w:rPr>
        <w:t>3</w:t>
      </w:r>
      <w:r>
        <w:rPr>
          <w:kern w:val="0"/>
        </w:rPr>
        <w:t>.2。</w:t>
      </w:r>
      <w:r>
        <w:rPr>
          <w:rFonts w:hint="eastAsia"/>
          <w:kern w:val="0"/>
        </w:rPr>
        <w:t>根据现场调查，目前大气防护距离内无居住户，本评价要求</w:t>
      </w:r>
      <w:r>
        <w:rPr>
          <w:rFonts w:hint="eastAsia"/>
        </w:rPr>
        <w:t>在划定的大气防护距离内今后不能规划对粉尘废气敏感的居民区、学校、医院等环境敏感点以及食品、医药企业。</w:t>
      </w:r>
    </w:p>
    <w:p>
      <w:pPr>
        <w:spacing w:line="460" w:lineRule="exact"/>
        <w:rPr>
          <w:rFonts w:hint="eastAsia"/>
          <w:b/>
          <w:bCs/>
        </w:rPr>
      </w:pPr>
    </w:p>
    <w:p>
      <w:pPr>
        <w:spacing w:line="360" w:lineRule="auto"/>
        <w:outlineLvl w:val="1"/>
        <w:rPr>
          <w:rFonts w:hint="eastAsia"/>
          <w:b/>
          <w:bCs/>
        </w:rPr>
      </w:pPr>
      <w:bookmarkStart w:id="335" w:name="_Toc276372252"/>
      <w:r>
        <w:rPr>
          <w:rFonts w:hint="eastAsia"/>
          <w:b/>
          <w:bCs/>
        </w:rPr>
        <w:t>8.2 地表水影响分析</w:t>
      </w:r>
      <w:bookmarkEnd w:id="331"/>
      <w:bookmarkEnd w:id="332"/>
      <w:bookmarkEnd w:id="333"/>
      <w:bookmarkEnd w:id="334"/>
      <w:bookmarkEnd w:id="335"/>
    </w:p>
    <w:p>
      <w:pPr>
        <w:spacing w:line="360" w:lineRule="auto"/>
        <w:outlineLvl w:val="2"/>
        <w:rPr>
          <w:rFonts w:ascii="宋体" w:hAnsi="宋体"/>
          <w:b/>
          <w:bCs/>
        </w:rPr>
      </w:pPr>
      <w:r>
        <w:rPr>
          <w:b/>
          <w:bCs/>
        </w:rPr>
        <w:t>8.2.1</w:t>
      </w:r>
      <w:r>
        <w:rPr>
          <w:rFonts w:hint="eastAsia" w:ascii="宋体" w:hAnsi="宋体"/>
          <w:b/>
          <w:bCs/>
        </w:rPr>
        <w:t xml:space="preserve"> </w:t>
      </w:r>
      <w:r>
        <w:rPr>
          <w:rFonts w:ascii="宋体" w:hAnsi="宋体"/>
          <w:b/>
          <w:bCs/>
        </w:rPr>
        <w:t>地表水环境影响预测评价因子</w:t>
      </w:r>
    </w:p>
    <w:p>
      <w:pPr>
        <w:adjustRightInd w:val="0"/>
        <w:snapToGrid w:val="0"/>
        <w:spacing w:line="360" w:lineRule="auto"/>
        <w:ind w:firstLine="420" w:firstLineChars="200"/>
        <w:rPr>
          <w:rFonts w:hint="eastAsia"/>
        </w:rPr>
      </w:pPr>
      <w:r>
        <w:t>地表水环境影响预测评价因子为COD。</w:t>
      </w:r>
    </w:p>
    <w:p>
      <w:pPr>
        <w:adjustRightInd w:val="0"/>
        <w:snapToGrid w:val="0"/>
        <w:spacing w:line="360" w:lineRule="auto"/>
        <w:ind w:firstLine="420" w:firstLineChars="200"/>
      </w:pPr>
      <w:r>
        <w:t>评价范围为污水排放口至下游</w:t>
      </w:r>
      <w:r>
        <w:rPr>
          <w:rFonts w:hint="eastAsia"/>
        </w:rPr>
        <w:t>15</w:t>
      </w:r>
      <w:r>
        <w:t>00m的</w:t>
      </w:r>
      <w:r>
        <w:rPr>
          <w:rFonts w:hint="eastAsia"/>
        </w:rPr>
        <w:t>河</w:t>
      </w:r>
      <w:r>
        <w:t xml:space="preserve">段， </w:t>
      </w:r>
    </w:p>
    <w:p>
      <w:pPr>
        <w:spacing w:line="360" w:lineRule="auto"/>
        <w:outlineLvl w:val="2"/>
        <w:rPr>
          <w:rFonts w:hint="eastAsia" w:ascii="宋体" w:hAnsi="宋体"/>
          <w:b/>
          <w:bCs/>
        </w:rPr>
      </w:pPr>
      <w:r>
        <w:rPr>
          <w:rFonts w:hint="eastAsia"/>
          <w:b/>
          <w:bCs/>
        </w:rPr>
        <w:t>8.2.2</w:t>
      </w:r>
      <w:r>
        <w:rPr>
          <w:rFonts w:hint="eastAsia" w:ascii="宋体" w:hAnsi="宋体"/>
          <w:b/>
          <w:bCs/>
        </w:rPr>
        <w:t>预测模式及参数选择</w:t>
      </w:r>
    </w:p>
    <w:p>
      <w:pPr>
        <w:spacing w:line="360" w:lineRule="auto"/>
        <w:ind w:firstLine="420" w:firstLineChars="200"/>
        <w:rPr>
          <w:rFonts w:hint="eastAsia"/>
        </w:rPr>
      </w:pPr>
      <w:r>
        <w:rPr>
          <w:rFonts w:hint="eastAsia"/>
        </w:rPr>
        <w:t>（1）模式选择</w:t>
      </w:r>
    </w:p>
    <w:p>
      <w:pPr>
        <w:spacing w:line="360" w:lineRule="auto"/>
        <w:ind w:firstLine="420" w:firstLineChars="200"/>
        <w:rPr>
          <w:rFonts w:hint="eastAsia"/>
        </w:rPr>
      </w:pPr>
      <w:r>
        <w:t>污染源是一个大而复杂的系统，</w:t>
      </w:r>
      <w:r>
        <w:rPr>
          <w:rFonts w:hint="eastAsia"/>
        </w:rPr>
        <w:t>对于小河流</w:t>
      </w:r>
      <w:r>
        <w:t>采用</w:t>
      </w:r>
      <w:r>
        <w:rPr>
          <w:rFonts w:hint="eastAsia"/>
        </w:rPr>
        <w:t>完全混合模式</w:t>
      </w:r>
      <w:r>
        <w:t>，即可</w:t>
      </w:r>
      <w:r>
        <w:rPr>
          <w:rFonts w:hint="eastAsia"/>
        </w:rPr>
        <w:t>得到</w:t>
      </w:r>
      <w:r>
        <w:t>水质模拟结果。</w:t>
      </w:r>
      <w:r>
        <w:rPr>
          <w:rFonts w:hint="eastAsia"/>
        </w:rPr>
        <w:t>完全混合模式</w:t>
      </w:r>
      <w:r>
        <w:t>的基本表达式</w:t>
      </w:r>
      <w:r>
        <w:rPr>
          <w:rFonts w:hint="eastAsia"/>
        </w:rPr>
        <w:t>：</w:t>
      </w:r>
    </w:p>
    <w:p>
      <w:pPr>
        <w:spacing w:line="360" w:lineRule="auto"/>
        <w:ind w:firstLine="482"/>
        <w:rPr>
          <w:rFonts w:hint="eastAsia"/>
        </w:rPr>
      </w:pPr>
      <w:r>
        <w:rPr>
          <w:position w:val="-32"/>
        </w:rPr>
        <w:object>
          <v:shape id="_x0000_i1032" o:spt="75" type="#_x0000_t75" style="height:38.05pt;width:101pt;" o:ole="t" filled="f" o:preferrelative="t" stroked="f" coordsize="21600,21600">
            <v:path/>
            <v:fill on="f" alignshape="1" focussize="0,0"/>
            <v:stroke on="f"/>
            <v:imagedata r:id="rId52" grayscale="f" bilevel="f" o:title=""/>
            <o:lock v:ext="edit" aspectratio="t"/>
            <w10:wrap type="none"/>
            <w10:anchorlock/>
          </v:shape>
          <o:OLEObject Type="Embed" ProgID="Equation.3" ShapeID="_x0000_i1032" DrawAspect="Content" ObjectID="_1468075732" r:id="rId51">
            <o:LockedField>false</o:LockedField>
          </o:OLEObject>
        </w:object>
      </w:r>
    </w:p>
    <w:p>
      <w:pPr>
        <w:spacing w:line="360" w:lineRule="auto"/>
        <w:ind w:firstLine="420" w:firstLineChars="200"/>
      </w:pPr>
      <w:r>
        <w:t>式中：C——污染物浓度，mg/L；</w:t>
      </w:r>
    </w:p>
    <w:p>
      <w:pPr>
        <w:spacing w:line="360" w:lineRule="auto"/>
        <w:ind w:firstLine="420" w:firstLineChars="200"/>
      </w:pPr>
      <w:r>
        <w:t xml:space="preserve">      C</w:t>
      </w:r>
      <w:r>
        <w:rPr>
          <w:vertAlign w:val="subscript"/>
        </w:rPr>
        <w:t>p</w:t>
      </w:r>
      <w:r>
        <w:t>——污染物排放浓度，mg/L；</w:t>
      </w:r>
    </w:p>
    <w:p>
      <w:pPr>
        <w:spacing w:line="360" w:lineRule="auto"/>
        <w:ind w:firstLine="420" w:firstLineChars="200"/>
      </w:pPr>
      <w:r>
        <w:t xml:space="preserve">      Q</w:t>
      </w:r>
      <w:r>
        <w:rPr>
          <w:vertAlign w:val="subscript"/>
        </w:rPr>
        <w:t>p</w:t>
      </w:r>
      <w:r>
        <w:t>——</w:t>
      </w:r>
      <w:r>
        <w:rPr>
          <w:rFonts w:hint="eastAsia"/>
        </w:rPr>
        <w:t>废</w:t>
      </w:r>
      <w:r>
        <w:t>水排放量，m</w:t>
      </w:r>
      <w:r>
        <w:rPr>
          <w:vertAlign w:val="superscript"/>
        </w:rPr>
        <w:t>3</w:t>
      </w:r>
      <w:r>
        <w:t>/</w:t>
      </w:r>
      <w:r>
        <w:rPr>
          <w:rFonts w:hint="eastAsia"/>
        </w:rPr>
        <w:t>d</w:t>
      </w:r>
      <w:r>
        <w:t>；</w:t>
      </w:r>
    </w:p>
    <w:p>
      <w:pPr>
        <w:spacing w:line="360" w:lineRule="auto"/>
        <w:ind w:firstLine="420" w:firstLineChars="200"/>
      </w:pPr>
      <w:r>
        <w:t xml:space="preserve">      C</w:t>
      </w:r>
      <w:r>
        <w:rPr>
          <w:rFonts w:hint="eastAsia"/>
          <w:vertAlign w:val="subscript"/>
        </w:rPr>
        <w:t>E</w:t>
      </w:r>
      <w:r>
        <w:t>——河流来水</w:t>
      </w:r>
      <w:r>
        <w:rPr>
          <w:rFonts w:hint="eastAsia"/>
        </w:rPr>
        <w:t>中的</w:t>
      </w:r>
      <w:r>
        <w:t>污染物浓度，mg/L；</w:t>
      </w:r>
    </w:p>
    <w:p>
      <w:pPr>
        <w:spacing w:line="360" w:lineRule="auto"/>
        <w:ind w:firstLine="420" w:firstLineChars="200"/>
        <w:rPr>
          <w:rFonts w:hint="eastAsia"/>
        </w:rPr>
      </w:pPr>
      <w:r>
        <w:t xml:space="preserve">      Q</w:t>
      </w:r>
      <w:r>
        <w:rPr>
          <w:rFonts w:hint="eastAsia"/>
          <w:vertAlign w:val="subscript"/>
        </w:rPr>
        <w:t>E</w:t>
      </w:r>
      <w:r>
        <w:t>——河流流量，m</w:t>
      </w:r>
      <w:r>
        <w:rPr>
          <w:vertAlign w:val="superscript"/>
        </w:rPr>
        <w:t>3</w:t>
      </w:r>
      <w:r>
        <w:t>/</w:t>
      </w:r>
      <w:r>
        <w:rPr>
          <w:rFonts w:hint="eastAsia"/>
        </w:rPr>
        <w:t>d</w:t>
      </w:r>
      <w:r>
        <w:t>；</w:t>
      </w:r>
    </w:p>
    <w:p>
      <w:pPr>
        <w:spacing w:line="360" w:lineRule="auto"/>
        <w:ind w:firstLine="420" w:firstLineChars="200"/>
        <w:rPr>
          <w:rFonts w:hint="eastAsia"/>
        </w:rPr>
      </w:pPr>
      <w:r>
        <w:rPr>
          <w:rFonts w:hint="eastAsia"/>
        </w:rPr>
        <w:t>（2）参数确定</w:t>
      </w:r>
    </w:p>
    <w:p>
      <w:pPr>
        <w:spacing w:line="360" w:lineRule="auto"/>
        <w:ind w:firstLine="420" w:firstLineChars="200"/>
        <w:rPr>
          <w:rFonts w:hint="eastAsia"/>
        </w:rPr>
      </w:pPr>
      <w:r>
        <w:rPr>
          <w:rFonts w:hint="eastAsia"/>
        </w:rPr>
        <w:t>预测所需各参数选择见表8-21。</w:t>
      </w:r>
    </w:p>
    <w:p>
      <w:pPr>
        <w:spacing w:line="470" w:lineRule="exact"/>
        <w:ind w:firstLine="422" w:firstLineChars="200"/>
        <w:jc w:val="center"/>
        <w:rPr>
          <w:rFonts w:hint="eastAsia"/>
          <w:b/>
        </w:rPr>
      </w:pPr>
      <w:r>
        <w:rPr>
          <w:rFonts w:hint="eastAsia"/>
          <w:b/>
        </w:rPr>
        <w:t>表8-21  参数选择表</w:t>
      </w:r>
    </w:p>
    <w:tbl>
      <w:tblPr>
        <w:tblStyle w:val="21"/>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6"/>
        <w:gridCol w:w="3026"/>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noWrap w:val="0"/>
            <w:vAlign w:val="top"/>
          </w:tcPr>
          <w:p>
            <w:pPr>
              <w:spacing w:line="470" w:lineRule="exact"/>
              <w:jc w:val="center"/>
              <w:rPr>
                <w:rFonts w:hint="eastAsia"/>
                <w:sz w:val="21"/>
                <w:szCs w:val="21"/>
              </w:rPr>
            </w:pPr>
          </w:p>
        </w:tc>
        <w:tc>
          <w:tcPr>
            <w:tcW w:w="3026" w:type="dxa"/>
            <w:noWrap w:val="0"/>
            <w:vAlign w:val="top"/>
          </w:tcPr>
          <w:p>
            <w:pPr>
              <w:spacing w:line="470" w:lineRule="exact"/>
              <w:jc w:val="center"/>
              <w:rPr>
                <w:rFonts w:hint="eastAsia"/>
                <w:sz w:val="21"/>
                <w:szCs w:val="21"/>
              </w:rPr>
            </w:pPr>
            <w:r>
              <w:rPr>
                <w:rFonts w:hint="eastAsia"/>
                <w:sz w:val="21"/>
                <w:szCs w:val="21"/>
              </w:rPr>
              <w:t>流量（m</w:t>
            </w:r>
            <w:r>
              <w:rPr>
                <w:rFonts w:hint="eastAsia"/>
                <w:sz w:val="21"/>
                <w:szCs w:val="21"/>
                <w:vertAlign w:val="superscript"/>
              </w:rPr>
              <w:t>3</w:t>
            </w:r>
            <w:r>
              <w:rPr>
                <w:rFonts w:hint="eastAsia"/>
                <w:sz w:val="21"/>
                <w:szCs w:val="21"/>
              </w:rPr>
              <w:t>/d）</w:t>
            </w:r>
          </w:p>
        </w:tc>
        <w:tc>
          <w:tcPr>
            <w:tcW w:w="3026" w:type="dxa"/>
            <w:noWrap w:val="0"/>
            <w:vAlign w:val="top"/>
          </w:tcPr>
          <w:p>
            <w:pPr>
              <w:spacing w:line="470" w:lineRule="exact"/>
              <w:jc w:val="center"/>
              <w:rPr>
                <w:rFonts w:hint="eastAsia"/>
                <w:sz w:val="21"/>
                <w:szCs w:val="21"/>
              </w:rPr>
            </w:pPr>
            <w:r>
              <w:rPr>
                <w:rFonts w:hint="eastAsia"/>
                <w:sz w:val="21"/>
                <w:szCs w:val="21"/>
              </w:rPr>
              <w:t>COD（mg/L）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noWrap w:val="0"/>
            <w:vAlign w:val="top"/>
          </w:tcPr>
          <w:p>
            <w:pPr>
              <w:spacing w:line="470" w:lineRule="exact"/>
              <w:jc w:val="center"/>
              <w:rPr>
                <w:rFonts w:hint="eastAsia"/>
                <w:sz w:val="21"/>
                <w:szCs w:val="21"/>
              </w:rPr>
            </w:pPr>
            <w:r>
              <w:rPr>
                <w:rFonts w:hint="eastAsia"/>
                <w:sz w:val="21"/>
                <w:szCs w:val="21"/>
              </w:rPr>
              <w:t>无名河沟</w:t>
            </w:r>
          </w:p>
        </w:tc>
        <w:tc>
          <w:tcPr>
            <w:tcW w:w="3026" w:type="dxa"/>
            <w:noWrap w:val="0"/>
            <w:vAlign w:val="top"/>
          </w:tcPr>
          <w:p>
            <w:pPr>
              <w:spacing w:line="470" w:lineRule="exact"/>
              <w:jc w:val="center"/>
              <w:rPr>
                <w:rFonts w:hint="eastAsia"/>
                <w:sz w:val="21"/>
                <w:szCs w:val="21"/>
              </w:rPr>
            </w:pPr>
            <w:r>
              <w:rPr>
                <w:rFonts w:hint="eastAsia"/>
                <w:sz w:val="21"/>
                <w:szCs w:val="21"/>
              </w:rPr>
              <w:t>2282.7*</w:t>
            </w:r>
          </w:p>
        </w:tc>
        <w:tc>
          <w:tcPr>
            <w:tcW w:w="3026" w:type="dxa"/>
            <w:noWrap w:val="0"/>
            <w:vAlign w:val="top"/>
          </w:tcPr>
          <w:p>
            <w:pPr>
              <w:spacing w:line="470" w:lineRule="exact"/>
              <w:jc w:val="center"/>
              <w:rPr>
                <w:rFonts w:hint="eastAsia"/>
                <w:sz w:val="21"/>
                <w:szCs w:val="21"/>
              </w:rPr>
            </w:pPr>
            <w:r>
              <w:rPr>
                <w:rFonts w:hint="eastAsia"/>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6" w:type="dxa"/>
            <w:noWrap w:val="0"/>
            <w:vAlign w:val="top"/>
          </w:tcPr>
          <w:p>
            <w:pPr>
              <w:spacing w:line="470" w:lineRule="exact"/>
              <w:jc w:val="center"/>
              <w:rPr>
                <w:rFonts w:hint="eastAsia"/>
                <w:sz w:val="21"/>
                <w:szCs w:val="21"/>
              </w:rPr>
            </w:pPr>
            <w:r>
              <w:rPr>
                <w:rFonts w:hint="eastAsia"/>
                <w:sz w:val="21"/>
                <w:szCs w:val="21"/>
              </w:rPr>
              <w:t>技改项目排放废水</w:t>
            </w:r>
          </w:p>
        </w:tc>
        <w:tc>
          <w:tcPr>
            <w:tcW w:w="3026" w:type="dxa"/>
            <w:noWrap w:val="0"/>
            <w:vAlign w:val="top"/>
          </w:tcPr>
          <w:p>
            <w:pPr>
              <w:spacing w:line="470" w:lineRule="exact"/>
              <w:jc w:val="center"/>
              <w:rPr>
                <w:rFonts w:hint="eastAsia"/>
                <w:sz w:val="21"/>
                <w:szCs w:val="21"/>
              </w:rPr>
            </w:pPr>
            <w:r>
              <w:rPr>
                <w:rFonts w:hint="eastAsia"/>
                <w:sz w:val="21"/>
                <w:szCs w:val="21"/>
              </w:rPr>
              <w:t>52.6</w:t>
            </w:r>
          </w:p>
        </w:tc>
        <w:tc>
          <w:tcPr>
            <w:tcW w:w="3026" w:type="dxa"/>
            <w:noWrap w:val="0"/>
            <w:vAlign w:val="top"/>
          </w:tcPr>
          <w:p>
            <w:pPr>
              <w:spacing w:line="470" w:lineRule="exact"/>
              <w:jc w:val="center"/>
              <w:rPr>
                <w:rFonts w:hint="eastAsia"/>
                <w:sz w:val="21"/>
                <w:szCs w:val="21"/>
              </w:rPr>
            </w:pPr>
            <w:r>
              <w:rPr>
                <w:rFonts w:hint="eastAsia"/>
                <w:sz w:val="21"/>
                <w:szCs w:val="21"/>
              </w:rPr>
              <w:t>100</w:t>
            </w:r>
          </w:p>
        </w:tc>
      </w:tr>
    </w:tbl>
    <w:p>
      <w:pPr>
        <w:ind w:firstLine="360" w:firstLineChars="200"/>
        <w:rPr>
          <w:rFonts w:hint="eastAsia"/>
          <w:sz w:val="18"/>
          <w:szCs w:val="18"/>
        </w:rPr>
      </w:pPr>
      <w:r>
        <w:rPr>
          <w:rFonts w:hint="eastAsia"/>
          <w:sz w:val="18"/>
          <w:szCs w:val="18"/>
        </w:rPr>
        <w:t>*无名河沟原有水量为4500 m</w:t>
      </w:r>
      <w:r>
        <w:rPr>
          <w:rFonts w:hint="eastAsia"/>
          <w:sz w:val="18"/>
          <w:szCs w:val="18"/>
          <w:vertAlign w:val="superscript"/>
        </w:rPr>
        <w:t>3</w:t>
      </w:r>
      <w:r>
        <w:rPr>
          <w:rFonts w:hint="eastAsia"/>
          <w:sz w:val="18"/>
          <w:szCs w:val="18"/>
        </w:rPr>
        <w:t>/d，技改项目取水量为2642.3 m</w:t>
      </w:r>
      <w:r>
        <w:rPr>
          <w:rFonts w:hint="eastAsia"/>
          <w:sz w:val="18"/>
          <w:szCs w:val="18"/>
          <w:vertAlign w:val="superscript"/>
        </w:rPr>
        <w:t>3</w:t>
      </w:r>
      <w:r>
        <w:rPr>
          <w:rFonts w:hint="eastAsia"/>
          <w:sz w:val="18"/>
          <w:szCs w:val="18"/>
        </w:rPr>
        <w:t>/d，清净下水排水量为425 m</w:t>
      </w:r>
      <w:r>
        <w:rPr>
          <w:rFonts w:hint="eastAsia"/>
          <w:sz w:val="18"/>
          <w:szCs w:val="18"/>
          <w:vertAlign w:val="superscript"/>
        </w:rPr>
        <w:t>3</w:t>
      </w:r>
      <w:r>
        <w:rPr>
          <w:rFonts w:hint="eastAsia"/>
          <w:sz w:val="18"/>
          <w:szCs w:val="18"/>
        </w:rPr>
        <w:t>/d，河流流量最终为2282.7 m</w:t>
      </w:r>
      <w:r>
        <w:rPr>
          <w:rFonts w:hint="eastAsia"/>
          <w:sz w:val="18"/>
          <w:szCs w:val="18"/>
          <w:vertAlign w:val="superscript"/>
        </w:rPr>
        <w:t>3</w:t>
      </w:r>
      <w:r>
        <w:rPr>
          <w:rFonts w:hint="eastAsia"/>
          <w:sz w:val="18"/>
          <w:szCs w:val="18"/>
        </w:rPr>
        <w:t>/d。</w:t>
      </w:r>
    </w:p>
    <w:p>
      <w:pPr>
        <w:spacing w:line="360" w:lineRule="auto"/>
        <w:outlineLvl w:val="2"/>
        <w:rPr>
          <w:rFonts w:hint="eastAsia"/>
          <w:b/>
          <w:bCs/>
        </w:rPr>
      </w:pPr>
    </w:p>
    <w:p>
      <w:pPr>
        <w:spacing w:line="360" w:lineRule="auto"/>
        <w:outlineLvl w:val="2"/>
        <w:rPr>
          <w:rFonts w:hint="eastAsia" w:ascii="宋体" w:hAnsi="宋体"/>
          <w:b/>
          <w:bCs/>
        </w:rPr>
      </w:pPr>
      <w:r>
        <w:rPr>
          <w:rFonts w:hint="eastAsia"/>
          <w:b/>
          <w:bCs/>
        </w:rPr>
        <w:t xml:space="preserve">8.2.3 </w:t>
      </w:r>
      <w:r>
        <w:rPr>
          <w:rFonts w:hint="eastAsia" w:ascii="宋体" w:hAnsi="宋体"/>
          <w:b/>
          <w:bCs/>
        </w:rPr>
        <w:t>预测结果</w:t>
      </w:r>
    </w:p>
    <w:p>
      <w:pPr>
        <w:spacing w:line="360" w:lineRule="auto"/>
        <w:ind w:firstLine="420" w:firstLineChars="200"/>
        <w:rPr>
          <w:rFonts w:hint="eastAsia"/>
        </w:rPr>
      </w:pPr>
      <w:r>
        <w:rPr>
          <w:rFonts w:hint="eastAsia"/>
        </w:rPr>
        <w:t>经预测表明，技改项目的废水排入无名沟经充分混合后，其COD浓度为14.18mg/L，因此，技改项目产生的废水只要严格按照本评价提出的污染防治措施处理后排放对无名河沟的水质影响很小，不会改变其水质现状。</w:t>
      </w:r>
    </w:p>
    <w:p>
      <w:pPr>
        <w:spacing w:line="360" w:lineRule="auto"/>
        <w:outlineLvl w:val="1"/>
        <w:rPr>
          <w:rFonts w:hint="eastAsia"/>
          <w:b/>
          <w:bCs/>
        </w:rPr>
      </w:pPr>
      <w:bookmarkStart w:id="336" w:name="_Toc189814173"/>
      <w:bookmarkStart w:id="337" w:name="_Toc165607391"/>
      <w:bookmarkStart w:id="338" w:name="_Toc276372253"/>
      <w:bookmarkStart w:id="339" w:name="_Toc473281531"/>
      <w:bookmarkStart w:id="340" w:name="_Toc175479833"/>
      <w:r>
        <w:rPr>
          <w:rFonts w:hint="eastAsia"/>
          <w:b/>
          <w:bCs/>
        </w:rPr>
        <w:t>8.3声环境影响预测与评价</w:t>
      </w:r>
      <w:bookmarkEnd w:id="336"/>
      <w:bookmarkEnd w:id="337"/>
      <w:bookmarkEnd w:id="338"/>
      <w:bookmarkEnd w:id="339"/>
      <w:bookmarkEnd w:id="340"/>
    </w:p>
    <w:p>
      <w:pPr>
        <w:spacing w:line="360" w:lineRule="auto"/>
        <w:outlineLvl w:val="2"/>
        <w:rPr>
          <w:rFonts w:hint="eastAsia"/>
          <w:b/>
          <w:bCs/>
        </w:rPr>
      </w:pPr>
      <w:r>
        <w:rPr>
          <w:rFonts w:hint="eastAsia"/>
          <w:b/>
          <w:bCs/>
        </w:rPr>
        <w:t>8.3.1主要噪声源强</w:t>
      </w:r>
    </w:p>
    <w:p>
      <w:pPr>
        <w:spacing w:line="360" w:lineRule="auto"/>
        <w:ind w:firstLine="480"/>
        <w:rPr>
          <w:rFonts w:hint="eastAsia"/>
        </w:rPr>
      </w:pPr>
      <w:r>
        <w:rPr>
          <w:rFonts w:hint="eastAsia"/>
        </w:rPr>
        <w:t>技改项目的噪声主要由机械动力、流体动力而产生，技改项目噪声设备源强及治理后的源强见表3-5。</w:t>
      </w:r>
    </w:p>
    <w:p>
      <w:pPr>
        <w:spacing w:before="24" w:beforeLines="10" w:after="24" w:afterLines="10" w:line="360" w:lineRule="auto"/>
        <w:outlineLvl w:val="2"/>
        <w:rPr>
          <w:rFonts w:hint="eastAsia"/>
          <w:b/>
        </w:rPr>
      </w:pPr>
      <w:r>
        <w:rPr>
          <w:rFonts w:hint="eastAsia"/>
          <w:b/>
          <w:bCs/>
        </w:rPr>
        <w:t>8.3.2</w:t>
      </w:r>
      <w:r>
        <w:rPr>
          <w:rFonts w:hint="eastAsia"/>
          <w:b/>
        </w:rPr>
        <w:t>预测点设置</w:t>
      </w:r>
    </w:p>
    <w:p>
      <w:pPr>
        <w:spacing w:line="360" w:lineRule="auto"/>
        <w:ind w:firstLine="480"/>
        <w:rPr>
          <w:rFonts w:hint="eastAsia"/>
        </w:rPr>
      </w:pPr>
      <w:r>
        <w:rPr>
          <w:rFonts w:hint="eastAsia"/>
        </w:rPr>
        <w:t>根据确定的声环境影响评价范围，结合表1-9列出的声环境敏感点，选择厂界及表1-9列出的声环境敏感点作为噪声预测点，具体位置见表1-9和图1.1。</w:t>
      </w:r>
    </w:p>
    <w:p>
      <w:pPr>
        <w:spacing w:before="24" w:beforeLines="10" w:after="24" w:afterLines="10" w:line="360" w:lineRule="auto"/>
        <w:outlineLvl w:val="2"/>
        <w:rPr>
          <w:rFonts w:hint="eastAsia"/>
          <w:b/>
        </w:rPr>
      </w:pPr>
      <w:r>
        <w:rPr>
          <w:rFonts w:hint="eastAsia"/>
          <w:b/>
        </w:rPr>
        <w:t>8.3.3预测模式</w:t>
      </w:r>
    </w:p>
    <w:p>
      <w:pPr>
        <w:pStyle w:val="6"/>
        <w:spacing w:line="360" w:lineRule="auto"/>
        <w:ind w:firstLine="480"/>
        <w:rPr>
          <w:sz w:val="24"/>
          <w:szCs w:val="24"/>
        </w:rPr>
      </w:pPr>
      <w:r>
        <w:rPr>
          <w:sz w:val="24"/>
          <w:szCs w:val="24"/>
        </w:rPr>
        <w:t>噪声影响预测选用《环境影响评价技术导则—声环境》（HJ2.4-2009）中推荐的模式，并对照评价标准对预测结果进行评价。</w:t>
      </w:r>
    </w:p>
    <w:p>
      <w:pPr>
        <w:adjustRightInd w:val="0"/>
        <w:snapToGrid w:val="0"/>
        <w:spacing w:line="360" w:lineRule="auto"/>
        <w:ind w:firstLine="480"/>
      </w:pPr>
      <w:r>
        <w:t>（1）声源衰减的基本公式</w:t>
      </w:r>
    </w:p>
    <w:p>
      <w:pPr>
        <w:adjustRightInd w:val="0"/>
        <w:snapToGrid w:val="0"/>
        <w:spacing w:line="360" w:lineRule="auto"/>
        <w:ind w:firstLine="480"/>
      </w:pPr>
      <w:r>
        <w:t>采用根据声环境评价导则（HJ2.4-2009）中推荐的噪声户外传播声级衰减基本计算方法：</w:t>
      </w:r>
    </w:p>
    <w:p>
      <w:pPr>
        <w:adjustRightInd w:val="0"/>
        <w:snapToGrid w:val="0"/>
        <w:spacing w:line="360" w:lineRule="auto"/>
        <w:ind w:firstLine="480"/>
        <w:jc w:val="left"/>
      </w:pPr>
      <w:r>
        <w:t>A、计算预测点位的倍频带声压级</w:t>
      </w:r>
    </w:p>
    <w:p>
      <w:pPr>
        <w:adjustRightInd w:val="0"/>
        <w:snapToGrid w:val="0"/>
        <w:spacing w:line="360" w:lineRule="auto"/>
        <w:ind w:firstLine="480"/>
      </w:pPr>
      <w:r>
        <w:t xml:space="preserve">      Lp(r)=Lp(r0)-(Adiv+Aatm+Abar+Agr+Amisc)</w:t>
      </w:r>
    </w:p>
    <w:p>
      <w:pPr>
        <w:adjustRightInd w:val="0"/>
        <w:snapToGrid w:val="0"/>
        <w:spacing w:line="360" w:lineRule="auto"/>
        <w:ind w:firstLine="480"/>
      </w:pPr>
      <w:r>
        <w:t>式中：Lp(r)—距声源r处的倍频带声压级；</w:t>
      </w:r>
    </w:p>
    <w:p>
      <w:pPr>
        <w:adjustRightInd w:val="0"/>
        <w:snapToGrid w:val="0"/>
        <w:spacing w:line="360" w:lineRule="auto"/>
        <w:ind w:firstLine="480"/>
      </w:pPr>
      <w:r>
        <w:t xml:space="preserve">      Lp(r0)—声源参考位置r0处的倍频带声压级；</w:t>
      </w:r>
    </w:p>
    <w:p>
      <w:pPr>
        <w:adjustRightInd w:val="0"/>
        <w:snapToGrid w:val="0"/>
        <w:spacing w:line="360" w:lineRule="auto"/>
        <w:ind w:firstLine="480"/>
      </w:pPr>
      <w:r>
        <w:t xml:space="preserve">      Adiv—声波几何发散引起的倍频带衰减量；</w:t>
      </w:r>
    </w:p>
    <w:p>
      <w:pPr>
        <w:adjustRightInd w:val="0"/>
        <w:snapToGrid w:val="0"/>
        <w:spacing w:line="360" w:lineRule="auto"/>
        <w:ind w:firstLine="480"/>
      </w:pPr>
      <w:r>
        <w:t xml:space="preserve">      Aatm—空气吸收引起的倍频带衰减量；</w:t>
      </w:r>
    </w:p>
    <w:p>
      <w:pPr>
        <w:adjustRightInd w:val="0"/>
        <w:snapToGrid w:val="0"/>
        <w:spacing w:line="360" w:lineRule="auto"/>
        <w:ind w:firstLine="480"/>
      </w:pPr>
      <w:r>
        <w:t xml:space="preserve">      Abar—声屏障引起的倍频带衰减量；</w:t>
      </w:r>
    </w:p>
    <w:p>
      <w:pPr>
        <w:adjustRightInd w:val="0"/>
        <w:snapToGrid w:val="0"/>
        <w:spacing w:line="360" w:lineRule="auto"/>
        <w:ind w:firstLine="480"/>
      </w:pPr>
      <w:r>
        <w:t xml:space="preserve">      Agr—地面效应引起的倍频带衰减量；</w:t>
      </w:r>
    </w:p>
    <w:p>
      <w:pPr>
        <w:adjustRightInd w:val="0"/>
        <w:snapToGrid w:val="0"/>
        <w:spacing w:line="360" w:lineRule="auto"/>
        <w:ind w:firstLine="1050" w:firstLineChars="500"/>
      </w:pPr>
      <w:r>
        <w:t>Amisc—其它多方面效应引起的衰减。</w:t>
      </w:r>
    </w:p>
    <w:p>
      <w:pPr>
        <w:adjustRightInd w:val="0"/>
        <w:snapToGrid w:val="0"/>
        <w:spacing w:line="360" w:lineRule="auto"/>
        <w:ind w:firstLine="480"/>
      </w:pPr>
      <w:r>
        <w:t>B、几何发散衰减(Adiv)</w:t>
      </w:r>
    </w:p>
    <w:p>
      <w:pPr>
        <w:adjustRightInd w:val="0"/>
        <w:snapToGrid w:val="0"/>
        <w:spacing w:line="360" w:lineRule="auto"/>
        <w:ind w:firstLine="420" w:firstLineChars="200"/>
      </w:pPr>
      <w:r>
        <w:t>①点声源的几何发散衰减：</w:t>
      </w:r>
    </w:p>
    <w:p>
      <w:pPr>
        <w:adjustRightInd w:val="0"/>
        <w:snapToGrid w:val="0"/>
        <w:spacing w:line="360" w:lineRule="auto"/>
        <w:ind w:firstLine="480"/>
      </w:pPr>
      <w:r>
        <w:t xml:space="preserve">       LP（r）=LP(r0)-201g(r/r0)</w:t>
      </w:r>
    </w:p>
    <w:p>
      <w:pPr>
        <w:adjustRightInd w:val="0"/>
        <w:snapToGrid w:val="0"/>
        <w:spacing w:line="360" w:lineRule="auto"/>
        <w:ind w:firstLine="840" w:firstLineChars="400"/>
      </w:pPr>
      <w:r>
        <w:t>式中：LP（r）、L(r0)分别是r，r0处的声级。</w:t>
      </w:r>
    </w:p>
    <w:p>
      <w:pPr>
        <w:adjustRightInd w:val="0"/>
        <w:snapToGrid w:val="0"/>
        <w:spacing w:line="360" w:lineRule="auto"/>
        <w:ind w:firstLine="480"/>
      </w:pPr>
      <w:r>
        <w:t>声源处于自由空间：  LP（r）=LW(r0)-201g(r)-11</w:t>
      </w:r>
    </w:p>
    <w:p>
      <w:pPr>
        <w:adjustRightInd w:val="0"/>
        <w:snapToGrid w:val="0"/>
        <w:spacing w:line="360" w:lineRule="auto"/>
        <w:ind w:firstLine="480"/>
      </w:pPr>
      <w:r>
        <w:t>声源处于半自由空间：LP（r）=LW-201g(r)-8</w:t>
      </w:r>
    </w:p>
    <w:p>
      <w:pPr>
        <w:adjustRightInd w:val="0"/>
        <w:snapToGrid w:val="0"/>
        <w:spacing w:line="360" w:lineRule="auto"/>
        <w:ind w:firstLine="420" w:firstLineChars="200"/>
      </w:pPr>
      <w:r>
        <w:t>②面声源的几何发散衰减：</w:t>
      </w:r>
    </w:p>
    <w:p>
      <w:pPr>
        <w:pStyle w:val="8"/>
        <w:adjustRightInd w:val="0"/>
        <w:snapToGrid w:val="0"/>
        <w:spacing w:line="360" w:lineRule="auto"/>
        <w:rPr>
          <w:rFonts w:ascii="Times New Roman"/>
        </w:rPr>
      </w:pPr>
      <w:r>
        <w:rPr>
          <w:rFonts w:ascii="Times New Roman"/>
        </w:rPr>
        <w:t>面声源短边为a，长边为b，随着距离的增加，引起其衰减值与距离的关系为：</w:t>
      </w:r>
    </w:p>
    <w:p>
      <w:pPr>
        <w:pStyle w:val="8"/>
        <w:adjustRightInd w:val="0"/>
        <w:snapToGrid w:val="0"/>
        <w:spacing w:line="360" w:lineRule="auto"/>
        <w:ind w:firstLine="840" w:firstLineChars="400"/>
        <w:rPr>
          <w:rFonts w:ascii="Times New Roman"/>
        </w:rPr>
      </w:pPr>
      <w:r>
        <w:rPr>
          <w:rFonts w:ascii="Times New Roman"/>
        </w:rPr>
        <w:object>
          <v:shape id="_x0000_i1033" o:spt="75" type="#_x0000_t75" style="height:30.55pt;width:49.95pt;" o:ole="t" filled="f" o:preferrelative="t" stroked="f" coordsize="21600,21600">
            <v:path/>
            <v:fill on="f" alignshape="1" focussize="0,0"/>
            <v:stroke on="f"/>
            <v:imagedata r:id="rId54" grayscale="f" bilevel="f" o:title=""/>
            <o:lock v:ext="edit" aspectratio="t"/>
            <w10:wrap type="none"/>
            <w10:anchorlock/>
          </v:shape>
          <o:OLEObject Type="Embed" ProgID="Equation.3" ShapeID="_x0000_i1033" DrawAspect="Content" ObjectID="_1468075733" r:id="rId53">
            <o:LockedField>false</o:LockedField>
          </o:OLEObject>
        </w:object>
      </w:r>
      <w:r>
        <w:rPr>
          <w:rFonts w:ascii="Times New Roman"/>
        </w:rPr>
        <w:t xml:space="preserve"> 时，在r处Adiv≈0</w:t>
      </w:r>
    </w:p>
    <w:p>
      <w:pPr>
        <w:pStyle w:val="8"/>
        <w:adjustRightInd w:val="0"/>
        <w:snapToGrid w:val="0"/>
        <w:spacing w:line="360" w:lineRule="auto"/>
        <w:ind w:firstLine="735" w:firstLineChars="350"/>
        <w:rPr>
          <w:rFonts w:ascii="Times New Roman"/>
        </w:rPr>
      </w:pPr>
      <w:r>
        <w:rPr>
          <w:rFonts w:ascii="Times New Roman"/>
        </w:rPr>
        <w:object>
          <v:shape id="_x0000_i1034" o:spt="75" type="#_x0000_t75" style="height:27.95pt;width:55.45pt;" o:ole="t" filled="f" o:preferrelative="t" stroked="f" coordsize="21600,21600">
            <v:path/>
            <v:fill on="f" alignshape="1" focussize="0,0"/>
            <v:stroke on="f"/>
            <v:imagedata r:id="rId56" grayscale="f" bilevel="f" o:title=""/>
            <o:lock v:ext="edit" aspectratio="t"/>
            <w10:wrap type="none"/>
            <w10:anchorlock/>
          </v:shape>
          <o:OLEObject Type="Embed" ProgID="Equation.3" ShapeID="_x0000_i1034" DrawAspect="Content" ObjectID="_1468075734" r:id="rId55">
            <o:LockedField>false</o:LockedField>
          </o:OLEObject>
        </w:object>
      </w:r>
      <w:r>
        <w:rPr>
          <w:rFonts w:ascii="Times New Roman"/>
        </w:rPr>
        <w:t xml:space="preserve"> 时，在r处距离r每增加1倍，Adiv≈3</w:t>
      </w:r>
    </w:p>
    <w:p>
      <w:pPr>
        <w:pStyle w:val="8"/>
        <w:adjustRightInd w:val="0"/>
        <w:snapToGrid w:val="0"/>
        <w:spacing w:line="360" w:lineRule="auto"/>
        <w:ind w:firstLine="735" w:firstLineChars="350"/>
        <w:rPr>
          <w:rFonts w:ascii="Times New Roman"/>
        </w:rPr>
      </w:pPr>
      <w:r>
        <w:rPr>
          <w:rFonts w:ascii="Times New Roman"/>
        </w:rPr>
        <w:object>
          <v:shape id="_x0000_i1035" o:spt="75" type="#_x0000_t75" style="height:26.85pt;width:37pt;" o:ole="t" filled="f" o:preferrelative="t" stroked="f" coordsize="21600,21600">
            <v:path/>
            <v:fill on="f" alignshape="1" focussize="0,0"/>
            <v:stroke on="f"/>
            <v:imagedata r:id="rId58" grayscale="f" bilevel="f" o:title=""/>
            <o:lock v:ext="edit" aspectratio="t"/>
            <w10:wrap type="none"/>
            <w10:anchorlock/>
          </v:shape>
          <o:OLEObject Type="Embed" ProgID="Equation.3" ShapeID="_x0000_i1035" DrawAspect="Content" ObjectID="_1468075735" r:id="rId57">
            <o:LockedField>false</o:LockedField>
          </o:OLEObject>
        </w:object>
      </w:r>
      <w:r>
        <w:rPr>
          <w:rFonts w:ascii="Times New Roman"/>
        </w:rPr>
        <w:t xml:space="preserve"> 时，在r处距离r每增加1倍，Adiv≈6</w:t>
      </w:r>
    </w:p>
    <w:p>
      <w:pPr>
        <w:adjustRightInd w:val="0"/>
        <w:snapToGrid w:val="0"/>
        <w:spacing w:line="360" w:lineRule="auto"/>
        <w:ind w:firstLine="482"/>
      </w:pPr>
      <w:r>
        <w:t>C、地面效应衰减(Agr)</w:t>
      </w:r>
    </w:p>
    <w:p>
      <w:pPr>
        <w:autoSpaceDE w:val="0"/>
        <w:autoSpaceDN w:val="0"/>
        <w:adjustRightInd w:val="0"/>
        <w:snapToGrid w:val="0"/>
        <w:spacing w:line="360" w:lineRule="auto"/>
        <w:ind w:firstLine="482"/>
      </w:pPr>
      <w:r>
        <w:t>地面类型可分为：坚实地面，包括铺筑过的路面、水面、冰面以及夯实地面；疏松地面，包括被草或其他植物覆盖的地面，以及农田等适合于植物生长的地面；混合地面，由坚实地面和疏松地面组成。</w:t>
      </w:r>
    </w:p>
    <w:p>
      <w:pPr>
        <w:autoSpaceDE w:val="0"/>
        <w:autoSpaceDN w:val="0"/>
        <w:adjustRightInd w:val="0"/>
        <w:snapToGrid w:val="0"/>
        <w:spacing w:line="360" w:lineRule="auto"/>
        <w:ind w:firstLine="482"/>
      </w:pPr>
      <w:r>
        <w:t>声波越过疏松地面传播时，或大部分为疏松地面的混合地面，在预测点仅计算A声级前提下，地面效应引起的倍频带衰减公式：</w:t>
      </w:r>
    </w:p>
    <w:p>
      <w:pPr>
        <w:adjustRightInd w:val="0"/>
        <w:snapToGrid w:val="0"/>
        <w:spacing w:line="360" w:lineRule="auto"/>
        <w:ind w:firstLine="480"/>
      </w:pPr>
      <w:r>
        <w:pict>
          <v:shape id="_x0000_s2050" o:spid="_x0000_s2050" o:spt="75" type="#_x0000_t75" style="position:absolute;left:0pt;margin-left:78.85pt;margin-top:8.4pt;height:32.65pt;width:128.15pt;z-index:251857920;mso-width-relative:page;mso-height-relative:page;" o:ole="t" filled="f" o:preferrelative="t" stroked="f" coordsize="21600,21600">
            <v:path/>
            <v:fill on="f" alignshape="1" focussize="0,0"/>
            <v:stroke on="f"/>
            <v:imagedata r:id="rId60" grayscale="f" bilevel="f" o:title=""/>
            <o:lock v:ext="edit" aspectratio="t"/>
          </v:shape>
          <o:OLEObject Type="Embed" ProgID="Equation.3" ShapeID="_x0000_s2050" DrawAspect="Content" ObjectID="_1468075736" r:id="rId59">
            <o:LockedField>false</o:LockedField>
          </o:OLEObject>
        </w:pict>
      </w:r>
    </w:p>
    <w:p>
      <w:pPr>
        <w:adjustRightInd w:val="0"/>
        <w:snapToGrid w:val="0"/>
        <w:spacing w:line="360" w:lineRule="auto"/>
        <w:ind w:firstLine="480"/>
      </w:pPr>
    </w:p>
    <w:p>
      <w:pPr>
        <w:adjustRightInd w:val="0"/>
        <w:snapToGrid w:val="0"/>
        <w:spacing w:line="360" w:lineRule="auto"/>
        <w:ind w:firstLine="482"/>
      </w:pPr>
      <w:r>
        <w:t>本工程的噪声预测，只考虑几何发散衰减(Adiv)、地面效应衰减(Agr)，其它项目衰减作为预测计算的安全系数而忽略不计。</w:t>
      </w:r>
    </w:p>
    <w:p>
      <w:pPr>
        <w:adjustRightInd w:val="0"/>
        <w:snapToGrid w:val="0"/>
        <w:spacing w:line="360" w:lineRule="auto"/>
        <w:ind w:firstLine="480"/>
      </w:pPr>
      <w:r>
        <w:t>（2）预测点的预测等效声级（Leq）计算式：</w:t>
      </w:r>
    </w:p>
    <w:p>
      <w:pPr>
        <w:adjustRightInd w:val="0"/>
        <w:snapToGrid w:val="0"/>
        <w:spacing w:line="360" w:lineRule="auto"/>
        <w:ind w:firstLine="1575" w:firstLineChars="750"/>
      </w:pPr>
      <w:r>
        <w:t>Leq=101g(100.1/Leqg+100.1Leqb)</w:t>
      </w:r>
    </w:p>
    <w:p>
      <w:pPr>
        <w:adjustRightInd w:val="0"/>
        <w:snapToGrid w:val="0"/>
        <w:spacing w:line="360" w:lineRule="auto"/>
        <w:ind w:firstLine="480"/>
      </w:pPr>
      <w:r>
        <w:t>式中：Leq—某预测点预测环境噪声等效声级，dB(A)；</w:t>
      </w:r>
    </w:p>
    <w:p>
      <w:pPr>
        <w:adjustRightInd w:val="0"/>
        <w:snapToGrid w:val="0"/>
        <w:spacing w:line="360" w:lineRule="auto"/>
        <w:ind w:firstLine="480"/>
      </w:pPr>
      <w:r>
        <w:t xml:space="preserve">      Leqg—建设项目声源在预测点的等效声级贡献值，dB(A)；</w:t>
      </w:r>
    </w:p>
    <w:p>
      <w:pPr>
        <w:adjustRightInd w:val="0"/>
        <w:snapToGrid w:val="0"/>
        <w:spacing w:line="360" w:lineRule="auto"/>
        <w:ind w:firstLine="1050" w:firstLineChars="500"/>
      </w:pPr>
      <w:r>
        <w:t>Leqb—预测点的背景值，dB(A)；</w:t>
      </w:r>
    </w:p>
    <w:p>
      <w:pPr>
        <w:spacing w:before="24" w:beforeLines="10" w:after="24" w:afterLines="10" w:line="360" w:lineRule="auto"/>
        <w:rPr>
          <w:rFonts w:hint="eastAsia"/>
          <w:b/>
        </w:rPr>
      </w:pPr>
      <w:r>
        <w:rPr>
          <w:rFonts w:hint="eastAsia"/>
          <w:b/>
        </w:rPr>
        <w:t>8.3.4预测结果与评价</w:t>
      </w:r>
    </w:p>
    <w:p>
      <w:pPr>
        <w:spacing w:line="360" w:lineRule="auto"/>
        <w:ind w:firstLine="480"/>
        <w:rPr>
          <w:rFonts w:hint="eastAsia"/>
        </w:rPr>
      </w:pPr>
      <w:r>
        <w:rPr>
          <w:rFonts w:hint="eastAsia"/>
        </w:rPr>
        <w:t>综合考虑噪声源分布及防噪降噪措施，按模式计算出厂界和各预测点的噪声影响结果，再将各预测点的噪声影响值与现状监测值进行叠加，结果分别见表8-22和表8-23。</w:t>
      </w:r>
    </w:p>
    <w:p>
      <w:pPr>
        <w:spacing w:line="460" w:lineRule="exact"/>
        <w:ind w:firstLine="1153" w:firstLineChars="547"/>
        <w:rPr>
          <w:rFonts w:hint="eastAsia"/>
        </w:rPr>
      </w:pPr>
      <w:r>
        <w:rPr>
          <w:rFonts w:hint="eastAsia"/>
          <w:b/>
        </w:rPr>
        <w:t>表8-22           厂界噪声影响预测结果</w:t>
      </w:r>
      <w:r>
        <w:rPr>
          <w:rFonts w:hint="eastAsia"/>
        </w:rPr>
        <w:t xml:space="preserve">         单位：dB</w:t>
      </w:r>
    </w:p>
    <w:tbl>
      <w:tblPr>
        <w:tblStyle w:val="20"/>
        <w:tblW w:w="7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133"/>
        <w:gridCol w:w="1587"/>
        <w:gridCol w:w="3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713" w:type="dxa"/>
            <w:noWrap w:val="0"/>
            <w:vAlign w:val="center"/>
          </w:tcPr>
          <w:p>
            <w:pPr>
              <w:spacing w:line="360" w:lineRule="exact"/>
              <w:jc w:val="center"/>
              <w:rPr>
                <w:rFonts w:hint="eastAsia"/>
                <w:sz w:val="21"/>
                <w:szCs w:val="21"/>
              </w:rPr>
            </w:pPr>
            <w:r>
              <w:rPr>
                <w:rFonts w:hint="eastAsia"/>
                <w:sz w:val="21"/>
                <w:szCs w:val="21"/>
              </w:rPr>
              <w:t>预测点</w:t>
            </w:r>
          </w:p>
        </w:tc>
        <w:tc>
          <w:tcPr>
            <w:tcW w:w="1133" w:type="dxa"/>
            <w:noWrap w:val="0"/>
            <w:vAlign w:val="center"/>
          </w:tcPr>
          <w:p>
            <w:pPr>
              <w:spacing w:line="360" w:lineRule="exact"/>
              <w:jc w:val="center"/>
              <w:rPr>
                <w:rFonts w:hint="eastAsia"/>
                <w:sz w:val="21"/>
                <w:szCs w:val="21"/>
              </w:rPr>
            </w:pPr>
            <w:r>
              <w:rPr>
                <w:rFonts w:hint="eastAsia"/>
                <w:sz w:val="21"/>
                <w:szCs w:val="21"/>
              </w:rPr>
              <w:t>噪声</w:t>
            </w:r>
          </w:p>
          <w:p>
            <w:pPr>
              <w:spacing w:line="360" w:lineRule="exact"/>
              <w:jc w:val="center"/>
              <w:rPr>
                <w:rFonts w:hint="eastAsia"/>
                <w:sz w:val="21"/>
                <w:szCs w:val="21"/>
              </w:rPr>
            </w:pPr>
            <w:r>
              <w:rPr>
                <w:rFonts w:hint="eastAsia"/>
                <w:sz w:val="21"/>
                <w:szCs w:val="21"/>
              </w:rPr>
              <w:t>影响值</w:t>
            </w:r>
          </w:p>
        </w:tc>
        <w:tc>
          <w:tcPr>
            <w:tcW w:w="1587" w:type="dxa"/>
            <w:noWrap w:val="0"/>
            <w:vAlign w:val="center"/>
          </w:tcPr>
          <w:p>
            <w:pPr>
              <w:spacing w:line="360" w:lineRule="exact"/>
              <w:jc w:val="center"/>
              <w:rPr>
                <w:rFonts w:hint="eastAsia"/>
                <w:sz w:val="21"/>
                <w:szCs w:val="21"/>
              </w:rPr>
            </w:pPr>
            <w:r>
              <w:rPr>
                <w:rFonts w:hint="eastAsia"/>
                <w:sz w:val="21"/>
                <w:szCs w:val="21"/>
              </w:rPr>
              <w:t>标准值</w:t>
            </w:r>
          </w:p>
        </w:tc>
        <w:tc>
          <w:tcPr>
            <w:tcW w:w="3111" w:type="dxa"/>
            <w:noWrap w:val="0"/>
            <w:vAlign w:val="center"/>
          </w:tcPr>
          <w:p>
            <w:pPr>
              <w:spacing w:line="360" w:lineRule="exact"/>
              <w:jc w:val="center"/>
              <w:rPr>
                <w:rFonts w:hint="eastAsia"/>
                <w:sz w:val="21"/>
                <w:szCs w:val="21"/>
              </w:rPr>
            </w:pPr>
            <w:r>
              <w:rPr>
                <w:rFonts w:hint="eastAsia"/>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exact"/>
          <w:jc w:val="center"/>
        </w:trPr>
        <w:tc>
          <w:tcPr>
            <w:tcW w:w="1713" w:type="dxa"/>
            <w:noWrap w:val="0"/>
            <w:vAlign w:val="center"/>
          </w:tcPr>
          <w:p>
            <w:pPr>
              <w:pStyle w:val="18"/>
              <w:spacing w:line="360" w:lineRule="exact"/>
              <w:jc w:val="center"/>
              <w:rPr>
                <w:rFonts w:hint="eastAsia"/>
                <w:sz w:val="21"/>
                <w:szCs w:val="21"/>
              </w:rPr>
            </w:pPr>
            <w:r>
              <w:rPr>
                <w:rFonts w:hint="eastAsia"/>
                <w:sz w:val="21"/>
                <w:szCs w:val="21"/>
              </w:rPr>
              <w:t>东厂界</w:t>
            </w:r>
          </w:p>
        </w:tc>
        <w:tc>
          <w:tcPr>
            <w:tcW w:w="1133" w:type="dxa"/>
            <w:noWrap w:val="0"/>
            <w:vAlign w:val="center"/>
          </w:tcPr>
          <w:p>
            <w:pPr>
              <w:pStyle w:val="18"/>
              <w:spacing w:line="360" w:lineRule="exact"/>
              <w:jc w:val="center"/>
              <w:rPr>
                <w:rFonts w:hint="eastAsia"/>
                <w:sz w:val="21"/>
                <w:szCs w:val="21"/>
                <w:highlight w:val="yellow"/>
              </w:rPr>
            </w:pPr>
            <w:r>
              <w:rPr>
                <w:rFonts w:hint="eastAsia"/>
                <w:sz w:val="21"/>
                <w:szCs w:val="21"/>
                <w:highlight w:val="yellow"/>
              </w:rPr>
              <w:t>46.0</w:t>
            </w:r>
          </w:p>
        </w:tc>
        <w:tc>
          <w:tcPr>
            <w:tcW w:w="1587" w:type="dxa"/>
            <w:vMerge w:val="restart"/>
            <w:noWrap w:val="0"/>
            <w:vAlign w:val="center"/>
          </w:tcPr>
          <w:p>
            <w:pPr>
              <w:pStyle w:val="18"/>
              <w:spacing w:line="360" w:lineRule="exact"/>
              <w:jc w:val="center"/>
              <w:rPr>
                <w:rFonts w:hint="eastAsia"/>
                <w:sz w:val="21"/>
                <w:szCs w:val="21"/>
              </w:rPr>
            </w:pPr>
            <w:r>
              <w:rPr>
                <w:rFonts w:hint="eastAsia"/>
                <w:sz w:val="21"/>
                <w:szCs w:val="21"/>
              </w:rPr>
              <w:t>昼间60 dB夜间50 dB</w:t>
            </w:r>
          </w:p>
        </w:tc>
        <w:tc>
          <w:tcPr>
            <w:tcW w:w="3111" w:type="dxa"/>
            <w:noWrap w:val="0"/>
            <w:vAlign w:val="center"/>
          </w:tcPr>
          <w:p>
            <w:pPr>
              <w:pStyle w:val="18"/>
              <w:spacing w:line="360" w:lineRule="exact"/>
              <w:jc w:val="center"/>
              <w:rPr>
                <w:rFonts w:hint="eastAsia"/>
                <w:sz w:val="21"/>
                <w:szCs w:val="21"/>
              </w:rPr>
            </w:pPr>
            <w:r>
              <w:rPr>
                <w:rFonts w:hint="eastAsia"/>
                <w:sz w:val="21"/>
                <w:szCs w:val="21"/>
              </w:rPr>
              <w:t>昼夜达标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exact"/>
          <w:jc w:val="center"/>
        </w:trPr>
        <w:tc>
          <w:tcPr>
            <w:tcW w:w="1713" w:type="dxa"/>
            <w:noWrap w:val="0"/>
            <w:vAlign w:val="center"/>
          </w:tcPr>
          <w:p>
            <w:pPr>
              <w:pStyle w:val="18"/>
              <w:spacing w:line="360" w:lineRule="exact"/>
              <w:jc w:val="center"/>
              <w:rPr>
                <w:rFonts w:hint="eastAsia"/>
                <w:sz w:val="21"/>
                <w:szCs w:val="21"/>
              </w:rPr>
            </w:pPr>
            <w:r>
              <w:rPr>
                <w:rFonts w:hint="eastAsia"/>
                <w:sz w:val="21"/>
                <w:szCs w:val="21"/>
              </w:rPr>
              <w:t>南厂界</w:t>
            </w:r>
          </w:p>
        </w:tc>
        <w:tc>
          <w:tcPr>
            <w:tcW w:w="1133" w:type="dxa"/>
            <w:noWrap w:val="0"/>
            <w:vAlign w:val="center"/>
          </w:tcPr>
          <w:p>
            <w:pPr>
              <w:pStyle w:val="18"/>
              <w:spacing w:line="360" w:lineRule="exact"/>
              <w:jc w:val="center"/>
              <w:rPr>
                <w:rFonts w:hint="eastAsia"/>
                <w:sz w:val="21"/>
                <w:szCs w:val="21"/>
              </w:rPr>
            </w:pPr>
            <w:r>
              <w:rPr>
                <w:rFonts w:hint="eastAsia"/>
                <w:sz w:val="21"/>
                <w:szCs w:val="21"/>
              </w:rPr>
              <w:t>44.5</w:t>
            </w:r>
          </w:p>
        </w:tc>
        <w:tc>
          <w:tcPr>
            <w:tcW w:w="1587" w:type="dxa"/>
            <w:vMerge w:val="continue"/>
            <w:noWrap w:val="0"/>
            <w:vAlign w:val="center"/>
          </w:tcPr>
          <w:p>
            <w:pPr>
              <w:pStyle w:val="18"/>
              <w:spacing w:line="360" w:lineRule="exact"/>
              <w:jc w:val="center"/>
              <w:rPr>
                <w:rFonts w:hint="eastAsia"/>
                <w:sz w:val="21"/>
                <w:szCs w:val="21"/>
              </w:rPr>
            </w:pPr>
          </w:p>
        </w:tc>
        <w:tc>
          <w:tcPr>
            <w:tcW w:w="3111" w:type="dxa"/>
            <w:noWrap w:val="0"/>
            <w:vAlign w:val="center"/>
          </w:tcPr>
          <w:p>
            <w:pPr>
              <w:pStyle w:val="18"/>
              <w:spacing w:line="360" w:lineRule="exact"/>
              <w:jc w:val="center"/>
              <w:rPr>
                <w:rFonts w:hint="eastAsia"/>
                <w:sz w:val="21"/>
                <w:szCs w:val="21"/>
              </w:rPr>
            </w:pPr>
            <w:r>
              <w:rPr>
                <w:rFonts w:hint="eastAsia"/>
                <w:sz w:val="21"/>
                <w:szCs w:val="21"/>
              </w:rPr>
              <w:t>昼夜达标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exact"/>
          <w:jc w:val="center"/>
        </w:trPr>
        <w:tc>
          <w:tcPr>
            <w:tcW w:w="1713" w:type="dxa"/>
            <w:noWrap w:val="0"/>
            <w:vAlign w:val="center"/>
          </w:tcPr>
          <w:p>
            <w:pPr>
              <w:pStyle w:val="18"/>
              <w:spacing w:line="360" w:lineRule="exact"/>
              <w:jc w:val="center"/>
              <w:rPr>
                <w:rFonts w:hint="eastAsia"/>
                <w:sz w:val="21"/>
                <w:szCs w:val="21"/>
              </w:rPr>
            </w:pPr>
            <w:r>
              <w:rPr>
                <w:rFonts w:hint="eastAsia"/>
                <w:sz w:val="21"/>
                <w:szCs w:val="21"/>
              </w:rPr>
              <w:t>西厂界</w:t>
            </w:r>
          </w:p>
        </w:tc>
        <w:tc>
          <w:tcPr>
            <w:tcW w:w="1133" w:type="dxa"/>
            <w:noWrap w:val="0"/>
            <w:vAlign w:val="center"/>
          </w:tcPr>
          <w:p>
            <w:pPr>
              <w:pStyle w:val="18"/>
              <w:spacing w:line="360" w:lineRule="exact"/>
              <w:jc w:val="center"/>
              <w:rPr>
                <w:rFonts w:hint="eastAsia"/>
                <w:sz w:val="21"/>
                <w:szCs w:val="21"/>
              </w:rPr>
            </w:pPr>
            <w:r>
              <w:rPr>
                <w:rFonts w:hint="eastAsia"/>
                <w:sz w:val="21"/>
                <w:szCs w:val="21"/>
              </w:rPr>
              <w:t>54.5</w:t>
            </w:r>
          </w:p>
        </w:tc>
        <w:tc>
          <w:tcPr>
            <w:tcW w:w="1587" w:type="dxa"/>
            <w:vMerge w:val="continue"/>
            <w:noWrap w:val="0"/>
            <w:vAlign w:val="center"/>
          </w:tcPr>
          <w:p>
            <w:pPr>
              <w:pStyle w:val="18"/>
              <w:spacing w:line="360" w:lineRule="exact"/>
              <w:jc w:val="center"/>
              <w:rPr>
                <w:rFonts w:hint="eastAsia"/>
                <w:sz w:val="21"/>
                <w:szCs w:val="21"/>
              </w:rPr>
            </w:pPr>
          </w:p>
        </w:tc>
        <w:tc>
          <w:tcPr>
            <w:tcW w:w="3111" w:type="dxa"/>
            <w:noWrap w:val="0"/>
            <w:vAlign w:val="center"/>
          </w:tcPr>
          <w:p>
            <w:pPr>
              <w:pStyle w:val="18"/>
              <w:spacing w:line="360" w:lineRule="exact"/>
              <w:jc w:val="center"/>
              <w:rPr>
                <w:rFonts w:hint="eastAsia"/>
                <w:sz w:val="21"/>
                <w:szCs w:val="21"/>
              </w:rPr>
            </w:pPr>
            <w:r>
              <w:rPr>
                <w:rFonts w:hint="eastAsia"/>
                <w:sz w:val="21"/>
                <w:szCs w:val="21"/>
              </w:rPr>
              <w:t>昼间达标，夜间不达标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exact"/>
          <w:jc w:val="center"/>
        </w:trPr>
        <w:tc>
          <w:tcPr>
            <w:tcW w:w="1713" w:type="dxa"/>
            <w:noWrap w:val="0"/>
            <w:vAlign w:val="center"/>
          </w:tcPr>
          <w:p>
            <w:pPr>
              <w:pStyle w:val="18"/>
              <w:spacing w:line="360" w:lineRule="exact"/>
              <w:jc w:val="center"/>
              <w:rPr>
                <w:rFonts w:hint="eastAsia"/>
                <w:sz w:val="21"/>
                <w:szCs w:val="21"/>
              </w:rPr>
            </w:pPr>
            <w:r>
              <w:rPr>
                <w:rFonts w:hint="eastAsia"/>
                <w:sz w:val="21"/>
                <w:szCs w:val="21"/>
              </w:rPr>
              <w:t>北厂界</w:t>
            </w:r>
          </w:p>
        </w:tc>
        <w:tc>
          <w:tcPr>
            <w:tcW w:w="1133" w:type="dxa"/>
            <w:noWrap w:val="0"/>
            <w:vAlign w:val="center"/>
          </w:tcPr>
          <w:p>
            <w:pPr>
              <w:pStyle w:val="18"/>
              <w:spacing w:line="360" w:lineRule="exact"/>
              <w:jc w:val="center"/>
              <w:rPr>
                <w:rFonts w:hint="eastAsia"/>
                <w:sz w:val="21"/>
                <w:szCs w:val="21"/>
              </w:rPr>
            </w:pPr>
            <w:r>
              <w:rPr>
                <w:rFonts w:hint="eastAsia"/>
                <w:sz w:val="21"/>
                <w:szCs w:val="21"/>
              </w:rPr>
              <w:t>49.0</w:t>
            </w:r>
          </w:p>
        </w:tc>
        <w:tc>
          <w:tcPr>
            <w:tcW w:w="1587" w:type="dxa"/>
            <w:vMerge w:val="continue"/>
            <w:noWrap w:val="0"/>
            <w:vAlign w:val="center"/>
          </w:tcPr>
          <w:p>
            <w:pPr>
              <w:pStyle w:val="18"/>
              <w:spacing w:line="360" w:lineRule="exact"/>
              <w:jc w:val="center"/>
              <w:rPr>
                <w:rFonts w:hint="eastAsia"/>
                <w:sz w:val="21"/>
                <w:szCs w:val="21"/>
              </w:rPr>
            </w:pPr>
          </w:p>
        </w:tc>
        <w:tc>
          <w:tcPr>
            <w:tcW w:w="3111" w:type="dxa"/>
            <w:noWrap w:val="0"/>
            <w:vAlign w:val="center"/>
          </w:tcPr>
          <w:p>
            <w:pPr>
              <w:pStyle w:val="18"/>
              <w:spacing w:line="360" w:lineRule="exact"/>
              <w:jc w:val="center"/>
              <w:rPr>
                <w:rFonts w:hint="eastAsia"/>
                <w:sz w:val="21"/>
                <w:szCs w:val="21"/>
              </w:rPr>
            </w:pPr>
            <w:r>
              <w:rPr>
                <w:rFonts w:hint="eastAsia"/>
                <w:sz w:val="21"/>
                <w:szCs w:val="21"/>
              </w:rPr>
              <w:t>昼夜达标</w:t>
            </w:r>
          </w:p>
        </w:tc>
      </w:tr>
    </w:tbl>
    <w:p>
      <w:pPr>
        <w:spacing w:line="460" w:lineRule="exact"/>
        <w:jc w:val="center"/>
        <w:rPr>
          <w:rFonts w:hint="eastAsia"/>
          <w:b/>
        </w:rPr>
      </w:pPr>
    </w:p>
    <w:p>
      <w:pPr>
        <w:spacing w:line="460" w:lineRule="exact"/>
        <w:jc w:val="center"/>
        <w:rPr>
          <w:rFonts w:hint="eastAsia"/>
        </w:rPr>
      </w:pPr>
      <w:r>
        <w:rPr>
          <w:rFonts w:hint="eastAsia"/>
          <w:b/>
        </w:rPr>
        <w:t xml:space="preserve">表8-23  声环境敏感点噪声影响预测结果 </w:t>
      </w:r>
      <w:r>
        <w:rPr>
          <w:rFonts w:hint="eastAsia"/>
        </w:rPr>
        <w:t xml:space="preserve">   单位：dB</w:t>
      </w:r>
    </w:p>
    <w:tbl>
      <w:tblPr>
        <w:tblStyle w:val="20"/>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091"/>
        <w:gridCol w:w="1156"/>
        <w:gridCol w:w="820"/>
        <w:gridCol w:w="1371"/>
        <w:gridCol w:w="1371"/>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79" w:type="dxa"/>
            <w:vMerge w:val="restart"/>
            <w:noWrap w:val="0"/>
            <w:vAlign w:val="center"/>
          </w:tcPr>
          <w:p>
            <w:pPr>
              <w:spacing w:line="360" w:lineRule="exact"/>
              <w:jc w:val="center"/>
              <w:rPr>
                <w:rFonts w:hint="eastAsia"/>
                <w:sz w:val="21"/>
                <w:szCs w:val="21"/>
              </w:rPr>
            </w:pPr>
            <w:r>
              <w:rPr>
                <w:rFonts w:hint="eastAsia"/>
                <w:sz w:val="21"/>
                <w:szCs w:val="21"/>
              </w:rPr>
              <w:t>预测点名称</w:t>
            </w:r>
          </w:p>
        </w:tc>
        <w:tc>
          <w:tcPr>
            <w:tcW w:w="2247" w:type="dxa"/>
            <w:gridSpan w:val="2"/>
            <w:noWrap w:val="0"/>
            <w:vAlign w:val="center"/>
          </w:tcPr>
          <w:p>
            <w:pPr>
              <w:spacing w:line="360" w:lineRule="exact"/>
              <w:jc w:val="center"/>
              <w:rPr>
                <w:rFonts w:hint="eastAsia"/>
                <w:sz w:val="21"/>
                <w:szCs w:val="21"/>
              </w:rPr>
            </w:pPr>
            <w:r>
              <w:rPr>
                <w:rFonts w:hint="eastAsia"/>
                <w:sz w:val="21"/>
                <w:szCs w:val="21"/>
              </w:rPr>
              <w:t>背景噪声值</w:t>
            </w:r>
          </w:p>
        </w:tc>
        <w:tc>
          <w:tcPr>
            <w:tcW w:w="820" w:type="dxa"/>
            <w:vMerge w:val="restart"/>
            <w:noWrap w:val="0"/>
            <w:vAlign w:val="center"/>
          </w:tcPr>
          <w:p>
            <w:pPr>
              <w:spacing w:line="360" w:lineRule="exact"/>
              <w:jc w:val="center"/>
              <w:rPr>
                <w:rFonts w:hint="eastAsia"/>
                <w:sz w:val="21"/>
                <w:szCs w:val="21"/>
              </w:rPr>
            </w:pPr>
            <w:r>
              <w:rPr>
                <w:rFonts w:hint="eastAsia"/>
                <w:sz w:val="21"/>
                <w:szCs w:val="21"/>
              </w:rPr>
              <w:t>噪声影响值</w:t>
            </w:r>
          </w:p>
        </w:tc>
        <w:tc>
          <w:tcPr>
            <w:tcW w:w="2742" w:type="dxa"/>
            <w:gridSpan w:val="2"/>
            <w:noWrap w:val="0"/>
            <w:vAlign w:val="center"/>
          </w:tcPr>
          <w:p>
            <w:pPr>
              <w:spacing w:line="360" w:lineRule="exact"/>
              <w:jc w:val="center"/>
              <w:rPr>
                <w:rFonts w:hint="eastAsia"/>
                <w:sz w:val="21"/>
                <w:szCs w:val="21"/>
              </w:rPr>
            </w:pPr>
            <w:r>
              <w:rPr>
                <w:rFonts w:hint="eastAsia"/>
                <w:sz w:val="21"/>
                <w:szCs w:val="21"/>
              </w:rPr>
              <w:t>叠加值</w:t>
            </w:r>
          </w:p>
        </w:tc>
        <w:tc>
          <w:tcPr>
            <w:tcW w:w="1160" w:type="dxa"/>
            <w:vMerge w:val="restart"/>
            <w:noWrap w:val="0"/>
            <w:vAlign w:val="center"/>
          </w:tcPr>
          <w:p>
            <w:pPr>
              <w:spacing w:line="360" w:lineRule="exact"/>
              <w:jc w:val="center"/>
              <w:rPr>
                <w:rFonts w:hint="eastAsia"/>
                <w:sz w:val="21"/>
                <w:szCs w:val="21"/>
              </w:rPr>
            </w:pPr>
            <w:r>
              <w:rPr>
                <w:rFonts w:hint="eastAsia"/>
                <w:sz w:val="21"/>
                <w:szCs w:val="21"/>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79" w:type="dxa"/>
            <w:vMerge w:val="continue"/>
            <w:noWrap w:val="0"/>
            <w:vAlign w:val="center"/>
          </w:tcPr>
          <w:p>
            <w:pPr>
              <w:spacing w:line="360" w:lineRule="exact"/>
              <w:jc w:val="center"/>
              <w:rPr>
                <w:rFonts w:hint="eastAsia"/>
                <w:sz w:val="21"/>
                <w:szCs w:val="21"/>
              </w:rPr>
            </w:pPr>
          </w:p>
        </w:tc>
        <w:tc>
          <w:tcPr>
            <w:tcW w:w="1091" w:type="dxa"/>
            <w:noWrap w:val="0"/>
            <w:vAlign w:val="center"/>
          </w:tcPr>
          <w:p>
            <w:pPr>
              <w:spacing w:line="360" w:lineRule="exact"/>
              <w:jc w:val="center"/>
              <w:rPr>
                <w:rFonts w:hint="eastAsia"/>
                <w:sz w:val="21"/>
                <w:szCs w:val="21"/>
              </w:rPr>
            </w:pPr>
            <w:r>
              <w:rPr>
                <w:rFonts w:hint="eastAsia"/>
                <w:sz w:val="21"/>
                <w:szCs w:val="21"/>
              </w:rPr>
              <w:t>昼间</w:t>
            </w:r>
          </w:p>
        </w:tc>
        <w:tc>
          <w:tcPr>
            <w:tcW w:w="1156" w:type="dxa"/>
            <w:noWrap w:val="0"/>
            <w:vAlign w:val="center"/>
          </w:tcPr>
          <w:p>
            <w:pPr>
              <w:spacing w:line="360" w:lineRule="exact"/>
              <w:jc w:val="center"/>
              <w:rPr>
                <w:rFonts w:hint="eastAsia"/>
                <w:sz w:val="21"/>
                <w:szCs w:val="21"/>
              </w:rPr>
            </w:pPr>
            <w:r>
              <w:rPr>
                <w:rFonts w:hint="eastAsia"/>
                <w:sz w:val="21"/>
                <w:szCs w:val="21"/>
              </w:rPr>
              <w:t>夜间</w:t>
            </w:r>
          </w:p>
        </w:tc>
        <w:tc>
          <w:tcPr>
            <w:tcW w:w="820" w:type="dxa"/>
            <w:vMerge w:val="continue"/>
            <w:noWrap w:val="0"/>
            <w:vAlign w:val="center"/>
          </w:tcPr>
          <w:p>
            <w:pPr>
              <w:spacing w:line="360" w:lineRule="exact"/>
              <w:jc w:val="center"/>
              <w:rPr>
                <w:rFonts w:hint="eastAsia"/>
                <w:sz w:val="21"/>
                <w:szCs w:val="21"/>
              </w:rPr>
            </w:pPr>
          </w:p>
        </w:tc>
        <w:tc>
          <w:tcPr>
            <w:tcW w:w="1371" w:type="dxa"/>
            <w:noWrap w:val="0"/>
            <w:vAlign w:val="center"/>
          </w:tcPr>
          <w:p>
            <w:pPr>
              <w:spacing w:line="360" w:lineRule="exact"/>
              <w:jc w:val="center"/>
              <w:rPr>
                <w:rFonts w:hint="eastAsia"/>
                <w:sz w:val="21"/>
                <w:szCs w:val="21"/>
              </w:rPr>
            </w:pPr>
            <w:r>
              <w:rPr>
                <w:rFonts w:hint="eastAsia"/>
                <w:sz w:val="21"/>
                <w:szCs w:val="21"/>
              </w:rPr>
              <w:t>昼间</w:t>
            </w:r>
          </w:p>
        </w:tc>
        <w:tc>
          <w:tcPr>
            <w:tcW w:w="1371" w:type="dxa"/>
            <w:noWrap w:val="0"/>
            <w:vAlign w:val="center"/>
          </w:tcPr>
          <w:p>
            <w:pPr>
              <w:spacing w:line="360" w:lineRule="exact"/>
              <w:jc w:val="center"/>
              <w:rPr>
                <w:rFonts w:hint="eastAsia"/>
                <w:sz w:val="21"/>
                <w:szCs w:val="21"/>
              </w:rPr>
            </w:pPr>
            <w:r>
              <w:rPr>
                <w:rFonts w:hint="eastAsia"/>
                <w:sz w:val="21"/>
                <w:szCs w:val="21"/>
              </w:rPr>
              <w:t>夜间</w:t>
            </w:r>
          </w:p>
        </w:tc>
        <w:tc>
          <w:tcPr>
            <w:tcW w:w="1160" w:type="dxa"/>
            <w:vMerge w:val="continue"/>
            <w:noWrap w:val="0"/>
            <w:vAlign w:val="center"/>
          </w:tcPr>
          <w:p>
            <w:pPr>
              <w:spacing w:line="36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9" w:type="dxa"/>
            <w:noWrap w:val="0"/>
            <w:vAlign w:val="center"/>
          </w:tcPr>
          <w:p>
            <w:pPr>
              <w:pStyle w:val="18"/>
              <w:spacing w:line="360" w:lineRule="exact"/>
              <w:jc w:val="center"/>
              <w:rPr>
                <w:rFonts w:hint="eastAsia"/>
                <w:sz w:val="21"/>
                <w:szCs w:val="21"/>
              </w:rPr>
            </w:pPr>
            <w:r>
              <w:rPr>
                <w:rFonts w:hint="eastAsia"/>
                <w:sz w:val="21"/>
                <w:szCs w:val="21"/>
              </w:rPr>
              <w:t>关口村</w:t>
            </w:r>
          </w:p>
        </w:tc>
        <w:tc>
          <w:tcPr>
            <w:tcW w:w="1091" w:type="dxa"/>
            <w:noWrap w:val="0"/>
            <w:vAlign w:val="center"/>
          </w:tcPr>
          <w:p>
            <w:pPr>
              <w:spacing w:line="360" w:lineRule="exact"/>
              <w:jc w:val="center"/>
              <w:rPr>
                <w:rFonts w:hint="eastAsia"/>
                <w:sz w:val="21"/>
                <w:szCs w:val="21"/>
              </w:rPr>
            </w:pPr>
            <w:r>
              <w:rPr>
                <w:rFonts w:hint="eastAsia"/>
                <w:sz w:val="21"/>
                <w:szCs w:val="21"/>
              </w:rPr>
              <w:t>52.3--54.1</w:t>
            </w:r>
          </w:p>
        </w:tc>
        <w:tc>
          <w:tcPr>
            <w:tcW w:w="1156" w:type="dxa"/>
            <w:noWrap w:val="0"/>
            <w:vAlign w:val="center"/>
          </w:tcPr>
          <w:p>
            <w:pPr>
              <w:spacing w:line="360" w:lineRule="exact"/>
              <w:jc w:val="center"/>
              <w:rPr>
                <w:rFonts w:hint="eastAsia"/>
                <w:sz w:val="21"/>
                <w:szCs w:val="21"/>
              </w:rPr>
            </w:pPr>
            <w:r>
              <w:rPr>
                <w:rFonts w:hint="eastAsia"/>
                <w:sz w:val="21"/>
                <w:szCs w:val="21"/>
              </w:rPr>
              <w:t>44.1--46.1</w:t>
            </w:r>
          </w:p>
        </w:tc>
        <w:tc>
          <w:tcPr>
            <w:tcW w:w="820" w:type="dxa"/>
            <w:noWrap w:val="0"/>
            <w:vAlign w:val="center"/>
          </w:tcPr>
          <w:p>
            <w:pPr>
              <w:pStyle w:val="18"/>
              <w:spacing w:line="360" w:lineRule="exact"/>
              <w:jc w:val="center"/>
              <w:rPr>
                <w:rFonts w:hint="eastAsia"/>
                <w:sz w:val="21"/>
                <w:szCs w:val="21"/>
              </w:rPr>
            </w:pPr>
            <w:r>
              <w:rPr>
                <w:rFonts w:hint="eastAsia"/>
                <w:sz w:val="21"/>
                <w:szCs w:val="21"/>
              </w:rPr>
              <w:t>48.0</w:t>
            </w:r>
          </w:p>
        </w:tc>
        <w:tc>
          <w:tcPr>
            <w:tcW w:w="1371" w:type="dxa"/>
            <w:noWrap w:val="0"/>
            <w:vAlign w:val="center"/>
          </w:tcPr>
          <w:p>
            <w:pPr>
              <w:spacing w:line="360" w:lineRule="exact"/>
              <w:jc w:val="center"/>
              <w:rPr>
                <w:rFonts w:hint="eastAsia"/>
                <w:sz w:val="21"/>
                <w:szCs w:val="21"/>
              </w:rPr>
            </w:pPr>
            <w:r>
              <w:rPr>
                <w:rFonts w:hint="eastAsia"/>
                <w:sz w:val="21"/>
                <w:szCs w:val="21"/>
              </w:rPr>
              <w:t>53.7</w:t>
            </w:r>
            <w:r>
              <w:rPr>
                <w:sz w:val="21"/>
                <w:szCs w:val="21"/>
              </w:rPr>
              <w:t>—</w:t>
            </w:r>
            <w:r>
              <w:rPr>
                <w:rFonts w:hint="eastAsia"/>
                <w:sz w:val="21"/>
                <w:szCs w:val="21"/>
              </w:rPr>
              <w:t>55.0</w:t>
            </w:r>
          </w:p>
        </w:tc>
        <w:tc>
          <w:tcPr>
            <w:tcW w:w="1371" w:type="dxa"/>
            <w:noWrap w:val="0"/>
            <w:vAlign w:val="center"/>
          </w:tcPr>
          <w:p>
            <w:pPr>
              <w:spacing w:line="360" w:lineRule="exact"/>
              <w:jc w:val="center"/>
              <w:rPr>
                <w:rFonts w:hint="eastAsia"/>
                <w:sz w:val="21"/>
                <w:szCs w:val="21"/>
              </w:rPr>
            </w:pPr>
            <w:r>
              <w:rPr>
                <w:rFonts w:hint="eastAsia"/>
                <w:sz w:val="21"/>
                <w:szCs w:val="21"/>
              </w:rPr>
              <w:t>49.5</w:t>
            </w:r>
            <w:r>
              <w:rPr>
                <w:sz w:val="21"/>
                <w:szCs w:val="21"/>
              </w:rPr>
              <w:t>—</w:t>
            </w:r>
            <w:r>
              <w:rPr>
                <w:rFonts w:hint="eastAsia"/>
                <w:sz w:val="21"/>
                <w:szCs w:val="21"/>
              </w:rPr>
              <w:t>50.2</w:t>
            </w:r>
          </w:p>
        </w:tc>
        <w:tc>
          <w:tcPr>
            <w:tcW w:w="1160" w:type="dxa"/>
            <w:noWrap w:val="0"/>
            <w:vAlign w:val="center"/>
          </w:tcPr>
          <w:p>
            <w:pPr>
              <w:spacing w:line="360" w:lineRule="exact"/>
              <w:jc w:val="center"/>
              <w:rPr>
                <w:rFonts w:hint="eastAsia"/>
                <w:sz w:val="21"/>
                <w:szCs w:val="21"/>
              </w:rPr>
            </w:pPr>
            <w:r>
              <w:rPr>
                <w:rFonts w:hint="eastAsia"/>
                <w:sz w:val="21"/>
                <w:szCs w:val="21"/>
              </w:rPr>
              <w:t>昼间70</w:t>
            </w:r>
          </w:p>
          <w:p>
            <w:pPr>
              <w:spacing w:line="360" w:lineRule="exact"/>
              <w:jc w:val="center"/>
              <w:rPr>
                <w:rFonts w:hint="eastAsia"/>
                <w:sz w:val="21"/>
                <w:szCs w:val="21"/>
              </w:rPr>
            </w:pPr>
            <w:r>
              <w:rPr>
                <w:rFonts w:hint="eastAsia"/>
                <w:sz w:val="21"/>
                <w:szCs w:val="21"/>
              </w:rPr>
              <w:t>夜间55</w:t>
            </w:r>
          </w:p>
        </w:tc>
      </w:tr>
    </w:tbl>
    <w:p>
      <w:pPr>
        <w:spacing w:line="460" w:lineRule="exact"/>
        <w:ind w:firstLine="1148" w:firstLineChars="547"/>
        <w:rPr>
          <w:rFonts w:hint="eastAsia"/>
        </w:rPr>
      </w:pPr>
    </w:p>
    <w:p>
      <w:pPr>
        <w:adjustRightInd w:val="0"/>
        <w:snapToGrid w:val="0"/>
        <w:spacing w:line="360" w:lineRule="auto"/>
        <w:ind w:firstLine="480"/>
        <w:rPr>
          <w:rFonts w:hint="eastAsia"/>
        </w:rPr>
      </w:pPr>
      <w:r>
        <w:rPr>
          <w:rFonts w:hint="eastAsia"/>
        </w:rPr>
        <w:t>由表8-22的预测结果可知，技改项目投入运行后，按《工业企业厂界噪声标准》（GB12348-2008）中2类标准评价，昼间厂界噪声均能达标；夜间噪声西厂界超标，超标4.5dB。由表8-23的预测结果可知，按《声环境质量标准》（GB3096-2008）中2类标准评价，评价范围内的声环境敏感点噪声影响值较小，与背景噪声值叠加后，昼夜均能达标，不会造成噪声扰民现象的发生。</w:t>
      </w:r>
    </w:p>
    <w:p>
      <w:pPr>
        <w:spacing w:line="360" w:lineRule="auto"/>
        <w:outlineLvl w:val="1"/>
        <w:rPr>
          <w:rFonts w:hint="eastAsia"/>
          <w:b/>
          <w:bCs/>
        </w:rPr>
      </w:pPr>
      <w:bookmarkStart w:id="341" w:name="_Toc189814174"/>
      <w:bookmarkStart w:id="342" w:name="_Toc276372254"/>
      <w:bookmarkStart w:id="343" w:name="_Toc175479834"/>
      <w:bookmarkStart w:id="344" w:name="_Toc473281532"/>
      <w:r>
        <w:rPr>
          <w:rFonts w:hint="eastAsia"/>
          <w:b/>
          <w:bCs/>
        </w:rPr>
        <w:t>8.4固体废物影响分析</w:t>
      </w:r>
      <w:bookmarkEnd w:id="341"/>
      <w:bookmarkEnd w:id="342"/>
      <w:bookmarkEnd w:id="343"/>
      <w:bookmarkEnd w:id="344"/>
    </w:p>
    <w:p>
      <w:pPr>
        <w:spacing w:line="360" w:lineRule="auto"/>
        <w:ind w:firstLine="420" w:firstLineChars="200"/>
        <w:rPr>
          <w:rFonts w:hint="eastAsia"/>
          <w:bCs/>
        </w:rPr>
      </w:pPr>
      <w:r>
        <w:rPr>
          <w:rFonts w:hint="eastAsia"/>
        </w:rPr>
        <w:t xml:space="preserve"> </w:t>
      </w:r>
      <w:r>
        <w:rPr>
          <w:rFonts w:hint="eastAsia"/>
          <w:bCs/>
        </w:rPr>
        <w:t>技改项目固体废物主要由工业固体废物和生活垃圾构成。</w:t>
      </w:r>
    </w:p>
    <w:p>
      <w:pPr>
        <w:spacing w:line="360" w:lineRule="auto"/>
        <w:rPr>
          <w:rFonts w:hint="eastAsia"/>
          <w:b/>
        </w:rPr>
      </w:pPr>
      <w:r>
        <w:rPr>
          <w:rFonts w:hint="eastAsia"/>
          <w:b/>
        </w:rPr>
        <w:t>8.4.1工业固体废物环境影响分析</w:t>
      </w:r>
    </w:p>
    <w:p>
      <w:pPr>
        <w:widowControl/>
        <w:spacing w:line="360" w:lineRule="auto"/>
        <w:ind w:firstLine="420" w:firstLineChars="200"/>
        <w:rPr>
          <w:rFonts w:hint="eastAsia"/>
        </w:rPr>
      </w:pPr>
      <w:r>
        <w:rPr>
          <w:rFonts w:hint="eastAsia"/>
        </w:rPr>
        <w:t>（1）除尘灰</w:t>
      </w:r>
    </w:p>
    <w:p>
      <w:pPr>
        <w:spacing w:line="360" w:lineRule="auto"/>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产生量</w:t>
      </w:r>
      <w:r>
        <w:rPr>
          <w:rFonts w:hint="eastAsia"/>
          <w:sz w:val="21"/>
          <w:szCs w:val="21"/>
        </w:rPr>
        <w:t>183485.15</w:t>
      </w:r>
      <w:r>
        <w:rPr>
          <w:rFonts w:ascii="宋体" w:hAnsi="宋体"/>
        </w:rPr>
        <w:t>t/a</w:t>
      </w:r>
      <w:r>
        <w:rPr>
          <w:rFonts w:hint="eastAsia" w:ascii="宋体" w:hAnsi="宋体"/>
        </w:rPr>
        <w:t>。</w:t>
      </w:r>
      <w:r>
        <w:rPr>
          <w:rFonts w:hint="eastAsia"/>
        </w:rPr>
        <w:t>采取收集后作生产原料回用或产品外售利用，不排放</w:t>
      </w:r>
      <w:r>
        <w:rPr>
          <w:rFonts w:hint="eastAsia" w:ascii="宋体" w:hAnsi="宋体"/>
        </w:rPr>
        <w:t>。</w:t>
      </w:r>
    </w:p>
    <w:p>
      <w:pPr>
        <w:spacing w:line="360" w:lineRule="auto"/>
        <w:ind w:firstLine="420" w:firstLineChars="200"/>
        <w:rPr>
          <w:rFonts w:hint="eastAsia"/>
        </w:rPr>
      </w:pPr>
      <w:r>
        <w:rPr>
          <w:rFonts w:hint="eastAsia" w:ascii="宋体" w:hAnsi="宋体"/>
        </w:rPr>
        <w:t>（2）</w:t>
      </w:r>
      <w:r>
        <w:rPr>
          <w:rFonts w:hint="eastAsia"/>
        </w:rPr>
        <w:t>污水处理污泥</w:t>
      </w:r>
    </w:p>
    <w:p>
      <w:pPr>
        <w:spacing w:line="360" w:lineRule="auto"/>
        <w:ind w:firstLine="420" w:firstLineChars="200"/>
        <w:rPr>
          <w:rFonts w:hint="eastAsia"/>
        </w:rPr>
      </w:pPr>
      <w:r>
        <w:rPr>
          <w:rFonts w:hint="eastAsia"/>
        </w:rPr>
        <w:t>生活污水采取生化工艺处理时，产生污泥，</w:t>
      </w:r>
      <w:r>
        <w:rPr>
          <w:rFonts w:hint="eastAsia" w:ascii="宋体" w:hAnsi="宋体"/>
        </w:rPr>
        <w:t>产生量8.82</w:t>
      </w:r>
      <w:r>
        <w:rPr>
          <w:rFonts w:ascii="宋体" w:hAnsi="宋体"/>
        </w:rPr>
        <w:t>t/a</w:t>
      </w:r>
      <w:r>
        <w:rPr>
          <w:rFonts w:hint="eastAsia" w:ascii="宋体" w:hAnsi="宋体"/>
        </w:rPr>
        <w:t>(含水90％)。</w:t>
      </w:r>
      <w:r>
        <w:rPr>
          <w:rFonts w:hint="eastAsia"/>
        </w:rPr>
        <w:t>由于该污泥的成分与粘土类似，故可直接送水泥回转窑作水泥原料煅烧，不排放。</w:t>
      </w:r>
    </w:p>
    <w:p>
      <w:pPr>
        <w:spacing w:line="360" w:lineRule="auto"/>
        <w:ind w:left="31" w:leftChars="15" w:firstLine="420" w:firstLineChars="200"/>
        <w:rPr>
          <w:rFonts w:hint="eastAsia"/>
        </w:rPr>
      </w:pPr>
      <w:r>
        <w:rPr>
          <w:rFonts w:hint="eastAsia"/>
        </w:rPr>
        <w:t>由此可见，技改项目的工业固体废物全部进行了有效的回收利用，体现了国家“变废为宝、综合利用”的循环经济原则，不会对周围环境造成污染影响。</w:t>
      </w:r>
    </w:p>
    <w:p>
      <w:pPr>
        <w:spacing w:line="360" w:lineRule="auto"/>
        <w:rPr>
          <w:rFonts w:hint="eastAsia"/>
          <w:b/>
        </w:rPr>
      </w:pPr>
      <w:r>
        <w:rPr>
          <w:rFonts w:hint="eastAsia"/>
          <w:b/>
        </w:rPr>
        <w:t>8.4.2生活垃圾环境影响分析</w:t>
      </w:r>
    </w:p>
    <w:p>
      <w:pPr>
        <w:spacing w:line="360" w:lineRule="auto"/>
        <w:ind w:firstLine="420" w:firstLineChars="200"/>
        <w:rPr>
          <w:rFonts w:hint="eastAsia"/>
        </w:rPr>
      </w:pPr>
      <w:r>
        <w:rPr>
          <w:rFonts w:hint="eastAsia"/>
        </w:rPr>
        <w:t>全厂职工生活产生生活垃圾，产生</w:t>
      </w:r>
      <w:r>
        <w:rPr>
          <w:rFonts w:hint="eastAsia" w:ascii="宋体" w:hAnsi="宋体"/>
        </w:rPr>
        <w:t>量</w:t>
      </w:r>
      <w:r>
        <w:rPr>
          <w:rFonts w:hint="eastAsia"/>
        </w:rPr>
        <w:t>42.3</w:t>
      </w:r>
      <w:r>
        <w:rPr>
          <w:rFonts w:ascii="宋体" w:hAnsi="宋体"/>
        </w:rPr>
        <w:t>t/a</w:t>
      </w:r>
      <w:r>
        <w:rPr>
          <w:rFonts w:hint="eastAsia" w:ascii="宋体" w:hAnsi="宋体"/>
        </w:rPr>
        <w:t>。</w:t>
      </w:r>
      <w:r>
        <w:rPr>
          <w:rFonts w:hint="eastAsia"/>
        </w:rPr>
        <w:t>采取在厂区内设生活垃圾转运站，集中收集后，由青木关镇环卫部门送城市垃圾处理场卫生填埋，满足相关环保管理要求，对厂区和外环境影响很小。</w:t>
      </w:r>
    </w:p>
    <w:p>
      <w:pPr>
        <w:spacing w:line="360" w:lineRule="auto"/>
        <w:outlineLvl w:val="1"/>
        <w:rPr>
          <w:rFonts w:hint="eastAsia"/>
          <w:b/>
          <w:bCs/>
        </w:rPr>
      </w:pPr>
      <w:bookmarkStart w:id="345" w:name="_Toc276372255"/>
      <w:r>
        <w:rPr>
          <w:rFonts w:hint="eastAsia"/>
          <w:b/>
          <w:bCs/>
        </w:rPr>
        <w:t>8.5生态环境影响分析</w:t>
      </w:r>
      <w:bookmarkEnd w:id="345"/>
    </w:p>
    <w:p>
      <w:pPr>
        <w:spacing w:line="360" w:lineRule="auto"/>
        <w:rPr>
          <w:b/>
        </w:rPr>
      </w:pPr>
      <w:bookmarkStart w:id="346" w:name="_Toc232520403"/>
      <w:bookmarkStart w:id="347" w:name="_Toc231894502"/>
      <w:r>
        <w:rPr>
          <w:rFonts w:hint="eastAsia"/>
          <w:b/>
        </w:rPr>
        <w:t>8.5</w:t>
      </w:r>
      <w:r>
        <w:rPr>
          <w:b/>
        </w:rPr>
        <w:t>.1  区域生态系统类型</w:t>
      </w:r>
      <w:bookmarkEnd w:id="346"/>
      <w:bookmarkEnd w:id="347"/>
    </w:p>
    <w:p>
      <w:pPr>
        <w:adjustRightInd w:val="0"/>
        <w:snapToGrid w:val="0"/>
        <w:spacing w:line="360" w:lineRule="auto"/>
        <w:ind w:firstLine="420" w:firstLineChars="200"/>
        <w:rPr>
          <w:rFonts w:hint="eastAsia"/>
        </w:rPr>
      </w:pPr>
      <w:r>
        <w:rPr>
          <w:rFonts w:hint="eastAsia"/>
        </w:rPr>
        <w:t>技改项目所在地以农村生态系统为主，项目区位于一个深丘沟谷中部，沟谷位于319国道南侧，沟谷长约400m，宽约555m；地势总体南高北低。总体上呈“U”字型，地形起伏较大。</w:t>
      </w:r>
    </w:p>
    <w:p>
      <w:pPr>
        <w:adjustRightInd w:val="0"/>
        <w:snapToGrid w:val="0"/>
        <w:spacing w:line="360" w:lineRule="auto"/>
        <w:ind w:firstLine="420" w:firstLineChars="200"/>
        <w:rPr>
          <w:rFonts w:hint="eastAsia"/>
        </w:rPr>
      </w:pPr>
      <w:r>
        <w:rPr>
          <w:rFonts w:hint="eastAsia"/>
        </w:rPr>
        <w:t>评价区域内无其他自然保护区、重要生态功能区、风景名胜区、森林公园、渔业养殖场等，无生物（态）保护地（动植物园、生态保护地、示范区等），无生态脆弱区，无自然灾害易发区等生态敏感目标。</w:t>
      </w:r>
    </w:p>
    <w:p>
      <w:pPr>
        <w:spacing w:line="360" w:lineRule="auto"/>
        <w:rPr>
          <w:rFonts w:hint="eastAsia"/>
          <w:b/>
        </w:rPr>
      </w:pPr>
      <w:bookmarkStart w:id="348" w:name="_Toc232520404"/>
      <w:bookmarkStart w:id="349" w:name="_Toc231894503"/>
      <w:r>
        <w:rPr>
          <w:rFonts w:hint="eastAsia"/>
          <w:b/>
        </w:rPr>
        <w:t>8.5.</w:t>
      </w:r>
      <w:r>
        <w:rPr>
          <w:b/>
        </w:rPr>
        <w:t>2  生态环境影响分析</w:t>
      </w:r>
      <w:bookmarkEnd w:id="348"/>
      <w:bookmarkEnd w:id="349"/>
    </w:p>
    <w:p>
      <w:pPr>
        <w:adjustRightInd w:val="0"/>
        <w:snapToGrid w:val="0"/>
        <w:spacing w:line="360" w:lineRule="auto"/>
        <w:ind w:firstLine="420" w:firstLineChars="200"/>
        <w:rPr>
          <w:rFonts w:hint="eastAsia"/>
        </w:rPr>
      </w:pPr>
      <w:r>
        <w:rPr>
          <w:rFonts w:hint="eastAsia"/>
        </w:rPr>
        <w:t>技改项目的生态环境影响分析主要是项目实施后对附近植被和农作物、</w:t>
      </w:r>
      <w:r>
        <w:t>区域景观和清洁度</w:t>
      </w:r>
      <w:r>
        <w:rPr>
          <w:rFonts w:hint="eastAsia"/>
        </w:rPr>
        <w:t>的影响分析。</w:t>
      </w:r>
    </w:p>
    <w:p>
      <w:pPr>
        <w:adjustRightInd w:val="0"/>
        <w:snapToGrid w:val="0"/>
        <w:spacing w:line="360" w:lineRule="auto"/>
        <w:ind w:firstLine="420" w:firstLineChars="200"/>
      </w:pPr>
      <w:r>
        <w:rPr>
          <w:rFonts w:hint="eastAsia"/>
        </w:rPr>
        <w:t>（1）</w:t>
      </w:r>
      <w:r>
        <w:t>对植被和农作物的影响分析</w:t>
      </w:r>
    </w:p>
    <w:p>
      <w:pPr>
        <w:adjustRightInd w:val="0"/>
        <w:snapToGrid w:val="0"/>
        <w:spacing w:line="360" w:lineRule="auto"/>
        <w:ind w:firstLine="420" w:firstLineChars="200"/>
        <w:rPr>
          <w:rFonts w:hint="eastAsia"/>
        </w:rPr>
      </w:pPr>
      <w:r>
        <w:t>拟建项目对植被和农作物的影响主要是废气中SO</w:t>
      </w:r>
      <w:r>
        <w:rPr>
          <w:vertAlign w:val="subscript"/>
        </w:rPr>
        <w:t>2</w:t>
      </w:r>
      <w:r>
        <w:t>影响</w:t>
      </w:r>
      <w:r>
        <w:rPr>
          <w:rFonts w:hint="eastAsia"/>
        </w:rPr>
        <w:t>。</w:t>
      </w:r>
      <w:r>
        <w:t>对于SO</w:t>
      </w:r>
      <w:r>
        <w:rPr>
          <w:vertAlign w:val="subscript"/>
        </w:rPr>
        <w:t>2</w:t>
      </w:r>
      <w:r>
        <w:t>对植被和农作物的影响，根据大气中SO</w:t>
      </w:r>
      <w:r>
        <w:rPr>
          <w:vertAlign w:val="subscript"/>
        </w:rPr>
        <w:t>2</w:t>
      </w:r>
      <w:r>
        <w:t>对植物产生急性伤害的阈值，当环境空气中的SO</w:t>
      </w:r>
      <w:r>
        <w:rPr>
          <w:vertAlign w:val="subscript"/>
        </w:rPr>
        <w:t>2</w:t>
      </w:r>
      <w:r>
        <w:t>浓度为1mg/m3，且</w:t>
      </w:r>
      <w:r>
        <w:rPr>
          <w:rFonts w:hint="eastAsia"/>
        </w:rPr>
        <w:t>持</w:t>
      </w:r>
      <w:r>
        <w:t>续时间为6h时，某些植物约5％的叶面受损。</w:t>
      </w:r>
    </w:p>
    <w:p>
      <w:pPr>
        <w:adjustRightInd w:val="0"/>
        <w:snapToGrid w:val="0"/>
        <w:spacing w:line="360" w:lineRule="auto"/>
        <w:ind w:firstLine="420" w:firstLineChars="200"/>
      </w:pPr>
      <w:r>
        <w:rPr>
          <w:rFonts w:hint="eastAsia"/>
        </w:rPr>
        <w:t>本技改项目</w:t>
      </w:r>
      <w:r>
        <w:t>采用五级旋风预热器和分解炉</w:t>
      </w:r>
      <w:r>
        <w:rPr>
          <w:rFonts w:hint="eastAsia"/>
        </w:rPr>
        <w:t>组成窑外分解系统，</w:t>
      </w:r>
      <w:r>
        <w:t>该系统对硫的吸收率</w:t>
      </w:r>
      <w:r>
        <w:rPr>
          <w:rFonts w:hint="eastAsia"/>
        </w:rPr>
        <w:t>为95％，</w:t>
      </w:r>
      <w:r>
        <w:t>拟建工程</w:t>
      </w:r>
      <w:r>
        <w:rPr>
          <w:rFonts w:hint="eastAsia"/>
        </w:rPr>
        <w:t>外</w:t>
      </w:r>
      <w:r>
        <w:t>排</w:t>
      </w:r>
      <w:r>
        <w:rPr>
          <w:rFonts w:hint="eastAsia"/>
        </w:rPr>
        <w:t>的</w:t>
      </w:r>
      <w:r>
        <w:t>SO</w:t>
      </w:r>
      <w:r>
        <w:rPr>
          <w:vertAlign w:val="subscript"/>
        </w:rPr>
        <w:t>2</w:t>
      </w:r>
      <w:r>
        <w:t>总量为</w:t>
      </w:r>
      <w:r>
        <w:rPr>
          <w:rFonts w:hint="eastAsia"/>
        </w:rPr>
        <w:t>216.96</w:t>
      </w:r>
      <w:r>
        <w:t xml:space="preserve"> t/a</w:t>
      </w:r>
      <w:r>
        <w:rPr>
          <w:rFonts w:hint="eastAsia"/>
        </w:rPr>
        <w:t>。</w:t>
      </w:r>
      <w:r>
        <w:t>由环境空气质量影响预测评价可知，</w:t>
      </w:r>
      <w:r>
        <w:rPr>
          <w:rFonts w:hint="eastAsia"/>
        </w:rPr>
        <w:t>工程外排的</w:t>
      </w:r>
      <w:r>
        <w:t>SO</w:t>
      </w:r>
      <w:r>
        <w:rPr>
          <w:vertAlign w:val="subscript"/>
        </w:rPr>
        <w:t>2</w:t>
      </w:r>
      <w:r>
        <w:rPr>
          <w:rFonts w:hint="eastAsia"/>
        </w:rPr>
        <w:t>小时最大浓度</w:t>
      </w:r>
      <w:r>
        <w:t>为</w:t>
      </w:r>
      <w:r>
        <w:rPr>
          <w:rFonts w:hint="eastAsia"/>
        </w:rPr>
        <w:t>0.0606</w:t>
      </w:r>
      <w:r>
        <w:t>mg/m3，对植被和农作物的影响甚微。</w:t>
      </w:r>
    </w:p>
    <w:p>
      <w:pPr>
        <w:adjustRightInd w:val="0"/>
        <w:snapToGrid w:val="0"/>
        <w:spacing w:line="360" w:lineRule="auto"/>
        <w:ind w:firstLine="420" w:firstLineChars="200"/>
        <w:rPr>
          <w:rFonts w:hint="eastAsia"/>
        </w:rPr>
      </w:pPr>
      <w:r>
        <w:rPr>
          <w:rFonts w:hint="eastAsia"/>
        </w:rPr>
        <w:t xml:space="preserve">（2） </w:t>
      </w:r>
      <w:r>
        <w:t>对区域景观影响</w:t>
      </w:r>
    </w:p>
    <w:p>
      <w:pPr>
        <w:adjustRightInd w:val="0"/>
        <w:snapToGrid w:val="0"/>
        <w:spacing w:line="360" w:lineRule="auto"/>
        <w:ind w:firstLine="420" w:firstLineChars="200"/>
        <w:rPr>
          <w:rFonts w:hint="eastAsia"/>
        </w:rPr>
      </w:pPr>
      <w:r>
        <w:rPr>
          <w:rFonts w:hint="eastAsia"/>
        </w:rPr>
        <w:t>技改项目用</w:t>
      </w:r>
      <w:r>
        <w:t>地</w:t>
      </w:r>
      <w:r>
        <w:rPr>
          <w:rFonts w:hint="eastAsia"/>
        </w:rPr>
        <w:t>位于渝遂高速公路南侧，且渝遂高速公路相对位置较高，因此技改项目对渝遂高速公路的景观影响较大。但由于本项目为技改项目，由先进的新型干法旋窑生产线替代落后的机立窑生产线，厂区建设将更加规范，对产生的废气</w:t>
      </w:r>
      <w:r>
        <w:t>均采取有效、可靠的治理措施</w:t>
      </w:r>
      <w:r>
        <w:rPr>
          <w:rFonts w:hint="eastAsia"/>
        </w:rPr>
        <w:t>，同时将对350米以上的空地进行绿化，项目建成后将一改往日的浓烟滚滚，扬尘弥漫的景象，取而代之的是花园是工厂，因此，项目建设带来的景观正效益明显。</w:t>
      </w:r>
      <w:bookmarkStart w:id="350" w:name="_Toc49046301"/>
      <w:bookmarkStart w:id="351" w:name="_Toc232520405"/>
      <w:bookmarkStart w:id="352" w:name="_Toc48993302"/>
      <w:bookmarkStart w:id="353" w:name="_Toc49749997"/>
      <w:bookmarkStart w:id="354" w:name="_Toc238263236"/>
      <w:bookmarkStart w:id="355" w:name="_Toc48187364"/>
      <w:bookmarkStart w:id="356" w:name="_Toc152222694"/>
    </w:p>
    <w:p>
      <w:pPr>
        <w:spacing w:line="360" w:lineRule="auto"/>
        <w:outlineLvl w:val="1"/>
        <w:rPr>
          <w:b/>
          <w:bCs/>
        </w:rPr>
      </w:pPr>
      <w:bookmarkStart w:id="357" w:name="_Toc276372256"/>
      <w:r>
        <w:rPr>
          <w:rFonts w:hint="eastAsia"/>
          <w:b/>
          <w:bCs/>
        </w:rPr>
        <w:t>8.6</w:t>
      </w:r>
      <w:r>
        <w:rPr>
          <w:b/>
          <w:bCs/>
        </w:rPr>
        <w:t xml:space="preserve"> 运输对环境的影响分析</w:t>
      </w:r>
      <w:bookmarkEnd w:id="350"/>
      <w:bookmarkEnd w:id="351"/>
      <w:bookmarkEnd w:id="352"/>
      <w:bookmarkEnd w:id="353"/>
      <w:bookmarkEnd w:id="354"/>
      <w:bookmarkEnd w:id="355"/>
      <w:bookmarkEnd w:id="356"/>
      <w:bookmarkEnd w:id="357"/>
    </w:p>
    <w:p>
      <w:pPr>
        <w:adjustRightInd w:val="0"/>
        <w:snapToGrid w:val="0"/>
        <w:spacing w:line="360" w:lineRule="auto"/>
        <w:ind w:firstLine="420" w:firstLineChars="200"/>
        <w:rPr>
          <w:rFonts w:hint="eastAsia"/>
        </w:rPr>
      </w:pPr>
      <w:r>
        <w:t>工程建成投产后，厂内和厂外物流量较大，厂内运输主要是原、燃料的二次倒运。厂外运输主要是为保证项目的正常生产，</w:t>
      </w:r>
      <w:r>
        <w:rPr>
          <w:rFonts w:hint="eastAsia"/>
        </w:rPr>
        <w:t>生产用的原辅材料除了</w:t>
      </w:r>
      <w:r>
        <w:rPr>
          <w:rFonts w:hAnsi="宋体"/>
        </w:rPr>
        <w:t>煤矸石</w:t>
      </w:r>
      <w:r>
        <w:rPr>
          <w:rFonts w:hint="eastAsia"/>
        </w:rPr>
        <w:t>是用胶带机从煤矿输入，其余物料均通过319国道进出，</w:t>
      </w:r>
      <w:r>
        <w:t>每年需通过公路运进原辅材料</w:t>
      </w:r>
      <w:r>
        <w:rPr>
          <w:rFonts w:hint="eastAsia"/>
        </w:rPr>
        <w:t>154.1万</w:t>
      </w:r>
      <w:r>
        <w:t>t/a</w:t>
      </w:r>
      <w:r>
        <w:rPr>
          <w:rFonts w:hint="eastAsia"/>
        </w:rPr>
        <w:t>，</w:t>
      </w:r>
      <w:r>
        <w:t>生产出的产品水泥</w:t>
      </w:r>
      <w:r>
        <w:rPr>
          <w:rFonts w:hint="eastAsia"/>
        </w:rPr>
        <w:t>1</w:t>
      </w:r>
      <w:r>
        <w:t>0</w:t>
      </w:r>
      <w:r>
        <w:rPr>
          <w:rFonts w:hint="eastAsia"/>
        </w:rPr>
        <w:t>0万</w:t>
      </w:r>
      <w:r>
        <w:t>t/a</w:t>
      </w:r>
      <w:r>
        <w:rPr>
          <w:rFonts w:hint="eastAsia"/>
        </w:rPr>
        <w:t>。</w:t>
      </w:r>
    </w:p>
    <w:p>
      <w:pPr>
        <w:adjustRightInd w:val="0"/>
        <w:snapToGrid w:val="0"/>
        <w:spacing w:line="360" w:lineRule="auto"/>
        <w:ind w:firstLine="420" w:firstLineChars="200"/>
        <w:rPr>
          <w:rFonts w:hint="eastAsia"/>
        </w:rPr>
      </w:pPr>
      <w:r>
        <w:t>车辆在运输过程中产生的噪声、排放的尾气、散落的物料及扬尘对运输道路周围的环境产生一定的影响。</w:t>
      </w:r>
    </w:p>
    <w:p>
      <w:pPr>
        <w:spacing w:line="360" w:lineRule="auto"/>
        <w:rPr>
          <w:b/>
        </w:rPr>
      </w:pPr>
      <w:bookmarkStart w:id="358" w:name="_Toc231894505"/>
      <w:bookmarkStart w:id="359" w:name="_Toc232520406"/>
      <w:r>
        <w:rPr>
          <w:rFonts w:hint="eastAsia"/>
          <w:b/>
        </w:rPr>
        <w:t>8.6</w:t>
      </w:r>
      <w:r>
        <w:rPr>
          <w:b/>
        </w:rPr>
        <w:t>.1  运输对环境空气的影响</w:t>
      </w:r>
      <w:bookmarkEnd w:id="358"/>
      <w:bookmarkEnd w:id="359"/>
    </w:p>
    <w:p>
      <w:pPr>
        <w:adjustRightInd w:val="0"/>
        <w:snapToGrid w:val="0"/>
        <w:spacing w:line="360" w:lineRule="auto"/>
        <w:ind w:firstLine="420" w:firstLineChars="200"/>
        <w:rPr>
          <w:rFonts w:hint="eastAsia"/>
        </w:rPr>
      </w:pPr>
      <w:r>
        <w:rPr>
          <w:rFonts w:hint="eastAsia"/>
        </w:rPr>
        <w:t>技改项目</w:t>
      </w:r>
      <w:r>
        <w:t>运入的原辅材料中，</w:t>
      </w:r>
      <w:r>
        <w:rPr>
          <w:rFonts w:hint="eastAsia"/>
        </w:rPr>
        <w:t>硫酸渣、</w:t>
      </w:r>
      <w:r>
        <w:t>石膏</w:t>
      </w:r>
      <w:r>
        <w:rPr>
          <w:rFonts w:hint="eastAsia"/>
        </w:rPr>
        <w:t>、矿渣和煤等</w:t>
      </w:r>
      <w:r>
        <w:t>含有一定的水份（含水率在</w:t>
      </w:r>
      <w:r>
        <w:rPr>
          <w:rFonts w:hint="eastAsia"/>
        </w:rPr>
        <w:t>2</w:t>
      </w:r>
      <w:r>
        <w:t>％～1</w:t>
      </w:r>
      <w:r>
        <w:rPr>
          <w:rFonts w:hint="eastAsia"/>
        </w:rPr>
        <w:t>0</w:t>
      </w:r>
      <w:r>
        <w:t>％），在运输过程中不易产生粉尘飞扬，对环境空气影响</w:t>
      </w:r>
      <w:r>
        <w:rPr>
          <w:rFonts w:hint="eastAsia"/>
        </w:rPr>
        <w:t>甚微</w:t>
      </w:r>
      <w:r>
        <w:t>。</w:t>
      </w:r>
      <w:r>
        <w:rPr>
          <w:rFonts w:hint="eastAsia"/>
        </w:rPr>
        <w:t>石灰石和煤渣</w:t>
      </w:r>
      <w:r>
        <w:t>含水率较低</w:t>
      </w:r>
      <w:r>
        <w:rPr>
          <w:rFonts w:hint="eastAsia"/>
        </w:rPr>
        <w:t>（为1</w:t>
      </w:r>
      <w:r>
        <w:t>％</w:t>
      </w:r>
      <w:r>
        <w:rPr>
          <w:rFonts w:hint="eastAsia"/>
        </w:rPr>
        <w:t>）</w:t>
      </w:r>
      <w:r>
        <w:t>，运输过程易产生粉尘飞扬，会对公路沿线环境空气产生不利影响。运输过程中，可能会产生物料散落，影响道路的清洁。</w:t>
      </w:r>
    </w:p>
    <w:p>
      <w:pPr>
        <w:adjustRightInd w:val="0"/>
        <w:snapToGrid w:val="0"/>
        <w:spacing w:line="360" w:lineRule="auto"/>
        <w:ind w:firstLine="420" w:firstLineChars="200"/>
      </w:pPr>
      <w:r>
        <w:t>在运输过程中，汽车行驶会引起道路二次扬尘，根据有关</w:t>
      </w:r>
      <w:r>
        <w:rPr>
          <w:rFonts w:hint="eastAsia"/>
        </w:rPr>
        <w:t>资料</w:t>
      </w:r>
      <w:r>
        <w:t>，其产尘强度为620mg/s～3650mg/s，在未采取任何措施的情况下，路面空气中粉尘浓度为2.3mg/m</w:t>
      </w:r>
      <w:r>
        <w:rPr>
          <w:vertAlign w:val="superscript"/>
        </w:rPr>
        <w:t>3</w:t>
      </w:r>
      <w:r>
        <w:t>～15.1mg/m</w:t>
      </w:r>
      <w:r>
        <w:rPr>
          <w:vertAlign w:val="superscript"/>
        </w:rPr>
        <w:t>3</w:t>
      </w:r>
      <w:r>
        <w:t>，对公路两侧约10m范围内的环境空气质量有一定影响。</w:t>
      </w:r>
    </w:p>
    <w:p>
      <w:pPr>
        <w:adjustRightInd w:val="0"/>
        <w:snapToGrid w:val="0"/>
        <w:spacing w:line="360" w:lineRule="auto"/>
        <w:ind w:firstLine="420" w:firstLineChars="200"/>
      </w:pPr>
      <w:r>
        <w:t>汽车排放的含CO、NO</w:t>
      </w:r>
      <w:r>
        <w:rPr>
          <w:rFonts w:hint="eastAsia"/>
          <w:vertAlign w:val="subscript"/>
        </w:rPr>
        <w:t>X</w:t>
      </w:r>
      <w:r>
        <w:t>等污染物的尾气对环境空气质量产生一定影响。</w:t>
      </w:r>
    </w:p>
    <w:p>
      <w:pPr>
        <w:adjustRightInd w:val="0"/>
        <w:snapToGrid w:val="0"/>
        <w:spacing w:line="360" w:lineRule="auto"/>
        <w:ind w:firstLine="420" w:firstLineChars="200"/>
      </w:pPr>
      <w:r>
        <w:t>为了减轻</w:t>
      </w:r>
      <w:r>
        <w:rPr>
          <w:rFonts w:hint="eastAsia"/>
        </w:rPr>
        <w:t>汽车</w:t>
      </w:r>
      <w:r>
        <w:t>运输对环境空气质量的影响，评价提出以下减缓措施：</w:t>
      </w:r>
    </w:p>
    <w:p>
      <w:pPr>
        <w:adjustRightInd w:val="0"/>
        <w:snapToGrid w:val="0"/>
        <w:spacing w:line="360" w:lineRule="auto"/>
        <w:ind w:firstLine="420" w:firstLineChars="200"/>
        <w:rPr>
          <w:rFonts w:hint="eastAsia"/>
        </w:rPr>
      </w:pPr>
      <w:r>
        <w:t>运输物料的车辆应控制物料的装载量和高度，并采用篷布遮盖，防止物料洒落；在物料上洒水增湿，抑制粉尘产生。合理安排运输计划，避免汽车空载，减少汽车往返次数，减少汽车尾气的排放量。车辆的运输路线应尽量选择具有良好路面的道路行驶，减少扬尘。运输车辆在进入公路前应进行冲洗，避免将泥沙带入道路，厂区内道路应经常</w:t>
      </w:r>
      <w:r>
        <w:rPr>
          <w:rFonts w:hint="eastAsia"/>
        </w:rPr>
        <w:t>清扫或</w:t>
      </w:r>
      <w:r>
        <w:t>进行冲洗，保持路面整洁。</w:t>
      </w:r>
    </w:p>
    <w:p>
      <w:pPr>
        <w:adjustRightInd w:val="0"/>
        <w:snapToGrid w:val="0"/>
        <w:spacing w:line="360" w:lineRule="auto"/>
        <w:ind w:firstLine="420" w:firstLineChars="200"/>
        <w:rPr>
          <w:rFonts w:hint="eastAsia"/>
        </w:rPr>
      </w:pPr>
      <w:r>
        <w:rPr>
          <w:rFonts w:hint="eastAsia"/>
        </w:rPr>
        <w:t>技改项目的煤矸石从公司的煤矿输入，输送方式为胶带机，在运输和卸料过程中有一定的粉尘产生，为减轻粉尘无组织排放对环境空气的影响，评价建议</w:t>
      </w:r>
      <w:r>
        <w:t>在</w:t>
      </w:r>
      <w:r>
        <w:rPr>
          <w:rFonts w:hint="eastAsia"/>
        </w:rPr>
        <w:t>皮带机上外加玻璃钢胶带机罩，</w:t>
      </w:r>
      <w:r>
        <w:t>抑制粉尘</w:t>
      </w:r>
      <w:r>
        <w:rPr>
          <w:rFonts w:hint="eastAsia"/>
        </w:rPr>
        <w:t>外溢</w:t>
      </w:r>
      <w:r>
        <w:t>。</w:t>
      </w:r>
      <w:r>
        <w:rPr>
          <w:rFonts w:hint="eastAsia"/>
        </w:rPr>
        <w:t>由于煤矿距厂址较近，且附近无居住人群，因此本技改项目煤矸石运输对周围环境的影响较小。</w:t>
      </w:r>
    </w:p>
    <w:p>
      <w:pPr>
        <w:spacing w:line="360" w:lineRule="auto"/>
        <w:rPr>
          <w:b/>
        </w:rPr>
      </w:pPr>
      <w:bookmarkStart w:id="360" w:name="_Toc231894506"/>
      <w:bookmarkStart w:id="361" w:name="_Toc232520407"/>
      <w:r>
        <w:rPr>
          <w:rFonts w:hint="eastAsia"/>
          <w:b/>
        </w:rPr>
        <w:t>8.6.</w:t>
      </w:r>
      <w:r>
        <w:rPr>
          <w:b/>
        </w:rPr>
        <w:t xml:space="preserve">2  </w:t>
      </w:r>
      <w:r>
        <w:rPr>
          <w:rFonts w:hint="eastAsia"/>
          <w:b/>
        </w:rPr>
        <w:t>运输对声环境的影响</w:t>
      </w:r>
      <w:bookmarkEnd w:id="360"/>
      <w:bookmarkEnd w:id="361"/>
    </w:p>
    <w:p>
      <w:pPr>
        <w:adjustRightInd w:val="0"/>
        <w:snapToGrid w:val="0"/>
        <w:spacing w:line="360" w:lineRule="auto"/>
        <w:ind w:firstLine="420" w:firstLineChars="200"/>
        <w:rPr>
          <w:rFonts w:hint="eastAsia"/>
        </w:rPr>
      </w:pPr>
      <w:r>
        <w:rPr>
          <w:rFonts w:hint="eastAsia"/>
        </w:rPr>
        <w:t>工程运输一般为重型汽车，在运输过程中产生的噪声对运输道路沿线声环境产生一定的影响。</w:t>
      </w:r>
    </w:p>
    <w:p>
      <w:pPr>
        <w:spacing w:line="360" w:lineRule="auto"/>
        <w:ind w:firstLine="420" w:firstLineChars="200"/>
        <w:rPr>
          <w:rFonts w:hint="eastAsia"/>
        </w:rPr>
      </w:pPr>
      <w:r>
        <w:rPr>
          <w:rFonts w:hint="eastAsia"/>
        </w:rPr>
        <w:t>为了降低运输噪声对环境的影响，应制定科学合理的运输计划，减少汽车往返次数，采用车况较好的车辆进行厂外运输，并尽可能安排在白天进行，降低噪声的辐射强度，避免夜间出现噪声扰民现象。</w:t>
      </w:r>
    </w:p>
    <w:p>
      <w:pPr>
        <w:spacing w:line="360" w:lineRule="auto"/>
        <w:ind w:firstLine="420" w:firstLineChars="200"/>
        <w:rPr>
          <w:rFonts w:hint="eastAsia"/>
        </w:rPr>
      </w:pPr>
    </w:p>
    <w:p>
      <w:pPr>
        <w:spacing w:line="360" w:lineRule="auto"/>
        <w:ind w:firstLine="420" w:firstLineChars="200"/>
        <w:rPr>
          <w:rFonts w:hint="eastAsia"/>
        </w:rPr>
      </w:pPr>
    </w:p>
    <w:p>
      <w:pPr>
        <w:spacing w:line="360" w:lineRule="auto"/>
        <w:outlineLvl w:val="0"/>
        <w:rPr>
          <w:b/>
          <w:bCs/>
          <w:sz w:val="28"/>
          <w:szCs w:val="28"/>
        </w:rPr>
        <w:sectPr>
          <w:pgSz w:w="11906" w:h="16838"/>
          <w:pgMar w:top="1440" w:right="1418" w:bottom="1440" w:left="1418" w:header="851" w:footer="992" w:gutter="0"/>
          <w:paperSrc w:first="20070" w:other="20070"/>
          <w:cols w:space="425" w:num="1"/>
          <w:docGrid w:linePitch="312" w:charSpace="0"/>
        </w:sectPr>
      </w:pPr>
      <w:bookmarkStart w:id="362" w:name="_Toc473281533"/>
      <w:bookmarkStart w:id="363" w:name="_Toc189814175"/>
    </w:p>
    <w:bookmarkEnd w:id="362"/>
    <w:bookmarkEnd w:id="363"/>
    <w:p>
      <w:pPr>
        <w:spacing w:line="360" w:lineRule="auto"/>
        <w:outlineLvl w:val="0"/>
        <w:rPr>
          <w:rFonts w:hint="eastAsia"/>
          <w:b/>
          <w:bCs/>
          <w:sz w:val="28"/>
        </w:rPr>
      </w:pPr>
      <w:bookmarkStart w:id="364" w:name="_Toc175479865"/>
      <w:bookmarkStart w:id="365" w:name="_Toc276372257"/>
      <w:bookmarkStart w:id="366" w:name="_Toc473281538"/>
      <w:bookmarkStart w:id="367" w:name="_Toc189814181"/>
      <w:r>
        <w:rPr>
          <w:rFonts w:hint="eastAsia"/>
          <w:b/>
          <w:bCs/>
          <w:sz w:val="28"/>
        </w:rPr>
        <w:t>9 公众参与</w:t>
      </w:r>
      <w:bookmarkEnd w:id="364"/>
      <w:bookmarkEnd w:id="365"/>
      <w:bookmarkEnd w:id="366"/>
      <w:bookmarkEnd w:id="367"/>
    </w:p>
    <w:p>
      <w:pPr>
        <w:spacing w:line="360" w:lineRule="auto"/>
        <w:outlineLvl w:val="1"/>
        <w:rPr>
          <w:rFonts w:hint="eastAsia"/>
          <w:b/>
          <w:bCs/>
        </w:rPr>
      </w:pPr>
      <w:bookmarkStart w:id="368" w:name="_Toc276372258"/>
      <w:bookmarkStart w:id="369" w:name="_Toc176784771"/>
      <w:bookmarkStart w:id="370" w:name="_Toc473281539"/>
      <w:bookmarkStart w:id="371" w:name="_Toc176686198"/>
      <w:bookmarkStart w:id="372" w:name="_Toc189814182"/>
      <w:r>
        <w:rPr>
          <w:rFonts w:hint="eastAsia"/>
          <w:b/>
          <w:bCs/>
        </w:rPr>
        <w:t xml:space="preserve">9.1 </w:t>
      </w:r>
      <w:r>
        <w:rPr>
          <w:b/>
          <w:bCs/>
        </w:rPr>
        <w:t>公众参与的目的和方式</w:t>
      </w:r>
      <w:bookmarkEnd w:id="368"/>
    </w:p>
    <w:p>
      <w:pPr>
        <w:adjustRightInd w:val="0"/>
        <w:snapToGrid w:val="0"/>
        <w:spacing w:line="360" w:lineRule="auto"/>
        <w:ind w:firstLine="420" w:firstLineChars="200"/>
      </w:pPr>
      <w:r>
        <w:t>《中华人民共和国环境影响评价法》第五条规定：</w:t>
      </w:r>
      <w:r>
        <w:rPr>
          <w:rFonts w:hint="eastAsia"/>
        </w:rPr>
        <w:t>“</w:t>
      </w:r>
      <w:r>
        <w:t>国家鼓励有关单位、专家和公众以适当方式参与环境影响评价</w:t>
      </w:r>
      <w:r>
        <w:rPr>
          <w:rFonts w:hint="eastAsia"/>
        </w:rPr>
        <w:t>”</w:t>
      </w:r>
      <w:r>
        <w:t>。公众参与环评，可使公众了解建设项目以及可能引起的重大的、潜在的环境问题，增强建设项目环评的合理性和社会可接受性，有利于最大限度地发挥规划或建设项目的综合和长远效益。也将大大增强环保审批的透明度，能最大限度地减少决策的盲目性、随意性，最大限度地消除污染和破坏隐患。这充分体现了公正、公开、科学、民主的精神，对保障公民知情权、让公众参与决策提供了法律依据。公众参与的主持单位为项目建设单位。</w:t>
      </w:r>
    </w:p>
    <w:p>
      <w:pPr>
        <w:adjustRightInd w:val="0"/>
        <w:snapToGrid w:val="0"/>
        <w:spacing w:line="360" w:lineRule="auto"/>
        <w:ind w:firstLine="420" w:firstLineChars="200"/>
      </w:pPr>
      <w:r>
        <w:t>公众对开发活动提出的各种看法和建设性意见体现在公众参与的结论中，因此将公众的合理意见予以充分吸收、采纳，能使开发活动的规划、设计和管理更加完善，确保开发活动的顺利进行和长远发展。同时，也有利于公众参与的监督、环保意识的提高和环境保护工作的开展。</w:t>
      </w:r>
    </w:p>
    <w:bookmarkEnd w:id="369"/>
    <w:bookmarkEnd w:id="370"/>
    <w:bookmarkEnd w:id="371"/>
    <w:bookmarkEnd w:id="372"/>
    <w:p>
      <w:pPr>
        <w:spacing w:line="360" w:lineRule="auto"/>
        <w:outlineLvl w:val="1"/>
        <w:rPr>
          <w:rFonts w:hint="eastAsia"/>
          <w:b/>
          <w:bCs/>
        </w:rPr>
      </w:pPr>
      <w:bookmarkStart w:id="373" w:name="_Toc176784773"/>
      <w:bookmarkStart w:id="374" w:name="_Toc176686199"/>
      <w:bookmarkStart w:id="375" w:name="_Toc276372259"/>
      <w:r>
        <w:rPr>
          <w:rFonts w:hint="eastAsia"/>
          <w:b/>
          <w:bCs/>
        </w:rPr>
        <w:t>9.2 公众参与方式及</w:t>
      </w:r>
      <w:bookmarkEnd w:id="373"/>
      <w:bookmarkEnd w:id="374"/>
      <w:r>
        <w:rPr>
          <w:rFonts w:hint="eastAsia"/>
          <w:b/>
          <w:bCs/>
        </w:rPr>
        <w:t>范围</w:t>
      </w:r>
      <w:bookmarkEnd w:id="375"/>
    </w:p>
    <w:p>
      <w:pPr>
        <w:spacing w:line="360" w:lineRule="auto"/>
        <w:ind w:firstLine="420" w:firstLineChars="200"/>
        <w:rPr>
          <w:rFonts w:hint="eastAsia" w:ascii="宋体" w:hAnsi="宋体" w:cs="Tunga"/>
        </w:rPr>
      </w:pPr>
      <w:r>
        <w:rPr>
          <w:rFonts w:ascii="宋体" w:hAnsi="宋体" w:cs="Tunga"/>
        </w:rPr>
        <w:t>根据《环境影响评价公众参与暂行办法》，</w:t>
      </w:r>
      <w:r>
        <w:rPr>
          <w:rFonts w:hint="eastAsia" w:ascii="宋体" w:hAnsi="宋体"/>
        </w:rPr>
        <w:t>公众参与采取3种形式：两次网上信息公示、</w:t>
      </w:r>
      <w:r>
        <w:t>项目所在地发布信息公告</w:t>
      </w:r>
      <w:r>
        <w:rPr>
          <w:rFonts w:hint="eastAsia"/>
        </w:rPr>
        <w:t>和</w:t>
      </w:r>
      <w:r>
        <w:rPr>
          <w:rFonts w:hint="eastAsia" w:ascii="宋体" w:hAnsi="宋体"/>
        </w:rPr>
        <w:t>发放问卷调查表。两次网上信息公示均</w:t>
      </w:r>
      <w:r>
        <w:rPr>
          <w:rFonts w:ascii="宋体" w:hAnsi="宋体" w:cs="Tunga"/>
        </w:rPr>
        <w:t>在</w:t>
      </w:r>
      <w:r>
        <w:rPr>
          <w:rFonts w:hint="eastAsia" w:ascii="宋体" w:hAnsi="宋体" w:cs="Tunga"/>
        </w:rPr>
        <w:t>“</w:t>
      </w:r>
      <w:r>
        <w:rPr>
          <w:rFonts w:ascii="宋体" w:hAnsi="宋体" w:cs="Tunga"/>
        </w:rPr>
        <w:t>重庆环保在线</w:t>
      </w:r>
      <w:r>
        <w:rPr>
          <w:rFonts w:hint="eastAsia" w:ascii="宋体" w:hAnsi="宋体" w:cs="Tunga"/>
        </w:rPr>
        <w:t>”</w:t>
      </w:r>
      <w:r>
        <w:rPr>
          <w:rFonts w:ascii="宋体" w:hAnsi="宋体" w:cs="Tunga"/>
        </w:rPr>
        <w:t>上</w:t>
      </w:r>
      <w:r>
        <w:rPr>
          <w:rFonts w:hint="eastAsia" w:ascii="宋体" w:hAnsi="宋体" w:cs="Tunga"/>
        </w:rPr>
        <w:t>进行</w:t>
      </w:r>
      <w:r>
        <w:rPr>
          <w:rFonts w:ascii="宋体" w:hAnsi="宋体" w:cs="Tunga"/>
        </w:rPr>
        <w:t>，并开通了</w:t>
      </w:r>
      <w:r>
        <w:rPr>
          <w:rFonts w:hint="eastAsia" w:ascii="宋体" w:hAnsi="宋体" w:cs="Tunga"/>
        </w:rPr>
        <w:t>青鹏煤业</w:t>
      </w:r>
      <w:r>
        <w:rPr>
          <w:rFonts w:hint="eastAsia"/>
          <w:spacing w:val="8"/>
        </w:rPr>
        <w:t>有限公司</w:t>
      </w:r>
      <w:r>
        <w:rPr>
          <w:rFonts w:ascii="宋体" w:hAnsi="宋体" w:cs="Tunga"/>
        </w:rPr>
        <w:t>和重庆市环境科学研究院的联系电话，专门收集公众的意见和建议。</w:t>
      </w:r>
      <w:r>
        <w:rPr>
          <w:rFonts w:hint="eastAsia" w:ascii="宋体" w:hAnsi="宋体"/>
        </w:rPr>
        <w:t>本次发放问卷调查表共100份，</w:t>
      </w:r>
      <w:r>
        <w:rPr>
          <w:rFonts w:ascii="宋体" w:hAnsi="宋体" w:cs="Tunga"/>
        </w:rPr>
        <w:t>调查表的形式和内容见附件。</w:t>
      </w:r>
      <w:bookmarkStart w:id="376" w:name="_Toc176784774"/>
      <w:bookmarkStart w:id="377" w:name="_Toc176686200"/>
    </w:p>
    <w:p>
      <w:pPr>
        <w:spacing w:line="360" w:lineRule="auto"/>
        <w:outlineLvl w:val="1"/>
        <w:rPr>
          <w:rFonts w:hint="eastAsia"/>
          <w:b/>
          <w:bCs/>
        </w:rPr>
      </w:pPr>
      <w:bookmarkStart w:id="378" w:name="_Toc276372260"/>
      <w:r>
        <w:rPr>
          <w:rFonts w:hint="eastAsia"/>
          <w:b/>
          <w:bCs/>
        </w:rPr>
        <w:t>9.3公众参与结果</w:t>
      </w:r>
      <w:bookmarkEnd w:id="376"/>
      <w:bookmarkEnd w:id="377"/>
      <w:bookmarkEnd w:id="378"/>
    </w:p>
    <w:p>
      <w:pPr>
        <w:spacing w:line="360" w:lineRule="auto"/>
        <w:rPr>
          <w:rFonts w:hint="eastAsia"/>
          <w:b/>
          <w:bCs/>
        </w:rPr>
      </w:pPr>
      <w:r>
        <w:rPr>
          <w:rFonts w:hint="eastAsia"/>
          <w:b/>
          <w:bCs/>
        </w:rPr>
        <w:t xml:space="preserve">9.3.1 </w:t>
      </w:r>
      <w:r>
        <w:rPr>
          <w:b/>
          <w:bCs/>
        </w:rPr>
        <w:t>调查表统计结果</w:t>
      </w:r>
    </w:p>
    <w:p>
      <w:pPr>
        <w:spacing w:line="360" w:lineRule="auto"/>
        <w:ind w:firstLine="210" w:firstLineChars="100"/>
        <w:rPr>
          <w:rFonts w:hint="eastAsia"/>
          <w:bCs/>
        </w:rPr>
      </w:pPr>
      <w:r>
        <w:rPr>
          <w:rFonts w:hint="eastAsia"/>
          <w:bCs/>
        </w:rPr>
        <w:t>（1）</w:t>
      </w:r>
      <w:r>
        <w:rPr>
          <w:bCs/>
        </w:rPr>
        <w:t>调查范围和人员组成</w:t>
      </w:r>
    </w:p>
    <w:p>
      <w:pPr>
        <w:pStyle w:val="13"/>
        <w:adjustRightInd w:val="0"/>
        <w:ind w:left="0" w:firstLine="480" w:firstLineChars="200"/>
        <w:rPr>
          <w:rFonts w:hint="eastAsia" w:ascii="宋体" w:hAnsi="宋体"/>
          <w:sz w:val="24"/>
        </w:rPr>
      </w:pPr>
      <w:r>
        <w:rPr>
          <w:rFonts w:hint="eastAsia" w:ascii="宋体" w:hAnsi="宋体"/>
          <w:sz w:val="24"/>
        </w:rPr>
        <w:t>本次评价的公众参与活动在沙坪坝区青木关镇和璧山县大路镇以及县城范围内开展，主要调查对象为厂址周围的农户、青木关镇、大路镇以及璧山县城的居民、学生、教师、工人和镇政府公务员。被调查人员结构情况见表9-1。</w:t>
      </w:r>
    </w:p>
    <w:p>
      <w:pPr>
        <w:adjustRightInd w:val="0"/>
        <w:snapToGrid w:val="0"/>
        <w:spacing w:line="360" w:lineRule="auto"/>
        <w:ind w:firstLine="420" w:firstLineChars="200"/>
        <w:rPr>
          <w:rFonts w:ascii="宋体" w:hAnsi="宋体"/>
        </w:rPr>
      </w:pPr>
      <w:r>
        <w:rPr>
          <w:rFonts w:ascii="宋体" w:hAnsi="宋体"/>
        </w:rPr>
        <w:t>从被调查者的年龄构成分析，</w:t>
      </w:r>
      <w:r>
        <w:rPr>
          <w:rFonts w:hint="eastAsia" w:ascii="宋体" w:hAnsi="宋体"/>
        </w:rPr>
        <w:t>40</w:t>
      </w:r>
      <w:r>
        <w:rPr>
          <w:rFonts w:ascii="宋体" w:hAnsi="宋体"/>
        </w:rPr>
        <w:t>岁的人数有</w:t>
      </w:r>
      <w:r>
        <w:rPr>
          <w:rFonts w:hint="eastAsia" w:ascii="宋体" w:hAnsi="宋体"/>
        </w:rPr>
        <w:t>53</w:t>
      </w:r>
      <w:r>
        <w:rPr>
          <w:rFonts w:ascii="宋体" w:hAnsi="宋体"/>
        </w:rPr>
        <w:t>人，占调查总人数的</w:t>
      </w:r>
      <w:r>
        <w:rPr>
          <w:rFonts w:hint="eastAsia" w:ascii="宋体" w:hAnsi="宋体"/>
        </w:rPr>
        <w:t>53</w:t>
      </w:r>
      <w:r>
        <w:rPr>
          <w:rFonts w:ascii="宋体" w:hAnsi="宋体"/>
        </w:rPr>
        <w:t>%，处于此年龄段的人社会阅历比较丰富，对事物具有较强的辨别能力。从被调查者的文化程度分析，</w:t>
      </w:r>
      <w:r>
        <w:rPr>
          <w:rFonts w:hint="eastAsia" w:ascii="宋体" w:hAnsi="宋体"/>
        </w:rPr>
        <w:t>受过中等教育的占71</w:t>
      </w:r>
      <w:r>
        <w:rPr>
          <w:rFonts w:ascii="宋体" w:hAnsi="宋体"/>
        </w:rPr>
        <w:t>%</w:t>
      </w:r>
      <w:r>
        <w:rPr>
          <w:rFonts w:hint="eastAsia" w:ascii="宋体" w:hAnsi="宋体"/>
        </w:rPr>
        <w:t>，高等教育的人占21%，</w:t>
      </w:r>
      <w:r>
        <w:rPr>
          <w:rFonts w:ascii="宋体" w:hAnsi="宋体"/>
        </w:rPr>
        <w:t>表明被调查者具有一定的分析判断能力。从被调查者的职业构成分析，有</w:t>
      </w:r>
      <w:r>
        <w:rPr>
          <w:rFonts w:hint="eastAsia" w:ascii="宋体" w:hAnsi="宋体"/>
        </w:rPr>
        <w:t>33</w:t>
      </w:r>
      <w:r>
        <w:rPr>
          <w:rFonts w:ascii="宋体" w:hAnsi="宋体"/>
        </w:rPr>
        <w:t>%</w:t>
      </w:r>
      <w:r>
        <w:rPr>
          <w:rFonts w:hint="eastAsia" w:ascii="宋体" w:hAnsi="宋体"/>
        </w:rPr>
        <w:t>为</w:t>
      </w:r>
      <w:r>
        <w:rPr>
          <w:rFonts w:ascii="宋体" w:hAnsi="宋体"/>
        </w:rPr>
        <w:t>农民</w:t>
      </w:r>
      <w:r>
        <w:rPr>
          <w:rFonts w:hint="eastAsia" w:ascii="宋体" w:hAnsi="宋体"/>
        </w:rPr>
        <w:t>，他们</w:t>
      </w:r>
      <w:r>
        <w:rPr>
          <w:rFonts w:ascii="宋体" w:hAnsi="宋体"/>
        </w:rPr>
        <w:t>虽然没有专业技术人员的专业素质，但他们是受影响最大的群体，都是长期在工程所在地区生活的人，对当地的环境十分了解。</w:t>
      </w:r>
    </w:p>
    <w:p>
      <w:pPr>
        <w:adjustRightInd w:val="0"/>
        <w:snapToGrid w:val="0"/>
        <w:spacing w:line="348" w:lineRule="auto"/>
        <w:ind w:firstLine="452" w:firstLineChars="200"/>
        <w:rPr>
          <w:snapToGrid w:val="0"/>
          <w:spacing w:val="8"/>
          <w:kern w:val="0"/>
        </w:rPr>
      </w:pPr>
      <w:r>
        <w:rPr>
          <w:snapToGrid w:val="0"/>
          <w:spacing w:val="8"/>
          <w:kern w:val="0"/>
        </w:rPr>
        <w:t>综上所述，</w:t>
      </w:r>
      <w:r>
        <w:rPr>
          <w:rFonts w:hint="eastAsia" w:ascii="宋体" w:hAnsi="宋体"/>
        </w:rPr>
        <w:t>调查对象充分考虑了不同年龄、不同性别、不同职业，他们提出的关于</w:t>
      </w:r>
      <w:r>
        <w:rPr>
          <w:snapToGrid w:val="0"/>
          <w:spacing w:val="8"/>
          <w:kern w:val="0"/>
        </w:rPr>
        <w:t>技改</w:t>
      </w:r>
      <w:r>
        <w:rPr>
          <w:rFonts w:hint="eastAsia"/>
          <w:snapToGrid w:val="0"/>
          <w:spacing w:val="8"/>
          <w:kern w:val="0"/>
        </w:rPr>
        <w:t>项目</w:t>
      </w:r>
      <w:r>
        <w:rPr>
          <w:snapToGrid w:val="0"/>
          <w:spacing w:val="8"/>
          <w:kern w:val="0"/>
        </w:rPr>
        <w:t>建设的意见和建议具有较好的代表性。</w:t>
      </w:r>
    </w:p>
    <w:p>
      <w:pPr>
        <w:spacing w:line="480" w:lineRule="exact"/>
        <w:ind w:firstLine="342" w:firstLineChars="200"/>
        <w:jc w:val="center"/>
        <w:rPr>
          <w:rFonts w:hint="eastAsia" w:ascii="宋体" w:hAnsi="宋体"/>
          <w:b/>
          <w:spacing w:val="-20"/>
        </w:rPr>
      </w:pPr>
      <w:r>
        <w:rPr>
          <w:rFonts w:hint="eastAsia" w:ascii="宋体" w:hAnsi="宋体"/>
          <w:b/>
          <w:spacing w:val="-20"/>
        </w:rPr>
        <w:t>表9</w:t>
      </w:r>
      <w:r>
        <w:rPr>
          <w:rFonts w:ascii="宋体" w:hAnsi="宋体"/>
          <w:b/>
          <w:spacing w:val="-20"/>
        </w:rPr>
        <w:t>-</w:t>
      </w:r>
      <w:r>
        <w:rPr>
          <w:rFonts w:hint="eastAsia" w:ascii="宋体" w:hAnsi="宋体"/>
          <w:b/>
          <w:spacing w:val="-20"/>
        </w:rPr>
        <w:t>1    被调查人员结构表</w:t>
      </w:r>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471"/>
        <w:gridCol w:w="471"/>
        <w:gridCol w:w="471"/>
        <w:gridCol w:w="474"/>
        <w:gridCol w:w="472"/>
        <w:gridCol w:w="472"/>
        <w:gridCol w:w="472"/>
        <w:gridCol w:w="472"/>
        <w:gridCol w:w="472"/>
        <w:gridCol w:w="472"/>
        <w:gridCol w:w="472"/>
        <w:gridCol w:w="743"/>
        <w:gridCol w:w="474"/>
        <w:gridCol w:w="966"/>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04" w:type="dxa"/>
            <w:vMerge w:val="restart"/>
            <w:noWrap w:val="0"/>
            <w:vAlign w:val="top"/>
          </w:tcPr>
          <w:p>
            <w:pPr>
              <w:jc w:val="center"/>
              <w:rPr>
                <w:rFonts w:hint="eastAsia" w:ascii="宋体" w:hAnsi="宋体"/>
                <w:sz w:val="21"/>
                <w:szCs w:val="21"/>
              </w:rPr>
            </w:pP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调查</w:t>
            </w:r>
          </w:p>
          <w:p>
            <w:pPr>
              <w:jc w:val="center"/>
              <w:rPr>
                <w:rFonts w:hint="eastAsia" w:ascii="宋体" w:hAnsi="宋体"/>
                <w:sz w:val="21"/>
                <w:szCs w:val="21"/>
              </w:rPr>
            </w:pPr>
            <w:r>
              <w:rPr>
                <w:rFonts w:hint="eastAsia" w:ascii="宋体" w:hAnsi="宋体"/>
                <w:sz w:val="21"/>
                <w:szCs w:val="21"/>
              </w:rPr>
              <w:t>区域</w:t>
            </w:r>
          </w:p>
        </w:tc>
        <w:tc>
          <w:tcPr>
            <w:tcW w:w="471" w:type="dxa"/>
            <w:vMerge w:val="restart"/>
            <w:noWrap w:val="0"/>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参</w:t>
            </w:r>
          </w:p>
          <w:p>
            <w:pPr>
              <w:jc w:val="center"/>
              <w:rPr>
                <w:rFonts w:hint="eastAsia" w:ascii="宋体" w:hAnsi="宋体"/>
                <w:sz w:val="21"/>
                <w:szCs w:val="21"/>
              </w:rPr>
            </w:pPr>
            <w:r>
              <w:rPr>
                <w:rFonts w:hint="eastAsia" w:ascii="宋体" w:hAnsi="宋体"/>
                <w:sz w:val="21"/>
                <w:szCs w:val="21"/>
              </w:rPr>
              <w:t>与</w:t>
            </w:r>
          </w:p>
          <w:p>
            <w:pPr>
              <w:jc w:val="center"/>
              <w:rPr>
                <w:rFonts w:hint="eastAsia" w:ascii="宋体" w:hAnsi="宋体"/>
                <w:sz w:val="21"/>
                <w:szCs w:val="21"/>
              </w:rPr>
            </w:pPr>
            <w:r>
              <w:rPr>
                <w:rFonts w:hint="eastAsia" w:ascii="宋体" w:hAnsi="宋体"/>
                <w:sz w:val="21"/>
                <w:szCs w:val="21"/>
              </w:rPr>
              <w:t>人</w:t>
            </w:r>
          </w:p>
          <w:p>
            <w:pPr>
              <w:jc w:val="center"/>
              <w:rPr>
                <w:rFonts w:hint="eastAsia" w:ascii="宋体" w:hAnsi="宋体"/>
                <w:sz w:val="21"/>
                <w:szCs w:val="21"/>
              </w:rPr>
            </w:pPr>
            <w:r>
              <w:rPr>
                <w:rFonts w:hint="eastAsia" w:ascii="宋体" w:hAnsi="宋体"/>
                <w:sz w:val="21"/>
                <w:szCs w:val="21"/>
              </w:rPr>
              <w:t>数</w:t>
            </w:r>
          </w:p>
        </w:tc>
        <w:tc>
          <w:tcPr>
            <w:tcW w:w="1416" w:type="dxa"/>
            <w:gridSpan w:val="3"/>
            <w:noWrap w:val="0"/>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文化程度</w:t>
            </w:r>
          </w:p>
        </w:tc>
        <w:tc>
          <w:tcPr>
            <w:tcW w:w="944" w:type="dxa"/>
            <w:gridSpan w:val="2"/>
            <w:noWrap w:val="0"/>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性别</w:t>
            </w:r>
          </w:p>
        </w:tc>
        <w:tc>
          <w:tcPr>
            <w:tcW w:w="3577" w:type="dxa"/>
            <w:gridSpan w:val="7"/>
            <w:noWrap w:val="0"/>
            <w:vAlign w:val="top"/>
          </w:tcPr>
          <w:p>
            <w:pPr>
              <w:jc w:val="center"/>
              <w:rPr>
                <w:rFonts w:hint="eastAsia" w:ascii="宋体" w:hAnsi="宋体"/>
                <w:sz w:val="21"/>
                <w:szCs w:val="21"/>
              </w:rPr>
            </w:pPr>
          </w:p>
          <w:p>
            <w:pPr>
              <w:jc w:val="center"/>
              <w:rPr>
                <w:rFonts w:ascii="宋体" w:hAnsi="宋体"/>
                <w:sz w:val="21"/>
                <w:szCs w:val="21"/>
              </w:rPr>
            </w:pPr>
            <w:r>
              <w:rPr>
                <w:rFonts w:hint="eastAsia" w:ascii="宋体" w:hAnsi="宋体"/>
                <w:sz w:val="21"/>
                <w:szCs w:val="21"/>
              </w:rPr>
              <w:t>职业</w:t>
            </w:r>
          </w:p>
          <w:p>
            <w:pPr>
              <w:jc w:val="center"/>
              <w:rPr>
                <w:rFonts w:hint="eastAsia" w:ascii="宋体" w:hAnsi="宋体"/>
                <w:sz w:val="21"/>
                <w:szCs w:val="21"/>
              </w:rPr>
            </w:pPr>
          </w:p>
        </w:tc>
        <w:tc>
          <w:tcPr>
            <w:tcW w:w="1774" w:type="dxa"/>
            <w:gridSpan w:val="2"/>
            <w:noWrap w:val="0"/>
            <w:vAlign w:val="top"/>
          </w:tcPr>
          <w:p>
            <w:pPr>
              <w:ind w:firstLine="315" w:firstLineChars="150"/>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年龄</w:t>
            </w:r>
          </w:p>
          <w:p>
            <w:pPr>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04" w:type="dxa"/>
            <w:vMerge w:val="continue"/>
            <w:noWrap w:val="0"/>
            <w:vAlign w:val="top"/>
          </w:tcPr>
          <w:p>
            <w:pPr>
              <w:jc w:val="center"/>
              <w:rPr>
                <w:rFonts w:hint="eastAsia" w:ascii="宋体" w:hAnsi="宋体"/>
                <w:sz w:val="21"/>
                <w:szCs w:val="21"/>
              </w:rPr>
            </w:pPr>
          </w:p>
        </w:tc>
        <w:tc>
          <w:tcPr>
            <w:tcW w:w="471" w:type="dxa"/>
            <w:vMerge w:val="continue"/>
            <w:noWrap w:val="0"/>
            <w:vAlign w:val="top"/>
          </w:tcPr>
          <w:p>
            <w:pPr>
              <w:jc w:val="center"/>
              <w:rPr>
                <w:rFonts w:hint="eastAsia" w:ascii="宋体" w:hAnsi="宋体"/>
                <w:sz w:val="21"/>
                <w:szCs w:val="21"/>
              </w:rPr>
            </w:pPr>
          </w:p>
        </w:tc>
        <w:tc>
          <w:tcPr>
            <w:tcW w:w="471" w:type="dxa"/>
            <w:noWrap w:val="0"/>
            <w:vAlign w:val="top"/>
          </w:tcPr>
          <w:p>
            <w:pPr>
              <w:rPr>
                <w:rFonts w:hint="eastAsia" w:ascii="宋体" w:hAnsi="宋体"/>
                <w:sz w:val="21"/>
                <w:szCs w:val="21"/>
              </w:rPr>
            </w:pPr>
            <w:r>
              <w:rPr>
                <w:rFonts w:hint="eastAsia" w:ascii="宋体" w:hAnsi="宋体"/>
                <w:sz w:val="21"/>
                <w:szCs w:val="21"/>
              </w:rPr>
              <w:t>初</w:t>
            </w:r>
          </w:p>
          <w:p>
            <w:pPr>
              <w:jc w:val="center"/>
              <w:rPr>
                <w:rFonts w:hint="eastAsia" w:ascii="宋体" w:hAnsi="宋体"/>
                <w:sz w:val="21"/>
                <w:szCs w:val="21"/>
              </w:rPr>
            </w:pPr>
          </w:p>
          <w:p>
            <w:pPr>
              <w:rPr>
                <w:rFonts w:hint="eastAsia" w:ascii="宋体" w:hAnsi="宋体"/>
                <w:sz w:val="21"/>
                <w:szCs w:val="21"/>
              </w:rPr>
            </w:pPr>
            <w:r>
              <w:rPr>
                <w:rFonts w:hint="eastAsia" w:ascii="宋体" w:hAnsi="宋体"/>
                <w:sz w:val="21"/>
                <w:szCs w:val="21"/>
              </w:rPr>
              <w:t>等</w:t>
            </w:r>
          </w:p>
        </w:tc>
        <w:tc>
          <w:tcPr>
            <w:tcW w:w="471" w:type="dxa"/>
            <w:noWrap w:val="0"/>
            <w:vAlign w:val="top"/>
          </w:tcPr>
          <w:p>
            <w:pPr>
              <w:jc w:val="center"/>
              <w:rPr>
                <w:rFonts w:hint="eastAsia" w:ascii="宋体" w:hAnsi="宋体"/>
                <w:sz w:val="21"/>
                <w:szCs w:val="21"/>
              </w:rPr>
            </w:pPr>
            <w:r>
              <w:rPr>
                <w:rFonts w:hint="eastAsia" w:ascii="宋体" w:hAnsi="宋体"/>
                <w:sz w:val="21"/>
                <w:szCs w:val="21"/>
              </w:rPr>
              <w:t>中</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等</w:t>
            </w:r>
          </w:p>
        </w:tc>
        <w:tc>
          <w:tcPr>
            <w:tcW w:w="474" w:type="dxa"/>
            <w:tcBorders>
              <w:top w:val="nil"/>
            </w:tcBorders>
            <w:noWrap w:val="0"/>
            <w:vAlign w:val="top"/>
          </w:tcPr>
          <w:p>
            <w:pPr>
              <w:jc w:val="center"/>
              <w:rPr>
                <w:rFonts w:hint="eastAsia" w:ascii="宋体" w:hAnsi="宋体"/>
                <w:sz w:val="21"/>
                <w:szCs w:val="21"/>
              </w:rPr>
            </w:pPr>
            <w:r>
              <w:rPr>
                <w:rFonts w:hint="eastAsia" w:ascii="宋体" w:hAnsi="宋体"/>
                <w:sz w:val="21"/>
                <w:szCs w:val="21"/>
              </w:rPr>
              <w:t>高</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等</w:t>
            </w:r>
          </w:p>
        </w:tc>
        <w:tc>
          <w:tcPr>
            <w:tcW w:w="472" w:type="dxa"/>
            <w:tcBorders>
              <w:top w:val="nil"/>
            </w:tcBorders>
            <w:noWrap w:val="0"/>
            <w:vAlign w:val="top"/>
          </w:tcPr>
          <w:p>
            <w:pPr>
              <w:rPr>
                <w:rFonts w:hint="eastAsia" w:ascii="宋体" w:hAnsi="宋体"/>
                <w:sz w:val="21"/>
                <w:szCs w:val="21"/>
              </w:rPr>
            </w:pPr>
          </w:p>
          <w:p>
            <w:pPr>
              <w:rPr>
                <w:rFonts w:hint="eastAsia" w:ascii="宋体" w:hAnsi="宋体"/>
                <w:sz w:val="21"/>
                <w:szCs w:val="21"/>
              </w:rPr>
            </w:pPr>
            <w:r>
              <w:rPr>
                <w:rFonts w:hint="eastAsia" w:ascii="宋体" w:hAnsi="宋体"/>
                <w:sz w:val="21"/>
                <w:szCs w:val="21"/>
              </w:rPr>
              <w:t>男</w:t>
            </w:r>
          </w:p>
        </w:tc>
        <w:tc>
          <w:tcPr>
            <w:tcW w:w="472" w:type="dxa"/>
            <w:noWrap w:val="0"/>
            <w:vAlign w:val="top"/>
          </w:tcPr>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女</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农</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民</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学</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生</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干</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部</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教</w:t>
            </w:r>
          </w:p>
          <w:p>
            <w:pPr>
              <w:jc w:val="center"/>
              <w:rPr>
                <w:rFonts w:hint="eastAsia" w:ascii="宋体" w:hAnsi="宋体"/>
                <w:sz w:val="21"/>
                <w:szCs w:val="21"/>
              </w:rPr>
            </w:pPr>
          </w:p>
          <w:p>
            <w:pPr>
              <w:jc w:val="center"/>
              <w:rPr>
                <w:rFonts w:hint="eastAsia" w:ascii="宋体" w:hAnsi="宋体"/>
                <w:sz w:val="21"/>
                <w:szCs w:val="21"/>
              </w:rPr>
            </w:pPr>
            <w:r>
              <w:rPr>
                <w:rFonts w:hint="eastAsia" w:ascii="宋体" w:hAnsi="宋体"/>
                <w:sz w:val="21"/>
                <w:szCs w:val="21"/>
              </w:rPr>
              <w:t>师</w:t>
            </w:r>
          </w:p>
        </w:tc>
        <w:tc>
          <w:tcPr>
            <w:tcW w:w="472" w:type="dxa"/>
            <w:tcBorders>
              <w:top w:val="single" w:color="auto" w:sz="4" w:space="0"/>
            </w:tcBorders>
            <w:noWrap w:val="0"/>
            <w:vAlign w:val="top"/>
          </w:tcPr>
          <w:p>
            <w:pPr>
              <w:widowControl/>
              <w:jc w:val="center"/>
              <w:rPr>
                <w:rFonts w:hint="eastAsia" w:ascii="宋体" w:hAnsi="宋体"/>
                <w:sz w:val="21"/>
                <w:szCs w:val="21"/>
              </w:rPr>
            </w:pPr>
            <w:r>
              <w:rPr>
                <w:rFonts w:hint="eastAsia" w:ascii="宋体" w:hAnsi="宋体"/>
                <w:sz w:val="21"/>
                <w:szCs w:val="21"/>
              </w:rPr>
              <w:t>工</w:t>
            </w:r>
          </w:p>
          <w:p>
            <w:pPr>
              <w:widowControl/>
              <w:jc w:val="center"/>
              <w:rPr>
                <w:rFonts w:hint="eastAsia" w:ascii="宋体" w:hAnsi="宋体"/>
                <w:sz w:val="21"/>
                <w:szCs w:val="21"/>
              </w:rPr>
            </w:pPr>
          </w:p>
          <w:p>
            <w:pPr>
              <w:widowControl/>
              <w:jc w:val="center"/>
              <w:rPr>
                <w:rFonts w:hint="eastAsia" w:ascii="宋体" w:hAnsi="宋体"/>
                <w:sz w:val="21"/>
                <w:szCs w:val="21"/>
              </w:rPr>
            </w:pPr>
            <w:r>
              <w:rPr>
                <w:rFonts w:hint="eastAsia" w:ascii="宋体" w:hAnsi="宋体"/>
                <w:sz w:val="21"/>
                <w:szCs w:val="21"/>
              </w:rPr>
              <w:t>人</w:t>
            </w:r>
          </w:p>
          <w:p>
            <w:pPr>
              <w:widowControl/>
              <w:rPr>
                <w:rFonts w:hint="eastAsia" w:ascii="宋体" w:hAnsi="宋体"/>
                <w:sz w:val="21"/>
                <w:szCs w:val="21"/>
              </w:rPr>
            </w:pPr>
          </w:p>
        </w:tc>
        <w:tc>
          <w:tcPr>
            <w:tcW w:w="743" w:type="dxa"/>
            <w:tcBorders>
              <w:top w:val="single" w:color="auto" w:sz="4" w:space="0"/>
            </w:tcBorders>
            <w:noWrap w:val="0"/>
            <w:vAlign w:val="top"/>
          </w:tcPr>
          <w:p>
            <w:pPr>
              <w:widowControl/>
              <w:ind w:left="57"/>
              <w:jc w:val="center"/>
              <w:rPr>
                <w:rFonts w:hint="eastAsia" w:ascii="宋体" w:hAnsi="宋体"/>
                <w:sz w:val="21"/>
                <w:szCs w:val="21"/>
              </w:rPr>
            </w:pPr>
            <w:r>
              <w:rPr>
                <w:rFonts w:hint="eastAsia" w:ascii="宋体" w:hAnsi="宋体"/>
                <w:sz w:val="21"/>
                <w:szCs w:val="21"/>
              </w:rPr>
              <w:t>人大</w:t>
            </w:r>
          </w:p>
          <w:p>
            <w:pPr>
              <w:ind w:left="57"/>
              <w:jc w:val="center"/>
              <w:rPr>
                <w:rFonts w:hint="eastAsia" w:ascii="宋体" w:hAnsi="宋体"/>
                <w:sz w:val="21"/>
                <w:szCs w:val="21"/>
              </w:rPr>
            </w:pPr>
            <w:r>
              <w:rPr>
                <w:rFonts w:hint="eastAsia" w:ascii="宋体" w:hAnsi="宋体"/>
                <w:sz w:val="21"/>
                <w:szCs w:val="21"/>
              </w:rPr>
              <w:t>代表</w:t>
            </w:r>
          </w:p>
        </w:tc>
        <w:tc>
          <w:tcPr>
            <w:tcW w:w="474" w:type="dxa"/>
            <w:tcBorders>
              <w:top w:val="single" w:color="auto" w:sz="4" w:space="0"/>
            </w:tcBorders>
            <w:noWrap w:val="0"/>
            <w:vAlign w:val="top"/>
          </w:tcPr>
          <w:p>
            <w:pPr>
              <w:widowControl/>
              <w:jc w:val="center"/>
              <w:rPr>
                <w:rFonts w:hint="eastAsia" w:ascii="宋体" w:hAnsi="宋体"/>
                <w:sz w:val="21"/>
                <w:szCs w:val="21"/>
              </w:rPr>
            </w:pPr>
            <w:r>
              <w:rPr>
                <w:rFonts w:hint="eastAsia" w:ascii="宋体" w:hAnsi="宋体"/>
                <w:sz w:val="21"/>
                <w:szCs w:val="21"/>
              </w:rPr>
              <w:t>其</w:t>
            </w:r>
          </w:p>
          <w:p>
            <w:pPr>
              <w:widowControl/>
              <w:jc w:val="center"/>
              <w:rPr>
                <w:rFonts w:hint="eastAsia" w:ascii="宋体" w:hAnsi="宋体"/>
                <w:sz w:val="21"/>
                <w:szCs w:val="21"/>
              </w:rPr>
            </w:pPr>
          </w:p>
          <w:p>
            <w:pPr>
              <w:widowControl/>
              <w:jc w:val="center"/>
              <w:rPr>
                <w:rFonts w:hint="eastAsia" w:ascii="宋体" w:hAnsi="宋体"/>
                <w:sz w:val="21"/>
                <w:szCs w:val="21"/>
              </w:rPr>
            </w:pPr>
            <w:r>
              <w:rPr>
                <w:rFonts w:hint="eastAsia" w:ascii="宋体" w:hAnsi="宋体"/>
                <w:sz w:val="21"/>
                <w:szCs w:val="21"/>
              </w:rPr>
              <w:t>它</w:t>
            </w:r>
          </w:p>
        </w:tc>
        <w:tc>
          <w:tcPr>
            <w:tcW w:w="966" w:type="dxa"/>
            <w:tcBorders>
              <w:top w:val="nil"/>
            </w:tcBorders>
            <w:noWrap w:val="0"/>
            <w:vAlign w:val="top"/>
          </w:tcPr>
          <w:p>
            <w:pPr>
              <w:widowControl/>
              <w:jc w:val="center"/>
              <w:rPr>
                <w:rFonts w:hint="eastAsia" w:ascii="宋体" w:hAnsi="宋体"/>
                <w:sz w:val="21"/>
                <w:szCs w:val="21"/>
              </w:rPr>
            </w:pPr>
            <w:r>
              <w:rPr>
                <w:rFonts w:hint="eastAsia" w:ascii="宋体" w:hAnsi="宋体"/>
                <w:sz w:val="21"/>
                <w:szCs w:val="21"/>
              </w:rPr>
              <w:t>40以下</w:t>
            </w:r>
          </w:p>
        </w:tc>
        <w:tc>
          <w:tcPr>
            <w:tcW w:w="808" w:type="dxa"/>
            <w:tcBorders>
              <w:top w:val="nil"/>
            </w:tcBorders>
            <w:noWrap w:val="0"/>
            <w:vAlign w:val="top"/>
          </w:tcPr>
          <w:p>
            <w:pPr>
              <w:widowControl/>
              <w:ind w:firstLine="105" w:firstLineChars="50"/>
              <w:jc w:val="center"/>
              <w:rPr>
                <w:rFonts w:hint="eastAsia" w:ascii="宋体" w:hAnsi="宋体"/>
                <w:sz w:val="21"/>
                <w:szCs w:val="21"/>
              </w:rPr>
            </w:pPr>
            <w:r>
              <w:rPr>
                <w:rFonts w:hint="eastAsia" w:ascii="宋体" w:hAnsi="宋体"/>
                <w:sz w:val="21"/>
                <w:szCs w:val="21"/>
              </w:rPr>
              <w:t>40</w:t>
            </w:r>
          </w:p>
          <w:p>
            <w:pPr>
              <w:widowControl/>
              <w:ind w:firstLine="105" w:firstLineChars="50"/>
              <w:jc w:val="center"/>
              <w:rPr>
                <w:rFonts w:hint="eastAsia" w:ascii="宋体" w:hAnsi="宋体"/>
                <w:sz w:val="21"/>
                <w:szCs w:val="21"/>
              </w:rPr>
            </w:pPr>
            <w:r>
              <w:rPr>
                <w:rFonts w:hint="eastAsia" w:ascii="宋体" w:hAnsi="宋体"/>
                <w:sz w:val="21"/>
                <w:szCs w:val="21"/>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04"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沙坪坝区</w:t>
            </w:r>
          </w:p>
        </w:tc>
        <w:tc>
          <w:tcPr>
            <w:tcW w:w="471"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80</w:t>
            </w:r>
          </w:p>
        </w:tc>
        <w:tc>
          <w:tcPr>
            <w:tcW w:w="471"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6</w:t>
            </w:r>
          </w:p>
        </w:tc>
        <w:tc>
          <w:tcPr>
            <w:tcW w:w="471" w:type="dxa"/>
            <w:tcBorders>
              <w:top w:val="single" w:color="auto" w:sz="4" w:space="0"/>
              <w:right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53</w:t>
            </w:r>
          </w:p>
        </w:tc>
        <w:tc>
          <w:tcPr>
            <w:tcW w:w="474" w:type="dxa"/>
            <w:tcBorders>
              <w:top w:val="single" w:color="auto" w:sz="4" w:space="0"/>
              <w:left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21</w:t>
            </w:r>
          </w:p>
        </w:tc>
        <w:tc>
          <w:tcPr>
            <w:tcW w:w="472" w:type="dxa"/>
            <w:tcBorders>
              <w:top w:val="single" w:color="auto" w:sz="4" w:space="0"/>
            </w:tcBorders>
            <w:noWrap w:val="0"/>
            <w:vAlign w:val="top"/>
          </w:tcPr>
          <w:p>
            <w:pPr>
              <w:rPr>
                <w:rFonts w:hint="eastAsia" w:ascii="宋体" w:hAnsi="宋体"/>
                <w:sz w:val="21"/>
                <w:szCs w:val="21"/>
              </w:rPr>
            </w:pPr>
            <w:r>
              <w:rPr>
                <w:rFonts w:hint="eastAsia" w:ascii="宋体" w:hAnsi="宋体"/>
                <w:sz w:val="21"/>
                <w:szCs w:val="21"/>
              </w:rPr>
              <w:t>54</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26</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22</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14</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28</w:t>
            </w:r>
          </w:p>
        </w:tc>
        <w:tc>
          <w:tcPr>
            <w:tcW w:w="743"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w:t>
            </w:r>
          </w:p>
        </w:tc>
        <w:tc>
          <w:tcPr>
            <w:tcW w:w="474"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11</w:t>
            </w:r>
          </w:p>
        </w:tc>
        <w:tc>
          <w:tcPr>
            <w:tcW w:w="966"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47</w:t>
            </w:r>
          </w:p>
        </w:tc>
        <w:tc>
          <w:tcPr>
            <w:tcW w:w="808"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104" w:type="dxa"/>
            <w:noWrap w:val="0"/>
            <w:vAlign w:val="top"/>
          </w:tcPr>
          <w:p>
            <w:pPr>
              <w:jc w:val="center"/>
              <w:rPr>
                <w:rFonts w:hint="eastAsia" w:ascii="宋体" w:hAnsi="宋体"/>
                <w:sz w:val="21"/>
                <w:szCs w:val="21"/>
              </w:rPr>
            </w:pPr>
            <w:r>
              <w:rPr>
                <w:rFonts w:hint="eastAsia" w:ascii="宋体" w:hAnsi="宋体"/>
                <w:sz w:val="21"/>
                <w:szCs w:val="21"/>
              </w:rPr>
              <w:t>璧山县</w:t>
            </w:r>
          </w:p>
        </w:tc>
        <w:tc>
          <w:tcPr>
            <w:tcW w:w="471" w:type="dxa"/>
            <w:noWrap w:val="0"/>
            <w:vAlign w:val="top"/>
          </w:tcPr>
          <w:p>
            <w:pPr>
              <w:jc w:val="center"/>
              <w:rPr>
                <w:rFonts w:hint="eastAsia" w:ascii="宋体" w:hAnsi="宋体"/>
                <w:sz w:val="21"/>
                <w:szCs w:val="21"/>
              </w:rPr>
            </w:pPr>
            <w:r>
              <w:rPr>
                <w:rFonts w:hint="eastAsia" w:ascii="宋体" w:hAnsi="宋体"/>
                <w:sz w:val="21"/>
                <w:szCs w:val="21"/>
              </w:rPr>
              <w:t>20</w:t>
            </w:r>
          </w:p>
        </w:tc>
        <w:tc>
          <w:tcPr>
            <w:tcW w:w="471"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w:t>
            </w:r>
          </w:p>
        </w:tc>
        <w:tc>
          <w:tcPr>
            <w:tcW w:w="471" w:type="dxa"/>
            <w:tcBorders>
              <w:top w:val="single" w:color="auto" w:sz="4" w:space="0"/>
              <w:right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18</w:t>
            </w:r>
          </w:p>
        </w:tc>
        <w:tc>
          <w:tcPr>
            <w:tcW w:w="474" w:type="dxa"/>
            <w:tcBorders>
              <w:top w:val="single" w:color="auto" w:sz="4" w:space="0"/>
              <w:left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noWrap w:val="0"/>
            <w:vAlign w:val="top"/>
          </w:tcPr>
          <w:p>
            <w:pPr>
              <w:rPr>
                <w:rFonts w:hint="eastAsia" w:ascii="宋体" w:hAnsi="宋体"/>
                <w:sz w:val="21"/>
                <w:szCs w:val="21"/>
              </w:rPr>
            </w:pPr>
            <w:r>
              <w:rPr>
                <w:rFonts w:hint="eastAsia" w:ascii="宋体" w:hAnsi="宋体"/>
                <w:sz w:val="21"/>
                <w:szCs w:val="21"/>
              </w:rPr>
              <w:t>16</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4</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11</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0</w:t>
            </w:r>
          </w:p>
        </w:tc>
        <w:tc>
          <w:tcPr>
            <w:tcW w:w="472"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7</w:t>
            </w:r>
          </w:p>
        </w:tc>
        <w:tc>
          <w:tcPr>
            <w:tcW w:w="743"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0</w:t>
            </w:r>
          </w:p>
        </w:tc>
        <w:tc>
          <w:tcPr>
            <w:tcW w:w="474"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2</w:t>
            </w:r>
          </w:p>
        </w:tc>
        <w:tc>
          <w:tcPr>
            <w:tcW w:w="966"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6</w:t>
            </w:r>
          </w:p>
        </w:tc>
        <w:tc>
          <w:tcPr>
            <w:tcW w:w="808" w:type="dxa"/>
            <w:tcBorders>
              <w:top w:val="single" w:color="auto" w:sz="4" w:space="0"/>
            </w:tcBorders>
            <w:noWrap w:val="0"/>
            <w:vAlign w:val="top"/>
          </w:tcPr>
          <w:p>
            <w:pPr>
              <w:jc w:val="center"/>
              <w:rPr>
                <w:rFonts w:hint="eastAsia" w:ascii="宋体" w:hAnsi="宋体"/>
                <w:sz w:val="21"/>
                <w:szCs w:val="21"/>
              </w:rPr>
            </w:pPr>
            <w:r>
              <w:rPr>
                <w:rFonts w:hint="eastAsia" w:ascii="宋体" w:hAnsi="宋体"/>
                <w:sz w:val="21"/>
                <w:szCs w:val="21"/>
              </w:rPr>
              <w:t>14</w:t>
            </w:r>
          </w:p>
        </w:tc>
      </w:tr>
    </w:tbl>
    <w:p>
      <w:pPr>
        <w:pStyle w:val="13"/>
        <w:adjustRightInd w:val="0"/>
        <w:spacing w:line="480" w:lineRule="exact"/>
        <w:ind w:left="0" w:firstLine="560" w:firstLineChars="200"/>
        <w:rPr>
          <w:rFonts w:hint="eastAsia"/>
          <w:bCs/>
          <w:szCs w:val="20"/>
        </w:rPr>
      </w:pPr>
    </w:p>
    <w:p>
      <w:pPr>
        <w:pStyle w:val="13"/>
        <w:adjustRightInd w:val="0"/>
        <w:spacing w:line="480" w:lineRule="exact"/>
        <w:ind w:left="0" w:firstLine="512" w:firstLineChars="200"/>
        <w:rPr>
          <w:rFonts w:hint="eastAsia"/>
          <w:snapToGrid w:val="0"/>
          <w:spacing w:val="8"/>
          <w:kern w:val="0"/>
          <w:sz w:val="24"/>
        </w:rPr>
      </w:pPr>
      <w:r>
        <w:rPr>
          <w:rFonts w:hint="eastAsia"/>
          <w:snapToGrid w:val="0"/>
          <w:spacing w:val="8"/>
          <w:kern w:val="0"/>
          <w:sz w:val="24"/>
        </w:rPr>
        <w:t>（2）调查结果</w:t>
      </w:r>
    </w:p>
    <w:p>
      <w:pPr>
        <w:pStyle w:val="13"/>
        <w:adjustRightInd w:val="0"/>
        <w:spacing w:line="480" w:lineRule="exact"/>
        <w:ind w:left="0" w:firstLine="512" w:firstLineChars="200"/>
        <w:rPr>
          <w:rFonts w:hint="eastAsia"/>
          <w:snapToGrid w:val="0"/>
          <w:spacing w:val="8"/>
          <w:kern w:val="0"/>
          <w:sz w:val="24"/>
        </w:rPr>
      </w:pPr>
      <w:r>
        <w:rPr>
          <w:rFonts w:hint="eastAsia"/>
          <w:snapToGrid w:val="0"/>
          <w:spacing w:val="8"/>
          <w:kern w:val="0"/>
          <w:sz w:val="24"/>
        </w:rPr>
        <w:t>调查结果汇总见表9-2。</w:t>
      </w:r>
    </w:p>
    <w:p>
      <w:pPr>
        <w:spacing w:line="480" w:lineRule="exact"/>
        <w:ind w:firstLine="342" w:firstLineChars="200"/>
        <w:jc w:val="center"/>
        <w:rPr>
          <w:rFonts w:hint="eastAsia" w:ascii="宋体" w:hAnsi="宋体"/>
          <w:b/>
          <w:spacing w:val="-20"/>
        </w:rPr>
      </w:pPr>
      <w:r>
        <w:rPr>
          <w:rFonts w:hint="eastAsia" w:ascii="宋体" w:hAnsi="宋体"/>
          <w:b/>
          <w:spacing w:val="-20"/>
        </w:rPr>
        <w:t>表9-2    公众参与调查统计结果</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2812"/>
        <w:gridCol w:w="2830"/>
        <w:gridCol w:w="1168"/>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03" w:type="dxa"/>
            <w:noWrap w:val="0"/>
            <w:vAlign w:val="center"/>
          </w:tcPr>
          <w:p>
            <w:pPr>
              <w:jc w:val="center"/>
              <w:rPr>
                <w:rFonts w:hint="eastAsia"/>
                <w:sz w:val="21"/>
                <w:szCs w:val="21"/>
              </w:rPr>
            </w:pPr>
            <w:r>
              <w:rPr>
                <w:rFonts w:hint="eastAsia"/>
                <w:sz w:val="21"/>
                <w:szCs w:val="21"/>
              </w:rPr>
              <w:t>序号</w:t>
            </w:r>
          </w:p>
        </w:tc>
        <w:tc>
          <w:tcPr>
            <w:tcW w:w="2812" w:type="dxa"/>
            <w:noWrap w:val="0"/>
            <w:vAlign w:val="center"/>
          </w:tcPr>
          <w:p>
            <w:pPr>
              <w:jc w:val="center"/>
              <w:rPr>
                <w:rFonts w:hint="eastAsia"/>
                <w:sz w:val="21"/>
                <w:szCs w:val="21"/>
              </w:rPr>
            </w:pPr>
            <w:r>
              <w:rPr>
                <w:rFonts w:hint="eastAsia"/>
                <w:sz w:val="21"/>
                <w:szCs w:val="21"/>
              </w:rPr>
              <w:t>调查内容</w:t>
            </w:r>
          </w:p>
        </w:tc>
        <w:tc>
          <w:tcPr>
            <w:tcW w:w="2830" w:type="dxa"/>
            <w:noWrap w:val="0"/>
            <w:vAlign w:val="center"/>
          </w:tcPr>
          <w:p>
            <w:pPr>
              <w:jc w:val="center"/>
              <w:rPr>
                <w:rFonts w:hint="eastAsia"/>
                <w:sz w:val="21"/>
                <w:szCs w:val="21"/>
              </w:rPr>
            </w:pPr>
            <w:r>
              <w:rPr>
                <w:rFonts w:hint="eastAsia"/>
                <w:sz w:val="21"/>
                <w:szCs w:val="21"/>
              </w:rPr>
              <w:t>意见选择</w:t>
            </w:r>
          </w:p>
        </w:tc>
        <w:tc>
          <w:tcPr>
            <w:tcW w:w="1168" w:type="dxa"/>
            <w:noWrap w:val="0"/>
            <w:vAlign w:val="center"/>
          </w:tcPr>
          <w:p>
            <w:pPr>
              <w:jc w:val="center"/>
              <w:rPr>
                <w:rFonts w:hint="eastAsia"/>
                <w:sz w:val="21"/>
                <w:szCs w:val="21"/>
              </w:rPr>
            </w:pPr>
            <w:r>
              <w:rPr>
                <w:rFonts w:hint="eastAsia"/>
                <w:sz w:val="21"/>
                <w:szCs w:val="21"/>
              </w:rPr>
              <w:t>人数</w:t>
            </w:r>
          </w:p>
        </w:tc>
        <w:tc>
          <w:tcPr>
            <w:tcW w:w="1573" w:type="dxa"/>
            <w:noWrap w:val="0"/>
            <w:vAlign w:val="center"/>
          </w:tcPr>
          <w:p>
            <w:pPr>
              <w:jc w:val="center"/>
              <w:rPr>
                <w:rFonts w:hint="eastAsia"/>
                <w:sz w:val="21"/>
                <w:szCs w:val="21"/>
              </w:rPr>
            </w:pPr>
            <w:r>
              <w:rPr>
                <w:rFonts w:hint="eastAsia"/>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1</w:t>
            </w:r>
          </w:p>
        </w:tc>
        <w:tc>
          <w:tcPr>
            <w:tcW w:w="2812" w:type="dxa"/>
            <w:vMerge w:val="restart"/>
            <w:noWrap w:val="0"/>
            <w:vAlign w:val="center"/>
          </w:tcPr>
          <w:p>
            <w:pPr>
              <w:jc w:val="center"/>
              <w:rPr>
                <w:rFonts w:hint="eastAsia"/>
                <w:sz w:val="21"/>
                <w:szCs w:val="21"/>
              </w:rPr>
            </w:pPr>
          </w:p>
          <w:p>
            <w:pPr>
              <w:rPr>
                <w:rFonts w:hint="eastAsia"/>
                <w:sz w:val="21"/>
                <w:szCs w:val="21"/>
              </w:rPr>
            </w:pPr>
            <w:r>
              <w:rPr>
                <w:rFonts w:hint="eastAsia"/>
                <w:sz w:val="21"/>
                <w:szCs w:val="21"/>
              </w:rPr>
              <w:t>您对项目所在地环境质量现状是否满意？</w:t>
            </w:r>
          </w:p>
        </w:tc>
        <w:tc>
          <w:tcPr>
            <w:tcW w:w="2830" w:type="dxa"/>
            <w:noWrap w:val="0"/>
            <w:vAlign w:val="center"/>
          </w:tcPr>
          <w:p>
            <w:pPr>
              <w:jc w:val="center"/>
              <w:rPr>
                <w:rFonts w:hint="eastAsia"/>
                <w:sz w:val="21"/>
                <w:szCs w:val="21"/>
              </w:rPr>
            </w:pPr>
            <w:r>
              <w:rPr>
                <w:rFonts w:hint="eastAsia"/>
                <w:sz w:val="21"/>
                <w:szCs w:val="21"/>
              </w:rPr>
              <w:t>满意</w:t>
            </w:r>
          </w:p>
        </w:tc>
        <w:tc>
          <w:tcPr>
            <w:tcW w:w="1168" w:type="dxa"/>
            <w:noWrap w:val="0"/>
            <w:vAlign w:val="center"/>
          </w:tcPr>
          <w:p>
            <w:pPr>
              <w:jc w:val="center"/>
              <w:rPr>
                <w:rFonts w:hint="eastAsia"/>
                <w:sz w:val="21"/>
                <w:szCs w:val="21"/>
              </w:rPr>
            </w:pPr>
            <w:r>
              <w:rPr>
                <w:rFonts w:hint="eastAsia"/>
                <w:sz w:val="21"/>
                <w:szCs w:val="21"/>
              </w:rPr>
              <w:t>65</w:t>
            </w:r>
          </w:p>
        </w:tc>
        <w:tc>
          <w:tcPr>
            <w:tcW w:w="1573" w:type="dxa"/>
            <w:noWrap w:val="0"/>
            <w:vAlign w:val="center"/>
          </w:tcPr>
          <w:p>
            <w:pPr>
              <w:jc w:val="center"/>
              <w:rPr>
                <w:rFonts w:hint="eastAsia"/>
                <w:sz w:val="21"/>
                <w:szCs w:val="21"/>
              </w:rPr>
            </w:pPr>
            <w:r>
              <w:rPr>
                <w:rFonts w:hint="eastAsia"/>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基本满意</w:t>
            </w:r>
          </w:p>
        </w:tc>
        <w:tc>
          <w:tcPr>
            <w:tcW w:w="1168" w:type="dxa"/>
            <w:noWrap w:val="0"/>
            <w:vAlign w:val="center"/>
          </w:tcPr>
          <w:p>
            <w:pPr>
              <w:jc w:val="center"/>
              <w:rPr>
                <w:rFonts w:hint="eastAsia"/>
                <w:sz w:val="21"/>
                <w:szCs w:val="21"/>
              </w:rPr>
            </w:pPr>
            <w:r>
              <w:rPr>
                <w:rFonts w:hint="eastAsia"/>
                <w:sz w:val="21"/>
                <w:szCs w:val="21"/>
              </w:rPr>
              <w:t>31</w:t>
            </w:r>
          </w:p>
        </w:tc>
        <w:tc>
          <w:tcPr>
            <w:tcW w:w="1573" w:type="dxa"/>
            <w:noWrap w:val="0"/>
            <w:vAlign w:val="center"/>
          </w:tcPr>
          <w:p>
            <w:pPr>
              <w:jc w:val="center"/>
              <w:rPr>
                <w:rFonts w:hint="eastAsia"/>
                <w:sz w:val="21"/>
                <w:szCs w:val="21"/>
              </w:rPr>
            </w:pPr>
            <w:r>
              <w:rPr>
                <w:rFonts w:hint="eastAsia"/>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不满意</w:t>
            </w:r>
          </w:p>
        </w:tc>
        <w:tc>
          <w:tcPr>
            <w:tcW w:w="1168" w:type="dxa"/>
            <w:noWrap w:val="0"/>
            <w:vAlign w:val="center"/>
          </w:tcPr>
          <w:p>
            <w:pPr>
              <w:jc w:val="center"/>
              <w:rPr>
                <w:rFonts w:hint="eastAsia"/>
                <w:sz w:val="21"/>
                <w:szCs w:val="21"/>
              </w:rPr>
            </w:pPr>
            <w:r>
              <w:rPr>
                <w:rFonts w:hint="eastAsia"/>
                <w:sz w:val="21"/>
                <w:szCs w:val="21"/>
              </w:rPr>
              <w:t>4</w:t>
            </w:r>
          </w:p>
        </w:tc>
        <w:tc>
          <w:tcPr>
            <w:tcW w:w="1573" w:type="dxa"/>
            <w:noWrap w:val="0"/>
            <w:vAlign w:val="center"/>
          </w:tcPr>
          <w:p>
            <w:pPr>
              <w:jc w:val="center"/>
              <w:rPr>
                <w:rFonts w:hint="eastAsia"/>
                <w:sz w:val="21"/>
                <w:szCs w:val="21"/>
              </w:rPr>
            </w:pPr>
            <w:r>
              <w:rPr>
                <w:rFonts w:hint="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p>
          <w:p>
            <w:pPr>
              <w:jc w:val="center"/>
              <w:rPr>
                <w:rFonts w:hint="eastAsia"/>
                <w:sz w:val="21"/>
                <w:szCs w:val="21"/>
              </w:rPr>
            </w:pPr>
            <w:r>
              <w:rPr>
                <w:rFonts w:hint="eastAsia"/>
                <w:sz w:val="21"/>
                <w:szCs w:val="21"/>
              </w:rPr>
              <w:t>2</w:t>
            </w:r>
          </w:p>
        </w:tc>
        <w:tc>
          <w:tcPr>
            <w:tcW w:w="2812" w:type="dxa"/>
            <w:vMerge w:val="restart"/>
            <w:noWrap w:val="0"/>
            <w:vAlign w:val="center"/>
          </w:tcPr>
          <w:p>
            <w:pPr>
              <w:jc w:val="center"/>
              <w:rPr>
                <w:rFonts w:hint="eastAsia"/>
                <w:sz w:val="21"/>
                <w:szCs w:val="21"/>
              </w:rPr>
            </w:pPr>
          </w:p>
          <w:p>
            <w:pPr>
              <w:jc w:val="center"/>
              <w:rPr>
                <w:rFonts w:hint="eastAsia"/>
                <w:sz w:val="21"/>
                <w:szCs w:val="21"/>
              </w:rPr>
            </w:pPr>
          </w:p>
          <w:p>
            <w:pPr>
              <w:rPr>
                <w:rFonts w:hint="eastAsia"/>
                <w:sz w:val="21"/>
                <w:szCs w:val="21"/>
              </w:rPr>
            </w:pPr>
            <w:r>
              <w:rPr>
                <w:rFonts w:hint="eastAsia"/>
                <w:sz w:val="21"/>
                <w:szCs w:val="21"/>
              </w:rPr>
              <w:t>您认为项目所在地目前的主要环境问题是？</w:t>
            </w:r>
          </w:p>
        </w:tc>
        <w:tc>
          <w:tcPr>
            <w:tcW w:w="2830" w:type="dxa"/>
            <w:noWrap w:val="0"/>
            <w:vAlign w:val="center"/>
          </w:tcPr>
          <w:p>
            <w:pPr>
              <w:jc w:val="center"/>
              <w:rPr>
                <w:rFonts w:hint="eastAsia"/>
                <w:sz w:val="21"/>
                <w:szCs w:val="21"/>
              </w:rPr>
            </w:pPr>
            <w:r>
              <w:rPr>
                <w:rFonts w:hint="eastAsia"/>
                <w:sz w:val="21"/>
                <w:szCs w:val="21"/>
              </w:rPr>
              <w:t>无</w:t>
            </w:r>
          </w:p>
        </w:tc>
        <w:tc>
          <w:tcPr>
            <w:tcW w:w="1168" w:type="dxa"/>
            <w:noWrap w:val="0"/>
            <w:vAlign w:val="center"/>
          </w:tcPr>
          <w:p>
            <w:pPr>
              <w:jc w:val="center"/>
              <w:rPr>
                <w:rFonts w:hint="eastAsia"/>
                <w:sz w:val="21"/>
                <w:szCs w:val="21"/>
              </w:rPr>
            </w:pPr>
            <w:r>
              <w:rPr>
                <w:rFonts w:hint="eastAsia"/>
                <w:sz w:val="21"/>
                <w:szCs w:val="21"/>
              </w:rPr>
              <w:t>44</w:t>
            </w:r>
          </w:p>
        </w:tc>
        <w:tc>
          <w:tcPr>
            <w:tcW w:w="1573" w:type="dxa"/>
            <w:noWrap w:val="0"/>
            <w:vAlign w:val="center"/>
          </w:tcPr>
          <w:p>
            <w:pPr>
              <w:jc w:val="center"/>
              <w:rPr>
                <w:rFonts w:hint="eastAsia"/>
                <w:sz w:val="21"/>
                <w:szCs w:val="21"/>
              </w:rPr>
            </w:pPr>
            <w:r>
              <w:rPr>
                <w:rFonts w:hint="eastAsia"/>
                <w:sz w:val="21"/>
                <w:szCs w:val="21"/>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生态破坏</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空气污染</w:t>
            </w:r>
          </w:p>
        </w:tc>
        <w:tc>
          <w:tcPr>
            <w:tcW w:w="1168" w:type="dxa"/>
            <w:noWrap w:val="0"/>
            <w:vAlign w:val="center"/>
          </w:tcPr>
          <w:p>
            <w:pPr>
              <w:jc w:val="center"/>
              <w:rPr>
                <w:rFonts w:hint="eastAsia"/>
                <w:sz w:val="21"/>
                <w:szCs w:val="21"/>
              </w:rPr>
            </w:pPr>
            <w:r>
              <w:rPr>
                <w:rFonts w:hint="eastAsia"/>
                <w:sz w:val="21"/>
                <w:szCs w:val="21"/>
              </w:rPr>
              <w:t>47</w:t>
            </w:r>
          </w:p>
        </w:tc>
        <w:tc>
          <w:tcPr>
            <w:tcW w:w="1573" w:type="dxa"/>
            <w:noWrap w:val="0"/>
            <w:vAlign w:val="center"/>
          </w:tcPr>
          <w:p>
            <w:pPr>
              <w:jc w:val="center"/>
              <w:rPr>
                <w:rFonts w:hint="eastAsia"/>
                <w:sz w:val="21"/>
                <w:szCs w:val="21"/>
              </w:rPr>
            </w:pPr>
            <w:r>
              <w:rPr>
                <w:rFonts w:hint="eastAsia"/>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水污染</w:t>
            </w:r>
          </w:p>
        </w:tc>
        <w:tc>
          <w:tcPr>
            <w:tcW w:w="1168" w:type="dxa"/>
            <w:noWrap w:val="0"/>
            <w:vAlign w:val="center"/>
          </w:tcPr>
          <w:p>
            <w:pPr>
              <w:jc w:val="center"/>
              <w:rPr>
                <w:rFonts w:hint="eastAsia"/>
                <w:sz w:val="21"/>
                <w:szCs w:val="21"/>
              </w:rPr>
            </w:pPr>
            <w:r>
              <w:rPr>
                <w:rFonts w:hint="eastAsia"/>
                <w:sz w:val="21"/>
                <w:szCs w:val="21"/>
              </w:rPr>
              <w:t>1</w:t>
            </w:r>
          </w:p>
        </w:tc>
        <w:tc>
          <w:tcPr>
            <w:tcW w:w="1573" w:type="dxa"/>
            <w:noWrap w:val="0"/>
            <w:vAlign w:val="center"/>
          </w:tcPr>
          <w:p>
            <w:pPr>
              <w:jc w:val="center"/>
              <w:rPr>
                <w:rFonts w:hint="eastAsia"/>
                <w:sz w:val="21"/>
                <w:szCs w:val="21"/>
              </w:rPr>
            </w:pPr>
            <w:r>
              <w:rPr>
                <w:rFonts w:hint="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噪声污染</w:t>
            </w:r>
          </w:p>
        </w:tc>
        <w:tc>
          <w:tcPr>
            <w:tcW w:w="1168" w:type="dxa"/>
            <w:noWrap w:val="0"/>
            <w:vAlign w:val="center"/>
          </w:tcPr>
          <w:p>
            <w:pPr>
              <w:jc w:val="center"/>
              <w:rPr>
                <w:rFonts w:hint="eastAsia"/>
                <w:sz w:val="21"/>
                <w:szCs w:val="21"/>
              </w:rPr>
            </w:pPr>
            <w:r>
              <w:rPr>
                <w:rFonts w:hint="eastAsia"/>
                <w:sz w:val="21"/>
                <w:szCs w:val="21"/>
              </w:rPr>
              <w:t>16</w:t>
            </w:r>
          </w:p>
        </w:tc>
        <w:tc>
          <w:tcPr>
            <w:tcW w:w="1573" w:type="dxa"/>
            <w:noWrap w:val="0"/>
            <w:vAlign w:val="center"/>
          </w:tcPr>
          <w:p>
            <w:pPr>
              <w:jc w:val="center"/>
              <w:rPr>
                <w:rFonts w:hint="eastAsia"/>
                <w:sz w:val="21"/>
                <w:szCs w:val="21"/>
              </w:rPr>
            </w:pPr>
            <w:r>
              <w:rPr>
                <w:rFonts w:hint="eastAsia"/>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3</w:t>
            </w:r>
          </w:p>
        </w:tc>
        <w:tc>
          <w:tcPr>
            <w:tcW w:w="2812" w:type="dxa"/>
            <w:vMerge w:val="restart"/>
            <w:noWrap w:val="0"/>
            <w:vAlign w:val="center"/>
          </w:tcPr>
          <w:p>
            <w:pPr>
              <w:jc w:val="center"/>
              <w:rPr>
                <w:rFonts w:hint="eastAsia"/>
                <w:sz w:val="21"/>
                <w:szCs w:val="21"/>
              </w:rPr>
            </w:pPr>
          </w:p>
          <w:p>
            <w:pPr>
              <w:rPr>
                <w:rFonts w:hint="eastAsia"/>
                <w:sz w:val="21"/>
                <w:szCs w:val="21"/>
              </w:rPr>
            </w:pPr>
            <w:r>
              <w:rPr>
                <w:rFonts w:hint="eastAsia"/>
                <w:sz w:val="21"/>
                <w:szCs w:val="21"/>
              </w:rPr>
              <w:t>您是否知道在当地建设该项目？</w:t>
            </w:r>
          </w:p>
        </w:tc>
        <w:tc>
          <w:tcPr>
            <w:tcW w:w="2830" w:type="dxa"/>
            <w:noWrap w:val="0"/>
            <w:vAlign w:val="center"/>
          </w:tcPr>
          <w:p>
            <w:pPr>
              <w:jc w:val="center"/>
              <w:rPr>
                <w:rFonts w:hint="eastAsia"/>
                <w:sz w:val="21"/>
                <w:szCs w:val="21"/>
              </w:rPr>
            </w:pPr>
            <w:r>
              <w:rPr>
                <w:rFonts w:hint="eastAsia"/>
                <w:sz w:val="21"/>
                <w:szCs w:val="21"/>
              </w:rPr>
              <w:t>不知道</w:t>
            </w:r>
          </w:p>
        </w:tc>
        <w:tc>
          <w:tcPr>
            <w:tcW w:w="1168" w:type="dxa"/>
            <w:noWrap w:val="0"/>
            <w:vAlign w:val="center"/>
          </w:tcPr>
          <w:p>
            <w:pPr>
              <w:jc w:val="center"/>
              <w:rPr>
                <w:rFonts w:hint="eastAsia"/>
                <w:sz w:val="21"/>
                <w:szCs w:val="21"/>
              </w:rPr>
            </w:pPr>
            <w:r>
              <w:rPr>
                <w:rFonts w:hint="eastAsia"/>
                <w:sz w:val="21"/>
                <w:szCs w:val="21"/>
              </w:rPr>
              <w:t>2</w:t>
            </w:r>
          </w:p>
        </w:tc>
        <w:tc>
          <w:tcPr>
            <w:tcW w:w="1573" w:type="dxa"/>
            <w:noWrap w:val="0"/>
            <w:vAlign w:val="center"/>
          </w:tcPr>
          <w:p>
            <w:pPr>
              <w:jc w:val="center"/>
              <w:rPr>
                <w:rFonts w:hint="eastAsia"/>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知道一点</w:t>
            </w:r>
          </w:p>
        </w:tc>
        <w:tc>
          <w:tcPr>
            <w:tcW w:w="1168" w:type="dxa"/>
            <w:noWrap w:val="0"/>
            <w:vAlign w:val="center"/>
          </w:tcPr>
          <w:p>
            <w:pPr>
              <w:jc w:val="center"/>
              <w:rPr>
                <w:rFonts w:hint="eastAsia"/>
                <w:sz w:val="21"/>
                <w:szCs w:val="21"/>
              </w:rPr>
            </w:pPr>
            <w:r>
              <w:rPr>
                <w:rFonts w:hint="eastAsia"/>
                <w:sz w:val="21"/>
                <w:szCs w:val="21"/>
              </w:rPr>
              <w:t>45</w:t>
            </w:r>
          </w:p>
        </w:tc>
        <w:tc>
          <w:tcPr>
            <w:tcW w:w="1573" w:type="dxa"/>
            <w:noWrap w:val="0"/>
            <w:vAlign w:val="center"/>
          </w:tcPr>
          <w:p>
            <w:pPr>
              <w:jc w:val="center"/>
              <w:rPr>
                <w:rFonts w:hint="eastAsia"/>
                <w:sz w:val="21"/>
                <w:szCs w:val="21"/>
              </w:rPr>
            </w:pPr>
            <w:r>
              <w:rPr>
                <w:rFonts w:hint="eastAsia"/>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知道</w:t>
            </w:r>
          </w:p>
        </w:tc>
        <w:tc>
          <w:tcPr>
            <w:tcW w:w="1168" w:type="dxa"/>
            <w:noWrap w:val="0"/>
            <w:vAlign w:val="center"/>
          </w:tcPr>
          <w:p>
            <w:pPr>
              <w:jc w:val="center"/>
              <w:rPr>
                <w:rFonts w:hint="eastAsia"/>
                <w:sz w:val="21"/>
                <w:szCs w:val="21"/>
              </w:rPr>
            </w:pPr>
            <w:r>
              <w:rPr>
                <w:rFonts w:hint="eastAsia"/>
                <w:sz w:val="21"/>
                <w:szCs w:val="21"/>
              </w:rPr>
              <w:t>53</w:t>
            </w:r>
          </w:p>
        </w:tc>
        <w:tc>
          <w:tcPr>
            <w:tcW w:w="1573" w:type="dxa"/>
            <w:noWrap w:val="0"/>
            <w:vAlign w:val="center"/>
          </w:tcPr>
          <w:p>
            <w:pPr>
              <w:jc w:val="center"/>
              <w:rPr>
                <w:rFonts w:hint="eastAsia"/>
                <w:sz w:val="21"/>
                <w:szCs w:val="21"/>
              </w:rPr>
            </w:pPr>
            <w:r>
              <w:rPr>
                <w:rFonts w:hint="eastAsia"/>
                <w:sz w:val="21"/>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03" w:type="dxa"/>
            <w:vMerge w:val="restart"/>
            <w:noWrap w:val="0"/>
            <w:vAlign w:val="center"/>
          </w:tcPr>
          <w:p>
            <w:pPr>
              <w:jc w:val="center"/>
              <w:rPr>
                <w:rFonts w:hint="eastAsia"/>
                <w:sz w:val="21"/>
                <w:szCs w:val="21"/>
              </w:rPr>
            </w:pPr>
          </w:p>
          <w:p>
            <w:pPr>
              <w:ind w:firstLine="210" w:firstLineChars="100"/>
              <w:rPr>
                <w:rFonts w:hint="eastAsia"/>
                <w:sz w:val="21"/>
                <w:szCs w:val="21"/>
              </w:rPr>
            </w:pPr>
            <w:r>
              <w:rPr>
                <w:rFonts w:hint="eastAsia"/>
                <w:sz w:val="21"/>
                <w:szCs w:val="21"/>
              </w:rPr>
              <w:t>4</w:t>
            </w:r>
          </w:p>
        </w:tc>
        <w:tc>
          <w:tcPr>
            <w:tcW w:w="2812" w:type="dxa"/>
            <w:vMerge w:val="restart"/>
            <w:noWrap w:val="0"/>
            <w:vAlign w:val="center"/>
          </w:tcPr>
          <w:p>
            <w:pPr>
              <w:jc w:val="center"/>
              <w:rPr>
                <w:rFonts w:hint="eastAsia"/>
                <w:sz w:val="21"/>
                <w:szCs w:val="21"/>
              </w:rPr>
            </w:pPr>
          </w:p>
          <w:p>
            <w:pPr>
              <w:rPr>
                <w:rFonts w:hint="eastAsia"/>
                <w:sz w:val="21"/>
                <w:szCs w:val="21"/>
              </w:rPr>
            </w:pPr>
            <w:r>
              <w:rPr>
                <w:rFonts w:hint="eastAsia"/>
                <w:sz w:val="21"/>
                <w:szCs w:val="21"/>
              </w:rPr>
              <w:t>您认为本项目建设对当地最主要的不利影响是什么？</w:t>
            </w:r>
          </w:p>
        </w:tc>
        <w:tc>
          <w:tcPr>
            <w:tcW w:w="2830" w:type="dxa"/>
            <w:noWrap w:val="0"/>
            <w:vAlign w:val="center"/>
          </w:tcPr>
          <w:p>
            <w:pPr>
              <w:jc w:val="center"/>
              <w:rPr>
                <w:rFonts w:hint="eastAsia"/>
                <w:sz w:val="21"/>
                <w:szCs w:val="21"/>
              </w:rPr>
            </w:pPr>
            <w:r>
              <w:rPr>
                <w:rFonts w:hint="eastAsia"/>
                <w:sz w:val="21"/>
                <w:szCs w:val="21"/>
              </w:rPr>
              <w:t>空气污染</w:t>
            </w:r>
          </w:p>
        </w:tc>
        <w:tc>
          <w:tcPr>
            <w:tcW w:w="1168" w:type="dxa"/>
            <w:noWrap w:val="0"/>
            <w:vAlign w:val="center"/>
          </w:tcPr>
          <w:p>
            <w:pPr>
              <w:jc w:val="center"/>
              <w:rPr>
                <w:rFonts w:hint="eastAsia"/>
                <w:sz w:val="21"/>
                <w:szCs w:val="21"/>
              </w:rPr>
            </w:pPr>
            <w:r>
              <w:rPr>
                <w:rFonts w:hint="eastAsia"/>
                <w:sz w:val="21"/>
                <w:szCs w:val="21"/>
              </w:rPr>
              <w:t>54</w:t>
            </w:r>
          </w:p>
        </w:tc>
        <w:tc>
          <w:tcPr>
            <w:tcW w:w="1573" w:type="dxa"/>
            <w:noWrap w:val="0"/>
            <w:vAlign w:val="center"/>
          </w:tcPr>
          <w:p>
            <w:pPr>
              <w:jc w:val="center"/>
              <w:rPr>
                <w:rFonts w:hint="eastAsia"/>
                <w:sz w:val="21"/>
                <w:szCs w:val="21"/>
              </w:rPr>
            </w:pPr>
            <w:r>
              <w:rPr>
                <w:rFonts w:hint="eastAsia"/>
                <w:sz w:val="21"/>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水污染</w:t>
            </w:r>
          </w:p>
        </w:tc>
        <w:tc>
          <w:tcPr>
            <w:tcW w:w="1168" w:type="dxa"/>
            <w:noWrap w:val="0"/>
            <w:vAlign w:val="center"/>
          </w:tcPr>
          <w:p>
            <w:pPr>
              <w:jc w:val="center"/>
              <w:rPr>
                <w:rFonts w:hint="eastAsia"/>
                <w:sz w:val="21"/>
                <w:szCs w:val="21"/>
              </w:rPr>
            </w:pPr>
            <w:r>
              <w:rPr>
                <w:rFonts w:hint="eastAsia"/>
                <w:sz w:val="21"/>
                <w:szCs w:val="21"/>
              </w:rPr>
              <w:t>2</w:t>
            </w:r>
          </w:p>
        </w:tc>
        <w:tc>
          <w:tcPr>
            <w:tcW w:w="1573" w:type="dxa"/>
            <w:noWrap w:val="0"/>
            <w:vAlign w:val="center"/>
          </w:tcPr>
          <w:p>
            <w:pPr>
              <w:jc w:val="center"/>
              <w:rPr>
                <w:rFonts w:hint="eastAsia"/>
                <w:sz w:val="21"/>
                <w:szCs w:val="21"/>
              </w:rPr>
            </w:pPr>
            <w:r>
              <w:rPr>
                <w:rFonts w:hint="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噪声污染</w:t>
            </w:r>
          </w:p>
        </w:tc>
        <w:tc>
          <w:tcPr>
            <w:tcW w:w="1168" w:type="dxa"/>
            <w:noWrap w:val="0"/>
            <w:vAlign w:val="center"/>
          </w:tcPr>
          <w:p>
            <w:pPr>
              <w:jc w:val="center"/>
              <w:rPr>
                <w:rFonts w:hint="eastAsia"/>
                <w:sz w:val="21"/>
                <w:szCs w:val="21"/>
              </w:rPr>
            </w:pPr>
            <w:r>
              <w:rPr>
                <w:rFonts w:hint="eastAsia"/>
                <w:sz w:val="21"/>
                <w:szCs w:val="21"/>
              </w:rPr>
              <w:t>14</w:t>
            </w:r>
          </w:p>
        </w:tc>
        <w:tc>
          <w:tcPr>
            <w:tcW w:w="1573" w:type="dxa"/>
            <w:noWrap w:val="0"/>
            <w:vAlign w:val="center"/>
          </w:tcPr>
          <w:p>
            <w:pPr>
              <w:jc w:val="center"/>
              <w:rPr>
                <w:rFonts w:hint="eastAsia"/>
                <w:sz w:val="21"/>
                <w:szCs w:val="21"/>
              </w:rPr>
            </w:pPr>
            <w:r>
              <w:rPr>
                <w:rFonts w:hint="eastAsia"/>
                <w:sz w:val="21"/>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废渣污染</w:t>
            </w:r>
          </w:p>
        </w:tc>
        <w:tc>
          <w:tcPr>
            <w:tcW w:w="1168" w:type="dxa"/>
            <w:noWrap w:val="0"/>
            <w:vAlign w:val="center"/>
          </w:tcPr>
          <w:p>
            <w:pPr>
              <w:jc w:val="center"/>
              <w:rPr>
                <w:rFonts w:hint="eastAsia"/>
                <w:sz w:val="21"/>
                <w:szCs w:val="21"/>
              </w:rPr>
            </w:pPr>
            <w:r>
              <w:rPr>
                <w:rFonts w:hint="eastAsia"/>
                <w:sz w:val="21"/>
                <w:szCs w:val="21"/>
              </w:rPr>
              <w:t>25</w:t>
            </w:r>
          </w:p>
        </w:tc>
        <w:tc>
          <w:tcPr>
            <w:tcW w:w="1573" w:type="dxa"/>
            <w:noWrap w:val="0"/>
            <w:vAlign w:val="center"/>
          </w:tcPr>
          <w:p>
            <w:pPr>
              <w:jc w:val="center"/>
              <w:rPr>
                <w:rFonts w:hint="eastAsia"/>
                <w:sz w:val="21"/>
                <w:szCs w:val="21"/>
              </w:rPr>
            </w:pPr>
            <w:r>
              <w:rPr>
                <w:rFonts w:hint="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其他</w:t>
            </w:r>
          </w:p>
        </w:tc>
        <w:tc>
          <w:tcPr>
            <w:tcW w:w="1168" w:type="dxa"/>
            <w:noWrap w:val="0"/>
            <w:vAlign w:val="center"/>
          </w:tcPr>
          <w:p>
            <w:pPr>
              <w:jc w:val="center"/>
              <w:rPr>
                <w:rFonts w:hint="eastAsia"/>
                <w:sz w:val="21"/>
                <w:szCs w:val="21"/>
              </w:rPr>
            </w:pPr>
            <w:r>
              <w:rPr>
                <w:rFonts w:hint="eastAsia"/>
                <w:sz w:val="21"/>
                <w:szCs w:val="21"/>
              </w:rPr>
              <w:t>5</w:t>
            </w:r>
          </w:p>
        </w:tc>
        <w:tc>
          <w:tcPr>
            <w:tcW w:w="1573" w:type="dxa"/>
            <w:noWrap w:val="0"/>
            <w:vAlign w:val="center"/>
          </w:tcPr>
          <w:p>
            <w:pPr>
              <w:jc w:val="center"/>
              <w:rPr>
                <w:rFonts w:hint="eastAsia"/>
                <w:sz w:val="21"/>
                <w:szCs w:val="21"/>
              </w:rPr>
            </w:pPr>
            <w:r>
              <w:rPr>
                <w:rFonts w:hint="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5</w:t>
            </w:r>
          </w:p>
        </w:tc>
        <w:tc>
          <w:tcPr>
            <w:tcW w:w="2812" w:type="dxa"/>
            <w:vMerge w:val="restart"/>
            <w:noWrap w:val="0"/>
            <w:vAlign w:val="center"/>
          </w:tcPr>
          <w:p>
            <w:pPr>
              <w:jc w:val="center"/>
              <w:rPr>
                <w:rFonts w:hint="eastAsia"/>
                <w:sz w:val="21"/>
                <w:szCs w:val="21"/>
              </w:rPr>
            </w:pPr>
          </w:p>
          <w:p>
            <w:pPr>
              <w:rPr>
                <w:rFonts w:hint="eastAsia"/>
                <w:sz w:val="21"/>
                <w:szCs w:val="21"/>
              </w:rPr>
            </w:pPr>
            <w:r>
              <w:rPr>
                <w:rFonts w:hint="eastAsia"/>
                <w:sz w:val="21"/>
                <w:szCs w:val="21"/>
              </w:rPr>
              <w:t>您认为项目完成后，对环境将会有怎样的影响？</w:t>
            </w:r>
          </w:p>
        </w:tc>
        <w:tc>
          <w:tcPr>
            <w:tcW w:w="2830" w:type="dxa"/>
            <w:noWrap w:val="0"/>
            <w:vAlign w:val="center"/>
          </w:tcPr>
          <w:p>
            <w:pPr>
              <w:jc w:val="center"/>
              <w:rPr>
                <w:rFonts w:hint="eastAsia"/>
                <w:sz w:val="21"/>
                <w:szCs w:val="21"/>
              </w:rPr>
            </w:pPr>
            <w:r>
              <w:rPr>
                <w:rFonts w:hint="eastAsia"/>
                <w:sz w:val="21"/>
                <w:szCs w:val="21"/>
              </w:rPr>
              <w:t>加重环境污染</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对环境影响不大</w:t>
            </w:r>
          </w:p>
        </w:tc>
        <w:tc>
          <w:tcPr>
            <w:tcW w:w="1168" w:type="dxa"/>
            <w:noWrap w:val="0"/>
            <w:vAlign w:val="center"/>
          </w:tcPr>
          <w:p>
            <w:pPr>
              <w:jc w:val="center"/>
              <w:rPr>
                <w:rFonts w:hint="eastAsia"/>
                <w:sz w:val="21"/>
                <w:szCs w:val="21"/>
              </w:rPr>
            </w:pPr>
            <w:r>
              <w:rPr>
                <w:rFonts w:hint="eastAsia"/>
                <w:sz w:val="21"/>
                <w:szCs w:val="21"/>
              </w:rPr>
              <w:t>10</w:t>
            </w:r>
          </w:p>
        </w:tc>
        <w:tc>
          <w:tcPr>
            <w:tcW w:w="1573" w:type="dxa"/>
            <w:noWrap w:val="0"/>
            <w:vAlign w:val="center"/>
          </w:tcPr>
          <w:p>
            <w:pPr>
              <w:jc w:val="center"/>
              <w:rPr>
                <w:rFonts w:hint="eastAsia"/>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对环境有改善作用</w:t>
            </w:r>
          </w:p>
        </w:tc>
        <w:tc>
          <w:tcPr>
            <w:tcW w:w="1168" w:type="dxa"/>
            <w:noWrap w:val="0"/>
            <w:vAlign w:val="center"/>
          </w:tcPr>
          <w:p>
            <w:pPr>
              <w:jc w:val="center"/>
              <w:rPr>
                <w:rFonts w:hint="eastAsia"/>
                <w:sz w:val="21"/>
                <w:szCs w:val="21"/>
              </w:rPr>
            </w:pPr>
            <w:r>
              <w:rPr>
                <w:rFonts w:hint="eastAsia"/>
                <w:sz w:val="21"/>
                <w:szCs w:val="21"/>
              </w:rPr>
              <w:t>90</w:t>
            </w:r>
          </w:p>
        </w:tc>
        <w:tc>
          <w:tcPr>
            <w:tcW w:w="1573" w:type="dxa"/>
            <w:noWrap w:val="0"/>
            <w:vAlign w:val="center"/>
          </w:tcPr>
          <w:p>
            <w:pPr>
              <w:jc w:val="center"/>
              <w:rPr>
                <w:rFonts w:hint="eastAsia"/>
                <w:sz w:val="21"/>
                <w:szCs w:val="21"/>
              </w:rPr>
            </w:pPr>
            <w:r>
              <w:rPr>
                <w:rFonts w:hint="eastAsia"/>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6</w:t>
            </w:r>
          </w:p>
        </w:tc>
        <w:tc>
          <w:tcPr>
            <w:tcW w:w="2812" w:type="dxa"/>
            <w:vMerge w:val="restart"/>
            <w:noWrap w:val="0"/>
            <w:vAlign w:val="center"/>
          </w:tcPr>
          <w:p>
            <w:pPr>
              <w:jc w:val="center"/>
              <w:rPr>
                <w:rFonts w:hint="eastAsia"/>
                <w:sz w:val="21"/>
                <w:szCs w:val="21"/>
              </w:rPr>
            </w:pPr>
          </w:p>
          <w:p>
            <w:pPr>
              <w:rPr>
                <w:rFonts w:hint="eastAsia"/>
                <w:sz w:val="21"/>
                <w:szCs w:val="21"/>
              </w:rPr>
            </w:pPr>
            <w:r>
              <w:rPr>
                <w:rFonts w:hint="eastAsia"/>
                <w:sz w:val="21"/>
                <w:szCs w:val="21"/>
              </w:rPr>
              <w:t>项目生产的不利影响您是否接受？</w:t>
            </w:r>
          </w:p>
        </w:tc>
        <w:tc>
          <w:tcPr>
            <w:tcW w:w="2830" w:type="dxa"/>
            <w:noWrap w:val="0"/>
            <w:vAlign w:val="center"/>
          </w:tcPr>
          <w:p>
            <w:pPr>
              <w:jc w:val="center"/>
              <w:rPr>
                <w:rFonts w:hint="eastAsia"/>
                <w:sz w:val="21"/>
                <w:szCs w:val="21"/>
              </w:rPr>
            </w:pPr>
            <w:r>
              <w:rPr>
                <w:rFonts w:hint="eastAsia"/>
                <w:sz w:val="21"/>
                <w:szCs w:val="21"/>
              </w:rPr>
              <w:t>能</w:t>
            </w:r>
          </w:p>
        </w:tc>
        <w:tc>
          <w:tcPr>
            <w:tcW w:w="1168" w:type="dxa"/>
            <w:noWrap w:val="0"/>
            <w:vAlign w:val="center"/>
          </w:tcPr>
          <w:p>
            <w:pPr>
              <w:jc w:val="center"/>
              <w:rPr>
                <w:rFonts w:hint="eastAsia"/>
                <w:sz w:val="21"/>
                <w:szCs w:val="21"/>
              </w:rPr>
            </w:pPr>
            <w:r>
              <w:rPr>
                <w:rFonts w:hint="eastAsia"/>
                <w:sz w:val="21"/>
                <w:szCs w:val="21"/>
              </w:rPr>
              <w:t>91</w:t>
            </w:r>
          </w:p>
        </w:tc>
        <w:tc>
          <w:tcPr>
            <w:tcW w:w="1573" w:type="dxa"/>
            <w:noWrap w:val="0"/>
            <w:vAlign w:val="center"/>
          </w:tcPr>
          <w:p>
            <w:pPr>
              <w:jc w:val="center"/>
              <w:rPr>
                <w:rFonts w:hint="eastAsia"/>
                <w:sz w:val="21"/>
                <w:szCs w:val="21"/>
              </w:rPr>
            </w:pPr>
            <w:r>
              <w:rPr>
                <w:rFonts w:hint="eastAsia"/>
                <w:sz w:val="21"/>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不能</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rFonts w:hint="eastAsia"/>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暂时不能确定</w:t>
            </w:r>
          </w:p>
        </w:tc>
        <w:tc>
          <w:tcPr>
            <w:tcW w:w="1168" w:type="dxa"/>
            <w:noWrap w:val="0"/>
            <w:vAlign w:val="center"/>
          </w:tcPr>
          <w:p>
            <w:pPr>
              <w:jc w:val="center"/>
              <w:rPr>
                <w:rFonts w:hint="eastAsia"/>
                <w:sz w:val="21"/>
                <w:szCs w:val="21"/>
              </w:rPr>
            </w:pPr>
            <w:r>
              <w:rPr>
                <w:rFonts w:hint="eastAsia"/>
                <w:sz w:val="21"/>
                <w:szCs w:val="21"/>
              </w:rPr>
              <w:t>9</w:t>
            </w:r>
          </w:p>
        </w:tc>
        <w:tc>
          <w:tcPr>
            <w:tcW w:w="1573" w:type="dxa"/>
            <w:noWrap w:val="0"/>
            <w:vAlign w:val="center"/>
          </w:tcPr>
          <w:p>
            <w:pPr>
              <w:jc w:val="center"/>
              <w:rPr>
                <w:rFonts w:hint="eastAsia"/>
                <w:sz w:val="21"/>
                <w:szCs w:val="21"/>
              </w:rPr>
            </w:pPr>
            <w:r>
              <w:rPr>
                <w:rFonts w:hint="eastAsia"/>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7</w:t>
            </w:r>
          </w:p>
        </w:tc>
        <w:tc>
          <w:tcPr>
            <w:tcW w:w="2812" w:type="dxa"/>
            <w:vMerge w:val="restart"/>
            <w:noWrap w:val="0"/>
            <w:vAlign w:val="center"/>
          </w:tcPr>
          <w:p>
            <w:pPr>
              <w:rPr>
                <w:rFonts w:hint="eastAsia"/>
                <w:sz w:val="21"/>
                <w:szCs w:val="21"/>
              </w:rPr>
            </w:pPr>
          </w:p>
          <w:p>
            <w:pPr>
              <w:rPr>
                <w:rFonts w:hint="eastAsia"/>
                <w:sz w:val="21"/>
                <w:szCs w:val="21"/>
              </w:rPr>
            </w:pPr>
            <w:r>
              <w:rPr>
                <w:rFonts w:hint="eastAsia"/>
                <w:sz w:val="21"/>
                <w:szCs w:val="21"/>
              </w:rPr>
              <w:t>您认为拟建项目选址是否合理？</w:t>
            </w:r>
          </w:p>
        </w:tc>
        <w:tc>
          <w:tcPr>
            <w:tcW w:w="2830" w:type="dxa"/>
            <w:noWrap w:val="0"/>
            <w:vAlign w:val="center"/>
          </w:tcPr>
          <w:p>
            <w:pPr>
              <w:jc w:val="center"/>
              <w:rPr>
                <w:rFonts w:hint="eastAsia"/>
                <w:sz w:val="21"/>
                <w:szCs w:val="21"/>
              </w:rPr>
            </w:pPr>
            <w:r>
              <w:rPr>
                <w:rFonts w:hint="eastAsia"/>
                <w:sz w:val="21"/>
                <w:szCs w:val="21"/>
              </w:rPr>
              <w:t>合理</w:t>
            </w:r>
          </w:p>
        </w:tc>
        <w:tc>
          <w:tcPr>
            <w:tcW w:w="1168" w:type="dxa"/>
            <w:noWrap w:val="0"/>
            <w:vAlign w:val="center"/>
          </w:tcPr>
          <w:p>
            <w:pPr>
              <w:jc w:val="center"/>
              <w:rPr>
                <w:rFonts w:hint="eastAsia"/>
                <w:sz w:val="21"/>
                <w:szCs w:val="21"/>
              </w:rPr>
            </w:pPr>
            <w:r>
              <w:rPr>
                <w:rFonts w:hint="eastAsia"/>
                <w:sz w:val="21"/>
                <w:szCs w:val="21"/>
              </w:rPr>
              <w:t>89</w:t>
            </w:r>
          </w:p>
        </w:tc>
        <w:tc>
          <w:tcPr>
            <w:tcW w:w="1573" w:type="dxa"/>
            <w:noWrap w:val="0"/>
            <w:vAlign w:val="center"/>
          </w:tcPr>
          <w:p>
            <w:pPr>
              <w:jc w:val="center"/>
              <w:rPr>
                <w:rFonts w:hint="eastAsia"/>
                <w:sz w:val="21"/>
                <w:szCs w:val="21"/>
              </w:rPr>
            </w:pPr>
            <w:r>
              <w:rPr>
                <w:rFonts w:hint="eastAsia"/>
                <w:sz w:val="21"/>
                <w:szCs w:val="21"/>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基本合理</w:t>
            </w:r>
          </w:p>
        </w:tc>
        <w:tc>
          <w:tcPr>
            <w:tcW w:w="1168" w:type="dxa"/>
            <w:noWrap w:val="0"/>
            <w:vAlign w:val="center"/>
          </w:tcPr>
          <w:p>
            <w:pPr>
              <w:jc w:val="center"/>
              <w:rPr>
                <w:rFonts w:hint="eastAsia"/>
                <w:sz w:val="21"/>
                <w:szCs w:val="21"/>
              </w:rPr>
            </w:pPr>
            <w:r>
              <w:rPr>
                <w:rFonts w:hint="eastAsia"/>
                <w:sz w:val="21"/>
                <w:szCs w:val="21"/>
              </w:rPr>
              <w:t>11</w:t>
            </w:r>
          </w:p>
        </w:tc>
        <w:tc>
          <w:tcPr>
            <w:tcW w:w="1573" w:type="dxa"/>
            <w:noWrap w:val="0"/>
            <w:vAlign w:val="center"/>
          </w:tcPr>
          <w:p>
            <w:pPr>
              <w:jc w:val="center"/>
              <w:rPr>
                <w:rFonts w:hint="eastAsia"/>
                <w:sz w:val="21"/>
                <w:szCs w:val="21"/>
              </w:rPr>
            </w:pPr>
            <w:r>
              <w:rPr>
                <w:rFonts w:hint="eastAsia"/>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不合理</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8</w:t>
            </w:r>
          </w:p>
        </w:tc>
        <w:tc>
          <w:tcPr>
            <w:tcW w:w="2812" w:type="dxa"/>
            <w:vMerge w:val="restart"/>
            <w:noWrap w:val="0"/>
            <w:vAlign w:val="center"/>
          </w:tcPr>
          <w:p>
            <w:pPr>
              <w:rPr>
                <w:rFonts w:hint="eastAsia"/>
                <w:sz w:val="21"/>
                <w:szCs w:val="21"/>
              </w:rPr>
            </w:pPr>
          </w:p>
          <w:p>
            <w:pPr>
              <w:rPr>
                <w:rFonts w:hint="eastAsia"/>
                <w:sz w:val="21"/>
                <w:szCs w:val="21"/>
              </w:rPr>
            </w:pPr>
            <w:r>
              <w:rPr>
                <w:rFonts w:hint="eastAsia"/>
                <w:sz w:val="21"/>
                <w:szCs w:val="21"/>
              </w:rPr>
              <w:t>本项目建设对当地经济建设有何益处？</w:t>
            </w:r>
          </w:p>
        </w:tc>
        <w:tc>
          <w:tcPr>
            <w:tcW w:w="2830" w:type="dxa"/>
            <w:noWrap w:val="0"/>
            <w:vAlign w:val="center"/>
          </w:tcPr>
          <w:p>
            <w:pPr>
              <w:jc w:val="center"/>
              <w:rPr>
                <w:rFonts w:hint="eastAsia"/>
                <w:sz w:val="21"/>
                <w:szCs w:val="21"/>
              </w:rPr>
            </w:pPr>
            <w:r>
              <w:rPr>
                <w:rFonts w:hint="eastAsia"/>
                <w:sz w:val="21"/>
                <w:szCs w:val="21"/>
              </w:rPr>
              <w:t>增加个人就业机会和收入</w:t>
            </w:r>
          </w:p>
        </w:tc>
        <w:tc>
          <w:tcPr>
            <w:tcW w:w="1168" w:type="dxa"/>
            <w:noWrap w:val="0"/>
            <w:vAlign w:val="center"/>
          </w:tcPr>
          <w:p>
            <w:pPr>
              <w:jc w:val="center"/>
              <w:rPr>
                <w:rFonts w:hint="eastAsia"/>
                <w:sz w:val="21"/>
                <w:szCs w:val="21"/>
              </w:rPr>
            </w:pPr>
            <w:r>
              <w:rPr>
                <w:rFonts w:hint="eastAsia"/>
                <w:sz w:val="21"/>
                <w:szCs w:val="21"/>
              </w:rPr>
              <w:t>52</w:t>
            </w:r>
          </w:p>
        </w:tc>
        <w:tc>
          <w:tcPr>
            <w:tcW w:w="1573" w:type="dxa"/>
            <w:noWrap w:val="0"/>
            <w:vAlign w:val="center"/>
          </w:tcPr>
          <w:p>
            <w:pPr>
              <w:jc w:val="center"/>
              <w:rPr>
                <w:sz w:val="21"/>
                <w:szCs w:val="21"/>
              </w:rPr>
            </w:pPr>
            <w:r>
              <w:rPr>
                <w:rFonts w:hint="eastAsia"/>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带动地方经济的发展</w:t>
            </w:r>
          </w:p>
        </w:tc>
        <w:tc>
          <w:tcPr>
            <w:tcW w:w="1168" w:type="dxa"/>
            <w:noWrap w:val="0"/>
            <w:vAlign w:val="center"/>
          </w:tcPr>
          <w:p>
            <w:pPr>
              <w:jc w:val="center"/>
              <w:rPr>
                <w:rFonts w:hint="eastAsia"/>
                <w:sz w:val="21"/>
                <w:szCs w:val="21"/>
              </w:rPr>
            </w:pPr>
            <w:r>
              <w:rPr>
                <w:rFonts w:hint="eastAsia"/>
                <w:sz w:val="21"/>
                <w:szCs w:val="21"/>
              </w:rPr>
              <w:t>88</w:t>
            </w:r>
          </w:p>
        </w:tc>
        <w:tc>
          <w:tcPr>
            <w:tcW w:w="1573" w:type="dxa"/>
            <w:noWrap w:val="0"/>
            <w:vAlign w:val="center"/>
          </w:tcPr>
          <w:p>
            <w:pPr>
              <w:jc w:val="center"/>
              <w:rPr>
                <w:sz w:val="21"/>
                <w:szCs w:val="21"/>
              </w:rPr>
            </w:pPr>
            <w:r>
              <w:rPr>
                <w:rFonts w:hint="eastAsia"/>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无效益</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03"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9</w:t>
            </w:r>
          </w:p>
        </w:tc>
        <w:tc>
          <w:tcPr>
            <w:tcW w:w="2812" w:type="dxa"/>
            <w:vMerge w:val="restart"/>
            <w:noWrap w:val="0"/>
            <w:vAlign w:val="center"/>
          </w:tcPr>
          <w:p>
            <w:pPr>
              <w:jc w:val="center"/>
              <w:rPr>
                <w:rFonts w:hint="eastAsia"/>
                <w:sz w:val="21"/>
                <w:szCs w:val="21"/>
              </w:rPr>
            </w:pPr>
          </w:p>
          <w:p>
            <w:pPr>
              <w:jc w:val="center"/>
              <w:rPr>
                <w:rFonts w:hint="eastAsia"/>
                <w:sz w:val="21"/>
                <w:szCs w:val="21"/>
              </w:rPr>
            </w:pPr>
            <w:r>
              <w:rPr>
                <w:rFonts w:hint="eastAsia"/>
                <w:sz w:val="21"/>
                <w:szCs w:val="21"/>
              </w:rPr>
              <w:t>在满足环保要求的前提下您同意本项目的建设吗？</w:t>
            </w:r>
          </w:p>
        </w:tc>
        <w:tc>
          <w:tcPr>
            <w:tcW w:w="2830" w:type="dxa"/>
            <w:noWrap w:val="0"/>
            <w:vAlign w:val="center"/>
          </w:tcPr>
          <w:p>
            <w:pPr>
              <w:jc w:val="center"/>
              <w:rPr>
                <w:rFonts w:hint="eastAsia"/>
                <w:sz w:val="21"/>
                <w:szCs w:val="21"/>
              </w:rPr>
            </w:pPr>
            <w:r>
              <w:rPr>
                <w:rFonts w:hint="eastAsia"/>
                <w:sz w:val="21"/>
                <w:szCs w:val="21"/>
              </w:rPr>
              <w:t>同意</w:t>
            </w:r>
          </w:p>
        </w:tc>
        <w:tc>
          <w:tcPr>
            <w:tcW w:w="1168" w:type="dxa"/>
            <w:noWrap w:val="0"/>
            <w:vAlign w:val="center"/>
          </w:tcPr>
          <w:p>
            <w:pPr>
              <w:jc w:val="center"/>
              <w:rPr>
                <w:rFonts w:hint="eastAsia"/>
                <w:sz w:val="21"/>
                <w:szCs w:val="21"/>
              </w:rPr>
            </w:pPr>
            <w:r>
              <w:rPr>
                <w:rFonts w:hint="eastAsia"/>
                <w:sz w:val="21"/>
                <w:szCs w:val="21"/>
              </w:rPr>
              <w:t>96</w:t>
            </w:r>
          </w:p>
        </w:tc>
        <w:tc>
          <w:tcPr>
            <w:tcW w:w="1573" w:type="dxa"/>
            <w:noWrap w:val="0"/>
            <w:vAlign w:val="center"/>
          </w:tcPr>
          <w:p>
            <w:pPr>
              <w:jc w:val="center"/>
              <w:rPr>
                <w:sz w:val="21"/>
                <w:szCs w:val="21"/>
              </w:rPr>
            </w:pPr>
            <w:r>
              <w:rPr>
                <w:rFonts w:hint="eastAsia"/>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反对</w:t>
            </w:r>
          </w:p>
        </w:tc>
        <w:tc>
          <w:tcPr>
            <w:tcW w:w="1168" w:type="dxa"/>
            <w:noWrap w:val="0"/>
            <w:vAlign w:val="center"/>
          </w:tcPr>
          <w:p>
            <w:pPr>
              <w:jc w:val="center"/>
              <w:rPr>
                <w:rFonts w:hint="eastAsia"/>
                <w:sz w:val="21"/>
                <w:szCs w:val="21"/>
              </w:rPr>
            </w:pPr>
            <w:r>
              <w:rPr>
                <w:rFonts w:hint="eastAsia"/>
                <w:sz w:val="21"/>
                <w:szCs w:val="21"/>
              </w:rPr>
              <w:t>0</w:t>
            </w:r>
          </w:p>
        </w:tc>
        <w:tc>
          <w:tcPr>
            <w:tcW w:w="1573" w:type="dxa"/>
            <w:noWrap w:val="0"/>
            <w:vAlign w:val="center"/>
          </w:tcPr>
          <w:p>
            <w:pPr>
              <w:jc w:val="center"/>
              <w:rPr>
                <w:sz w:val="21"/>
                <w:szCs w:val="21"/>
              </w:rPr>
            </w:pPr>
            <w:r>
              <w:rPr>
                <w:rFonts w:hint="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03" w:type="dxa"/>
            <w:vMerge w:val="continue"/>
            <w:noWrap w:val="0"/>
            <w:vAlign w:val="center"/>
          </w:tcPr>
          <w:p>
            <w:pPr>
              <w:jc w:val="center"/>
              <w:rPr>
                <w:rFonts w:hint="eastAsia"/>
                <w:sz w:val="21"/>
                <w:szCs w:val="21"/>
              </w:rPr>
            </w:pPr>
          </w:p>
        </w:tc>
        <w:tc>
          <w:tcPr>
            <w:tcW w:w="2812" w:type="dxa"/>
            <w:vMerge w:val="continue"/>
            <w:noWrap w:val="0"/>
            <w:vAlign w:val="center"/>
          </w:tcPr>
          <w:p>
            <w:pPr>
              <w:jc w:val="center"/>
              <w:rPr>
                <w:rFonts w:hint="eastAsia"/>
                <w:sz w:val="21"/>
                <w:szCs w:val="21"/>
              </w:rPr>
            </w:pPr>
          </w:p>
        </w:tc>
        <w:tc>
          <w:tcPr>
            <w:tcW w:w="2830" w:type="dxa"/>
            <w:noWrap w:val="0"/>
            <w:vAlign w:val="center"/>
          </w:tcPr>
          <w:p>
            <w:pPr>
              <w:jc w:val="center"/>
              <w:rPr>
                <w:rFonts w:hint="eastAsia"/>
                <w:sz w:val="21"/>
                <w:szCs w:val="21"/>
              </w:rPr>
            </w:pPr>
            <w:r>
              <w:rPr>
                <w:rFonts w:hint="eastAsia"/>
                <w:sz w:val="21"/>
                <w:szCs w:val="21"/>
              </w:rPr>
              <w:t>无所谓</w:t>
            </w:r>
          </w:p>
        </w:tc>
        <w:tc>
          <w:tcPr>
            <w:tcW w:w="1168" w:type="dxa"/>
            <w:noWrap w:val="0"/>
            <w:vAlign w:val="center"/>
          </w:tcPr>
          <w:p>
            <w:pPr>
              <w:jc w:val="center"/>
              <w:rPr>
                <w:rFonts w:hint="eastAsia"/>
                <w:sz w:val="21"/>
                <w:szCs w:val="21"/>
              </w:rPr>
            </w:pPr>
            <w:r>
              <w:rPr>
                <w:rFonts w:hint="eastAsia"/>
                <w:sz w:val="21"/>
                <w:szCs w:val="21"/>
              </w:rPr>
              <w:t>4</w:t>
            </w:r>
          </w:p>
        </w:tc>
        <w:tc>
          <w:tcPr>
            <w:tcW w:w="1573" w:type="dxa"/>
            <w:noWrap w:val="0"/>
            <w:vAlign w:val="center"/>
          </w:tcPr>
          <w:p>
            <w:pPr>
              <w:jc w:val="center"/>
              <w:rPr>
                <w:sz w:val="21"/>
                <w:szCs w:val="21"/>
              </w:rPr>
            </w:pPr>
            <w:r>
              <w:rPr>
                <w:rFonts w:hint="eastAsia"/>
                <w:sz w:val="21"/>
                <w:szCs w:val="21"/>
              </w:rPr>
              <w:t>4%</w:t>
            </w:r>
          </w:p>
        </w:tc>
      </w:tr>
    </w:tbl>
    <w:p>
      <w:pPr>
        <w:spacing w:line="360" w:lineRule="auto"/>
        <w:ind w:firstLine="420" w:firstLineChars="200"/>
        <w:rPr>
          <w:rFonts w:hint="eastAsia" w:ascii="宋体" w:hAnsi="宋体"/>
        </w:rPr>
      </w:pPr>
    </w:p>
    <w:p>
      <w:pPr>
        <w:spacing w:line="480" w:lineRule="exact"/>
        <w:ind w:firstLine="420" w:firstLineChars="200"/>
        <w:rPr>
          <w:rFonts w:hint="eastAsia" w:ascii="宋体" w:hAnsi="宋体"/>
        </w:rPr>
      </w:pPr>
      <w:r>
        <w:rPr>
          <w:rFonts w:hint="eastAsia" w:ascii="宋体" w:hAnsi="宋体"/>
        </w:rPr>
        <w:t>从表9-2可以看出，被调查公众中，</w:t>
      </w:r>
      <w:r>
        <w:rPr>
          <w:rFonts w:hint="eastAsia" w:ascii="宋体" w:hAnsi="宋体"/>
          <w:szCs w:val="21"/>
        </w:rPr>
        <w:t xml:space="preserve">96%的公众对当地环境质量现状都表示满意或者比较满意，4%的公众表示不满意；44%的公众认为无环境问题，47%的公众认为项目所在地主要环境问题是空气污染；98%的公众知道或知道一点在当地建设项目； </w:t>
      </w:r>
      <w:r>
        <w:rPr>
          <w:rFonts w:hint="eastAsia"/>
        </w:rPr>
        <w:t>90%的公众认为对环境有改善作用，</w:t>
      </w:r>
      <w:r>
        <w:rPr>
          <w:rFonts w:hint="eastAsia" w:ascii="宋体" w:hAnsi="宋体"/>
          <w:szCs w:val="21"/>
        </w:rPr>
        <w:t>10%的公众认为</w:t>
      </w:r>
      <w:r>
        <w:rPr>
          <w:rFonts w:hint="eastAsia"/>
        </w:rPr>
        <w:t>技改项目完成后对环境影响不大；100%的公众认为项目建设能够带动地方经济的发展，同意建设本项目。</w:t>
      </w:r>
    </w:p>
    <w:p>
      <w:pPr>
        <w:spacing w:line="480" w:lineRule="exact"/>
        <w:ind w:firstLine="422" w:firstLineChars="200"/>
        <w:rPr>
          <w:rFonts w:hint="eastAsia" w:ascii="宋体" w:hAnsi="宋体"/>
          <w:b/>
        </w:rPr>
      </w:pPr>
      <w:r>
        <w:rPr>
          <w:rFonts w:hint="eastAsia" w:ascii="宋体" w:hAnsi="宋体"/>
          <w:b/>
        </w:rPr>
        <w:t>（3）公众要求和建议</w:t>
      </w:r>
    </w:p>
    <w:p>
      <w:pPr>
        <w:spacing w:line="480" w:lineRule="exact"/>
        <w:ind w:firstLine="420" w:firstLineChars="200"/>
        <w:rPr>
          <w:rFonts w:hint="eastAsia" w:ascii="宋体" w:hAnsi="宋体"/>
        </w:rPr>
      </w:pPr>
      <w:r>
        <w:rPr>
          <w:rFonts w:hint="eastAsia" w:ascii="宋体" w:hAnsi="宋体"/>
        </w:rPr>
        <w:t>被调查的100人中，提出要求和建议的主要内容如下：</w:t>
      </w:r>
    </w:p>
    <w:p>
      <w:pPr>
        <w:numPr>
          <w:ilvl w:val="0"/>
          <w:numId w:val="6"/>
        </w:numPr>
        <w:spacing w:line="480" w:lineRule="exact"/>
        <w:rPr>
          <w:rFonts w:hint="eastAsia" w:ascii="宋体" w:hAnsi="宋体"/>
          <w:szCs w:val="21"/>
        </w:rPr>
      </w:pPr>
      <w:r>
        <w:rPr>
          <w:rFonts w:hint="eastAsia" w:ascii="宋体" w:hAnsi="宋体"/>
          <w:szCs w:val="21"/>
        </w:rPr>
        <w:t>建议在采购材料时，优先考虑当地资源；</w:t>
      </w:r>
    </w:p>
    <w:p>
      <w:pPr>
        <w:numPr>
          <w:ilvl w:val="0"/>
          <w:numId w:val="6"/>
        </w:numPr>
        <w:spacing w:line="480" w:lineRule="exact"/>
        <w:rPr>
          <w:rFonts w:hint="eastAsia" w:ascii="宋体" w:hAnsi="宋体"/>
          <w:szCs w:val="21"/>
        </w:rPr>
      </w:pPr>
      <w:r>
        <w:rPr>
          <w:rFonts w:hint="eastAsia" w:ascii="宋体" w:hAnsi="宋体"/>
          <w:szCs w:val="21"/>
        </w:rPr>
        <w:t>要求按科学设计施工，生产达到环保规定要求、科学管理；</w:t>
      </w:r>
    </w:p>
    <w:p>
      <w:pPr>
        <w:numPr>
          <w:ilvl w:val="0"/>
          <w:numId w:val="6"/>
        </w:numPr>
        <w:spacing w:line="480" w:lineRule="exact"/>
        <w:rPr>
          <w:rFonts w:hint="eastAsia" w:ascii="宋体" w:hAnsi="宋体"/>
          <w:szCs w:val="21"/>
        </w:rPr>
      </w:pPr>
      <w:r>
        <w:rPr>
          <w:rFonts w:hint="eastAsia" w:ascii="宋体" w:hAnsi="宋体"/>
          <w:szCs w:val="21"/>
        </w:rPr>
        <w:t>要求加快项目实施。</w:t>
      </w:r>
    </w:p>
    <w:p>
      <w:pPr>
        <w:spacing w:line="480" w:lineRule="exact"/>
        <w:ind w:firstLine="420" w:firstLineChars="200"/>
        <w:rPr>
          <w:rFonts w:hint="eastAsia" w:ascii="宋体" w:hAnsi="宋体"/>
        </w:rPr>
      </w:pPr>
      <w:r>
        <w:rPr>
          <w:rFonts w:hint="eastAsia" w:ascii="宋体" w:hAnsi="宋体"/>
        </w:rPr>
        <w:t>总的来看，100%公众支持技改项目的建设，100</w:t>
      </w:r>
      <w:r>
        <w:rPr>
          <w:rFonts w:ascii="宋体" w:hAnsi="宋体"/>
        </w:rPr>
        <w:t>%</w:t>
      </w:r>
      <w:r>
        <w:rPr>
          <w:rFonts w:hint="eastAsia" w:ascii="宋体" w:hAnsi="宋体"/>
        </w:rPr>
        <w:t>的公众认为技改项目选址是合理或基本合理，希望早日开工建设，能够为当地就业和发展带来方便和机遇。</w:t>
      </w:r>
    </w:p>
    <w:p>
      <w:pPr>
        <w:spacing w:line="480" w:lineRule="exact"/>
        <w:rPr>
          <w:rFonts w:hint="eastAsia"/>
          <w:b/>
          <w:bCs/>
          <w:szCs w:val="20"/>
        </w:rPr>
      </w:pPr>
      <w:r>
        <w:rPr>
          <w:rFonts w:hint="eastAsia"/>
          <w:b/>
          <w:bCs/>
          <w:szCs w:val="20"/>
        </w:rPr>
        <w:t>9.3.2 网上公示反馈信息</w:t>
      </w:r>
    </w:p>
    <w:p>
      <w:pPr>
        <w:spacing w:line="360" w:lineRule="auto"/>
        <w:ind w:firstLine="420" w:firstLineChars="200"/>
        <w:rPr>
          <w:rFonts w:hint="eastAsia" w:ascii="宋体" w:hAnsi="宋体"/>
        </w:rPr>
      </w:pPr>
      <w:r>
        <w:rPr>
          <w:rFonts w:hint="eastAsia" w:ascii="宋体" w:hAnsi="宋体" w:cs="Tunga"/>
        </w:rPr>
        <w:t>永荣青鹏煤业</w:t>
      </w:r>
      <w:r>
        <w:rPr>
          <w:rFonts w:hint="eastAsia"/>
          <w:spacing w:val="8"/>
        </w:rPr>
        <w:t>有限公司2500t/d熟料水泥生产线技改</w:t>
      </w:r>
      <w:r>
        <w:rPr>
          <w:rFonts w:hint="eastAsia" w:ascii="宋体" w:hAnsi="宋体"/>
        </w:rPr>
        <w:t>项目</w:t>
      </w:r>
      <w:r>
        <w:rPr>
          <w:rFonts w:hint="eastAsia"/>
        </w:rPr>
        <w:t>在网上公示后，</w:t>
      </w:r>
      <w:r>
        <w:rPr>
          <w:rFonts w:hint="eastAsia" w:ascii="宋体" w:hAnsi="宋体"/>
        </w:rPr>
        <w:t>业主单位和评价单位共收到10个咨询电话，主要咨询项目建设进展情况、设备采购情况等，未收到相关污染防治和环境保护方面的反馈电话。</w:t>
      </w:r>
    </w:p>
    <w:p>
      <w:pPr>
        <w:spacing w:line="360" w:lineRule="auto"/>
        <w:outlineLvl w:val="1"/>
        <w:rPr>
          <w:rFonts w:hint="eastAsia"/>
          <w:b/>
          <w:bCs/>
        </w:rPr>
      </w:pPr>
      <w:bookmarkStart w:id="379" w:name="_Toc176784775"/>
      <w:bookmarkStart w:id="380" w:name="_Toc176686201"/>
      <w:bookmarkStart w:id="381" w:name="_Toc276372261"/>
      <w:r>
        <w:rPr>
          <w:rFonts w:hint="eastAsia"/>
          <w:b/>
          <w:bCs/>
        </w:rPr>
        <w:t>9.4 公众意见采纳情况</w:t>
      </w:r>
      <w:bookmarkEnd w:id="379"/>
      <w:bookmarkEnd w:id="380"/>
      <w:bookmarkEnd w:id="381"/>
    </w:p>
    <w:p>
      <w:pPr>
        <w:spacing w:line="360" w:lineRule="auto"/>
        <w:ind w:firstLine="420" w:firstLineChars="200"/>
        <w:rPr>
          <w:rFonts w:hint="eastAsia"/>
        </w:rPr>
      </w:pPr>
      <w:r>
        <w:rPr>
          <w:rFonts w:hint="eastAsia"/>
        </w:rPr>
        <w:t>公众对技改项目的关心体现了公众参与的作用。</w:t>
      </w:r>
    </w:p>
    <w:p>
      <w:pPr>
        <w:spacing w:line="360" w:lineRule="auto"/>
        <w:ind w:firstLine="420" w:firstLineChars="200"/>
        <w:rPr>
          <w:rFonts w:hint="eastAsia"/>
        </w:rPr>
      </w:pPr>
      <w:r>
        <w:rPr>
          <w:rFonts w:hint="eastAsia"/>
        </w:rPr>
        <w:t>评价认为：公众对技改项目的建议和合理要求，建设单位有关领导必须加以重视，真正做到对污染物的预防控制和达标排放。同时，应加强生产管理和防范事故，确保环保设施正常稳定运行。</w:t>
      </w:r>
    </w:p>
    <w:p>
      <w:pPr>
        <w:spacing w:line="360" w:lineRule="auto"/>
        <w:ind w:firstLine="420" w:firstLineChars="200"/>
        <w:rPr>
          <w:rFonts w:hint="eastAsia"/>
        </w:rPr>
      </w:pPr>
      <w:r>
        <w:rPr>
          <w:rFonts w:hint="eastAsia"/>
        </w:rPr>
        <w:t>结合公众意见，评价建议：</w:t>
      </w:r>
    </w:p>
    <w:p>
      <w:pPr>
        <w:spacing w:line="360" w:lineRule="auto"/>
        <w:ind w:firstLine="420" w:firstLineChars="200"/>
        <w:sectPr>
          <w:pgSz w:w="11906" w:h="16838"/>
          <w:pgMar w:top="1440" w:right="1418" w:bottom="1440" w:left="1418" w:header="851" w:footer="992" w:gutter="0"/>
          <w:paperSrc w:first="20070" w:other="20070"/>
          <w:cols w:space="425" w:num="1"/>
          <w:docGrid w:linePitch="312" w:charSpace="0"/>
        </w:sectPr>
      </w:pPr>
      <w:r>
        <w:rPr>
          <w:rFonts w:hint="eastAsia"/>
        </w:rPr>
        <w:t>建设单位应在加强厂群交流，企业环保部门可通过经常走访周边居民或组织周边居民、村民参观工厂，使他们对企业有一定直观的认识，了解企业污染治理设施运行情况和环境保护工作，提出好的建议，在互访和交流中进行认知和感情的沟通，这更有利于企业的长远发展。</w:t>
      </w:r>
    </w:p>
    <w:p>
      <w:pPr>
        <w:spacing w:before="72" w:beforeLines="30" w:after="72" w:afterLines="30" w:line="460" w:lineRule="exact"/>
        <w:outlineLvl w:val="0"/>
        <w:rPr>
          <w:b/>
          <w:bCs/>
          <w:sz w:val="28"/>
          <w:szCs w:val="28"/>
        </w:rPr>
      </w:pPr>
      <w:bookmarkStart w:id="382" w:name="_Toc189814184"/>
      <w:bookmarkStart w:id="383" w:name="_Toc175479854"/>
      <w:bookmarkStart w:id="384" w:name="_Toc473281541"/>
      <w:bookmarkStart w:id="385" w:name="_Toc276372262"/>
      <w:r>
        <w:rPr>
          <w:rFonts w:hint="eastAsia"/>
          <w:b/>
          <w:bCs/>
          <w:sz w:val="28"/>
          <w:szCs w:val="28"/>
        </w:rPr>
        <w:t>10 环保措施及其技术经济论证</w:t>
      </w:r>
      <w:bookmarkEnd w:id="382"/>
      <w:bookmarkEnd w:id="383"/>
      <w:bookmarkEnd w:id="384"/>
      <w:bookmarkEnd w:id="385"/>
    </w:p>
    <w:p>
      <w:pPr>
        <w:spacing w:before="24" w:beforeLines="10" w:after="24" w:afterLines="10" w:line="460" w:lineRule="exact"/>
        <w:outlineLvl w:val="1"/>
        <w:rPr>
          <w:rFonts w:hint="eastAsia"/>
          <w:b/>
        </w:rPr>
      </w:pPr>
      <w:bookmarkStart w:id="386" w:name="_Toc129763760"/>
      <w:bookmarkStart w:id="387" w:name="_Toc175479855"/>
      <w:bookmarkStart w:id="388" w:name="_Toc165607402"/>
      <w:bookmarkStart w:id="389" w:name="_Toc276372263"/>
      <w:bookmarkStart w:id="390" w:name="_Toc473281542"/>
      <w:bookmarkStart w:id="391" w:name="_Toc189814185"/>
      <w:r>
        <w:rPr>
          <w:rFonts w:hint="eastAsia"/>
          <w:b/>
        </w:rPr>
        <w:t>10.1废气治理</w:t>
      </w:r>
      <w:bookmarkEnd w:id="386"/>
      <w:bookmarkEnd w:id="387"/>
      <w:bookmarkEnd w:id="388"/>
      <w:bookmarkEnd w:id="389"/>
      <w:bookmarkEnd w:id="390"/>
      <w:bookmarkEnd w:id="391"/>
    </w:p>
    <w:p>
      <w:pPr>
        <w:spacing w:line="360" w:lineRule="auto"/>
        <w:rPr>
          <w:rFonts w:hint="eastAsia"/>
          <w:b/>
        </w:rPr>
      </w:pPr>
      <w:r>
        <w:rPr>
          <w:rFonts w:hint="eastAsia"/>
          <w:b/>
        </w:rPr>
        <w:t>10.1.1水泥生产线有组织粉尘防治措施</w:t>
      </w:r>
    </w:p>
    <w:p>
      <w:pPr>
        <w:autoSpaceDE w:val="0"/>
        <w:autoSpaceDN w:val="0"/>
        <w:spacing w:line="360" w:lineRule="auto"/>
        <w:ind w:firstLine="420" w:firstLineChars="200"/>
        <w:textAlignment w:val="bottom"/>
        <w:rPr>
          <w:rFonts w:ascii="宋体" w:hAnsi="宋体" w:cs="Tunga"/>
        </w:rPr>
      </w:pPr>
      <w:r>
        <w:rPr>
          <w:rFonts w:ascii="宋体" w:hAnsi="宋体" w:cs="Tunga"/>
        </w:rPr>
        <w:t>粉尘是水泥生产中造成大气污染的主要因素，由于它的排放量大、污染源范围广、其危害也就比较突出。为了有效地控制粉尘和烟尘的排放，以减轻对周围空气环境质量的影响，本</w:t>
      </w:r>
      <w:r>
        <w:rPr>
          <w:rFonts w:hint="eastAsia" w:ascii="宋体" w:hAnsi="宋体" w:cs="Tunga"/>
        </w:rPr>
        <w:t>技改项目</w:t>
      </w:r>
      <w:r>
        <w:rPr>
          <w:rFonts w:ascii="宋体" w:hAnsi="宋体" w:cs="Tunga"/>
        </w:rPr>
        <w:t>设计贯彻“以预防为主”的方针：从工艺流程上尽量减少扬尘环节；选择扬尘少的设备；粉状物料输送采用密闭式输送设备；物料转运点尽量降低排料落差，以减少粉尘飞扬；粉状物料储存采用密闭圆库；选用高效除尘设备处理含尘废气，以保证实现达标排放；厂区内的物料装卸、倒运及煤堆场等处在必要时采取喷水降尘或其它控制措施，以控制扬尘。</w:t>
      </w:r>
    </w:p>
    <w:p>
      <w:pPr>
        <w:spacing w:line="360" w:lineRule="auto"/>
        <w:ind w:firstLine="420" w:firstLineChars="200"/>
        <w:rPr>
          <w:rFonts w:hint="eastAsia"/>
        </w:rPr>
      </w:pPr>
      <w:r>
        <w:rPr>
          <w:rFonts w:ascii="宋体" w:hAnsi="宋体" w:cs="Tunga"/>
        </w:rPr>
        <w:t>在本</w:t>
      </w:r>
      <w:r>
        <w:rPr>
          <w:rFonts w:hint="eastAsia" w:ascii="宋体" w:hAnsi="宋体" w:cs="Tunga"/>
        </w:rPr>
        <w:t>技改</w:t>
      </w:r>
      <w:r>
        <w:rPr>
          <w:rFonts w:ascii="宋体" w:hAnsi="宋体" w:cs="Tunga"/>
        </w:rPr>
        <w:t>项目所有的烟粉尘排放点都设置了技术性能可靠、除尘效率高的收尘设备，可有效控制生产线上所有的扬尘点。生产线上共设置各类收尘器</w:t>
      </w:r>
      <w:r>
        <w:rPr>
          <w:rFonts w:hint="eastAsia" w:ascii="宋体" w:hAnsi="宋体" w:cs="Tunga"/>
        </w:rPr>
        <w:t>58</w:t>
      </w:r>
      <w:r>
        <w:rPr>
          <w:rFonts w:ascii="宋体" w:hAnsi="宋体" w:cs="Tunga"/>
        </w:rPr>
        <w:t>台，处理废气量为</w:t>
      </w:r>
      <w:r>
        <w:rPr>
          <w:rFonts w:hint="eastAsia" w:ascii="宋体" w:hAnsi="宋体" w:cs="Tunga"/>
        </w:rPr>
        <w:t>1312780</w:t>
      </w:r>
      <w:r>
        <w:rPr>
          <w:rFonts w:ascii="宋体" w:hAnsi="宋体" w:cs="Tunga"/>
        </w:rPr>
        <w:t>Nm</w:t>
      </w:r>
      <w:r>
        <w:rPr>
          <w:rFonts w:ascii="宋体" w:hAnsi="宋体" w:cs="Tunga"/>
          <w:vertAlign w:val="superscript"/>
        </w:rPr>
        <w:t>3</w:t>
      </w:r>
      <w:r>
        <w:rPr>
          <w:rFonts w:ascii="宋体" w:hAnsi="宋体" w:cs="Tunga"/>
        </w:rPr>
        <w:t>/h，除尘效率均在99.62%以上。除尘净化后的废气经排气筒外排，各个排尘点的排放浓度和吨产品排放量均严于《重庆市水泥工业大气污染物排放标准》（DB50/251-2007）的限值要求。</w:t>
      </w:r>
      <w:r>
        <w:rPr>
          <w:rFonts w:hint="eastAsia"/>
        </w:rPr>
        <w:t>各除尘器收下的粉尘将回到各自的工艺系统中，不存在“二次污染”。除尘器设置情况见“工程分析”章节中的表4-9。现将技改项目主要工序收尘设施简述如下：</w:t>
      </w:r>
    </w:p>
    <w:p>
      <w:pPr>
        <w:spacing w:line="360" w:lineRule="auto"/>
        <w:ind w:firstLine="420" w:firstLineChars="200"/>
        <w:rPr>
          <w:rFonts w:hint="eastAsia"/>
        </w:rPr>
      </w:pPr>
      <w:r>
        <w:rPr>
          <w:rFonts w:hint="eastAsia"/>
        </w:rPr>
        <w:t>（1）烧成窑头、窑尾及生料磨系统收尘系统</w:t>
      </w:r>
    </w:p>
    <w:p>
      <w:pPr>
        <w:spacing w:line="360" w:lineRule="auto"/>
        <w:ind w:firstLine="420" w:firstLineChars="200"/>
        <w:rPr>
          <w:rFonts w:hint="eastAsia"/>
        </w:rPr>
      </w:pPr>
      <w:r>
        <w:rPr>
          <w:rFonts w:hint="eastAsia"/>
        </w:rPr>
        <w:t>本工程为了充分利用余热，由窑尾预热器排出的废气一部分经SP余热锅炉后供原料磨作为物料的烘干热源，另一部分进入窑尾袋收尘器。原料磨排出的废气返回窑尾袋收尘器净化，窑尾废气最终由110m高排气筒排入大气，处理后粉尘浓度低于30mg/m</w:t>
      </w:r>
      <w:r>
        <w:rPr>
          <w:rFonts w:hint="eastAsia"/>
          <w:vertAlign w:val="superscript"/>
        </w:rPr>
        <w:t>3</w:t>
      </w:r>
      <w:r>
        <w:rPr>
          <w:rFonts w:hint="eastAsia"/>
        </w:rPr>
        <w:t>。这样系统既利用了余热，降低了单位产品的热耗，同时也简化了工艺过程，减少了废气排放量和工程投资。</w:t>
      </w:r>
    </w:p>
    <w:p>
      <w:pPr>
        <w:spacing w:line="360" w:lineRule="auto"/>
        <w:ind w:firstLine="420" w:firstLineChars="200"/>
        <w:rPr>
          <w:rFonts w:hint="eastAsia"/>
        </w:rPr>
      </w:pPr>
      <w:r>
        <w:rPr>
          <w:rFonts w:hint="eastAsia"/>
        </w:rPr>
        <w:t>技改项目窑尾废气处理量为345600m</w:t>
      </w:r>
      <w:r>
        <w:rPr>
          <w:rFonts w:hint="eastAsia"/>
          <w:vertAlign w:val="superscript"/>
        </w:rPr>
        <w:t>3</w:t>
      </w:r>
      <w:r>
        <w:rPr>
          <w:rFonts w:hint="eastAsia"/>
        </w:rPr>
        <w:t>/h，占工程废气总量的26.3％。</w:t>
      </w:r>
    </w:p>
    <w:p>
      <w:pPr>
        <w:spacing w:line="360" w:lineRule="auto"/>
        <w:ind w:firstLine="420" w:firstLineChars="200"/>
        <w:rPr>
          <w:rFonts w:hint="eastAsia"/>
        </w:rPr>
      </w:pPr>
      <w:r>
        <w:rPr>
          <w:rFonts w:hint="eastAsia"/>
        </w:rPr>
        <w:t>窑头冷却机采用袋收尘器收尘，废气处理量为280000m</w:t>
      </w:r>
      <w:r>
        <w:rPr>
          <w:rFonts w:hint="eastAsia"/>
          <w:vertAlign w:val="superscript"/>
        </w:rPr>
        <w:t>3</w:t>
      </w:r>
      <w:r>
        <w:rPr>
          <w:rFonts w:hint="eastAsia"/>
        </w:rPr>
        <w:t>/h，占工程废气总量的21.3％，出冷却机废气一部分作为三次风入分解炉，还有一部分供煤磨作为物料的烘干热源，剩余废气经AQC余热锅炉后经窑头袋收尘器净化后通过40m高排气筒排入大气，经袋收尘器处理后的废气含尘浓度低于30mg/m</w:t>
      </w:r>
      <w:r>
        <w:rPr>
          <w:rFonts w:hint="eastAsia"/>
          <w:vertAlign w:val="superscript"/>
        </w:rPr>
        <w:t>3</w:t>
      </w:r>
      <w:r>
        <w:rPr>
          <w:rFonts w:hint="eastAsia"/>
        </w:rPr>
        <w:t>。</w:t>
      </w:r>
    </w:p>
    <w:p>
      <w:pPr>
        <w:spacing w:line="360" w:lineRule="auto"/>
        <w:ind w:firstLine="420" w:firstLineChars="200"/>
        <w:rPr>
          <w:rFonts w:hint="eastAsia"/>
        </w:rPr>
      </w:pPr>
      <w:r>
        <w:rPr>
          <w:rFonts w:hint="eastAsia"/>
        </w:rPr>
        <w:t>（2）煤磨系统收尘</w:t>
      </w:r>
    </w:p>
    <w:p>
      <w:pPr>
        <w:spacing w:line="360" w:lineRule="auto"/>
        <w:ind w:firstLine="420" w:firstLineChars="200"/>
        <w:rPr>
          <w:rFonts w:hint="eastAsia"/>
        </w:rPr>
      </w:pPr>
      <w:r>
        <w:rPr>
          <w:rFonts w:hint="eastAsia"/>
        </w:rPr>
        <w:t>技改项目煤磨收尘流程为：粉磨后的煤粉随气流提升到磨内选粉机分选，粗粉落回磨盘继续粉磨，成品由出磨气流带入袋式除尘器，收下的煤粉经螺旋输送泵送入煤粉仓，气体排出，即煤磨收尘器不是终端治理设备，而是工艺系统的关键设备。其运行效率的高低不仅关系到环境污染，同时也关系到工艺生产的正常和稳定。技改项目煤粉制备系统配备1台煤磨专用袋式收尘器，经收尘器处理后的废气经40m高排气筒排放，含尘浓度可控制在30mg/m</w:t>
      </w:r>
      <w:r>
        <w:rPr>
          <w:rFonts w:hint="eastAsia"/>
          <w:vertAlign w:val="superscript"/>
        </w:rPr>
        <w:t>3</w:t>
      </w:r>
      <w:r>
        <w:rPr>
          <w:rFonts w:hint="eastAsia"/>
        </w:rPr>
        <w:t>以下。</w:t>
      </w:r>
    </w:p>
    <w:p>
      <w:pPr>
        <w:spacing w:line="360" w:lineRule="auto"/>
        <w:ind w:firstLine="420" w:firstLineChars="200"/>
        <w:rPr>
          <w:rFonts w:hint="eastAsia"/>
        </w:rPr>
      </w:pPr>
      <w:r>
        <w:rPr>
          <w:rFonts w:hint="eastAsia"/>
        </w:rPr>
        <w:t>袋式收尘器的工作原理是通过过滤而阻挡粉尘。当滤袋上的粉尘沉积到一定程度时由外力作用使滤袋抖动并变形，沉积的粉尘落入集灰斗。目前使用的袋式收尘器都是分成若干室，具有在线清灰的特点，在正常工作时，各室同时处理含尘气体，当某个室要进行清灰时，首先要关闭这个室的气力提升阀，待切断通过这个室的含尘气流后，接通清灰气源，对该室的滤袋进行清灰，清下的灰落入灰斗后，再打开气力提升阀，恢复该室的除尘功能。在袋式除尘器使用得当的情况下，出口气体的含尘浓度可稳定控制在20～30mg/m</w:t>
      </w:r>
      <w:r>
        <w:rPr>
          <w:rFonts w:hint="eastAsia"/>
          <w:vertAlign w:val="superscript"/>
        </w:rPr>
        <w:t>3</w:t>
      </w:r>
      <w:r>
        <w:rPr>
          <w:rFonts w:hint="eastAsia"/>
        </w:rPr>
        <w:t>。袋式收尘器由于功能和工作原理与粉尘的条件无关，因此其收尘效果可以得到有效的保证。袋式收尘器具有设计可靠，操作维护简单、自动化程度高、除尘效率高等特点，特别是可以杜绝非正常及事故排放。</w:t>
      </w:r>
    </w:p>
    <w:p>
      <w:pPr>
        <w:spacing w:line="360" w:lineRule="auto"/>
        <w:ind w:firstLine="420" w:firstLineChars="200"/>
        <w:rPr>
          <w:rFonts w:hint="eastAsia"/>
        </w:rPr>
      </w:pPr>
      <w:r>
        <w:rPr>
          <w:rFonts w:hint="eastAsia"/>
        </w:rPr>
        <w:t>（3）对储库、输送转运点排放源的控制</w:t>
      </w:r>
    </w:p>
    <w:p>
      <w:pPr>
        <w:spacing w:line="360" w:lineRule="auto"/>
        <w:ind w:firstLine="420" w:firstLineChars="200"/>
        <w:rPr>
          <w:rFonts w:hint="eastAsia"/>
        </w:rPr>
      </w:pPr>
      <w:r>
        <w:rPr>
          <w:rFonts w:hint="eastAsia"/>
        </w:rPr>
        <w:t>对于储库、物料输送转运点，技改项目设计时采取了两方面措施。首先是力求合理工艺布置，如粉状物料储存在密闭的园库内，输送粉状物料采用空气输送斜槽等密闭设备，尽量减少粉尘产生，其次是在各转运点、卸料点等扬尘部位设置了袋式收尘器，净化后气体含尘浓度均小于30mg/m</w:t>
      </w:r>
      <w:r>
        <w:rPr>
          <w:rFonts w:hint="eastAsia"/>
          <w:vertAlign w:val="superscript"/>
        </w:rPr>
        <w:t>3</w:t>
      </w:r>
      <w:r>
        <w:rPr>
          <w:rFonts w:hint="eastAsia"/>
        </w:rPr>
        <w:t>。</w:t>
      </w:r>
    </w:p>
    <w:p>
      <w:pPr>
        <w:spacing w:line="360" w:lineRule="auto"/>
        <w:ind w:firstLine="420" w:firstLineChars="200"/>
        <w:rPr>
          <w:rFonts w:hint="eastAsia"/>
        </w:rPr>
      </w:pPr>
      <w:r>
        <w:rPr>
          <w:rFonts w:hint="eastAsia"/>
        </w:rPr>
        <w:t>企业在积极落实上述治理措施后，特别要确保除尘器设备的运行良好，企业应当进行除尘设施的长效管理，经常检查除尘设施的完好情况，及时发现问题和解决问题，减少因除尘设备故障产生的超标排放。</w:t>
      </w:r>
    </w:p>
    <w:p>
      <w:pPr>
        <w:spacing w:line="360" w:lineRule="auto"/>
        <w:rPr>
          <w:rFonts w:hint="eastAsia"/>
          <w:b/>
        </w:rPr>
      </w:pPr>
      <w:r>
        <w:rPr>
          <w:rFonts w:hint="eastAsia"/>
          <w:b/>
        </w:rPr>
        <w:t>10.1.2 削减无组织排放措施</w:t>
      </w:r>
    </w:p>
    <w:p>
      <w:pPr>
        <w:pStyle w:val="8"/>
        <w:spacing w:line="360" w:lineRule="auto"/>
        <w:ind w:firstLine="420" w:firstLineChars="200"/>
        <w:rPr>
          <w:rFonts w:hint="eastAsia" w:hAnsi="宋体"/>
        </w:rPr>
      </w:pPr>
      <w:r>
        <w:rPr>
          <w:rFonts w:hint="eastAsia" w:hAnsi="宋体"/>
        </w:rPr>
        <w:t>技改项目粉尘的无组织面源排放贯穿于整个生产各个环节，一般为原料堆棚堆场以及在原料和产品装卸、运输等过程中产生的扬尘。设计主要采取以下防尘措施：</w:t>
      </w:r>
    </w:p>
    <w:p>
      <w:pPr>
        <w:pStyle w:val="8"/>
        <w:spacing w:line="360" w:lineRule="auto"/>
        <w:ind w:firstLine="420" w:firstLineChars="200"/>
        <w:rPr>
          <w:rFonts w:hint="eastAsia" w:hAnsi="宋体"/>
        </w:rPr>
      </w:pPr>
      <w:r>
        <w:rPr>
          <w:rFonts w:hint="eastAsia" w:hAnsi="宋体"/>
        </w:rPr>
        <w:t>（1）原料堆棚堆场采用翻车机卸料，堆场四周设有喷淋系统、沉灰沟和沉灰池。同时，原料堆棚堆场两侧种植树木隔离防护带，防止原料堆棚堆场扬尘。</w:t>
      </w:r>
    </w:p>
    <w:p>
      <w:pPr>
        <w:pStyle w:val="8"/>
        <w:spacing w:line="360" w:lineRule="auto"/>
        <w:ind w:firstLine="420" w:firstLineChars="200"/>
        <w:rPr>
          <w:rFonts w:hint="eastAsia" w:hAnsi="宋体"/>
        </w:rPr>
      </w:pPr>
      <w:r>
        <w:rPr>
          <w:rFonts w:hint="eastAsia" w:hAnsi="宋体"/>
        </w:rPr>
        <w:t>（2）原料输送站均为钢结构全封闭式。导料槽密封加挡尘帘。在原料仓间皮带层及原料仓间头部转运站设置布袋除尘器。</w:t>
      </w:r>
    </w:p>
    <w:p>
      <w:pPr>
        <w:spacing w:line="360" w:lineRule="auto"/>
        <w:rPr>
          <w:rFonts w:hint="eastAsia"/>
          <w:b/>
        </w:rPr>
      </w:pPr>
      <w:r>
        <w:rPr>
          <w:rFonts w:hint="eastAsia"/>
          <w:b/>
        </w:rPr>
        <w:t>10.1.3废气污染物防治措施论证</w:t>
      </w:r>
    </w:p>
    <w:p>
      <w:pPr>
        <w:spacing w:line="360" w:lineRule="auto"/>
        <w:ind w:firstLine="420" w:firstLineChars="200"/>
        <w:rPr>
          <w:rFonts w:hint="eastAsia"/>
        </w:rPr>
      </w:pPr>
      <w:r>
        <w:rPr>
          <w:rFonts w:hint="eastAsia"/>
        </w:rPr>
        <w:t>技改项目废气主要来源于回转窑烧成烟气，主要含有SO</w:t>
      </w:r>
      <w:r>
        <w:rPr>
          <w:rFonts w:hint="eastAsia"/>
          <w:vertAlign w:val="subscript"/>
        </w:rPr>
        <w:t>2</w:t>
      </w:r>
      <w:r>
        <w:rPr>
          <w:rFonts w:hint="eastAsia"/>
        </w:rPr>
        <w:t>和NO</w:t>
      </w:r>
      <w:r>
        <w:rPr>
          <w:rFonts w:hint="eastAsia"/>
          <w:vertAlign w:val="subscript"/>
        </w:rPr>
        <w:t>2</w:t>
      </w:r>
      <w:r>
        <w:rPr>
          <w:rFonts w:hint="eastAsia"/>
        </w:rPr>
        <w:t>。</w:t>
      </w:r>
    </w:p>
    <w:p>
      <w:pPr>
        <w:spacing w:line="360" w:lineRule="auto"/>
        <w:ind w:firstLine="420" w:firstLineChars="200"/>
        <w:rPr>
          <w:rFonts w:hint="eastAsia"/>
        </w:rPr>
      </w:pPr>
      <w:r>
        <w:rPr>
          <w:rFonts w:hint="eastAsia"/>
        </w:rPr>
        <w:t>（1）SO</w:t>
      </w:r>
      <w:r>
        <w:rPr>
          <w:rFonts w:hint="eastAsia"/>
          <w:vertAlign w:val="subscript"/>
        </w:rPr>
        <w:t>2</w:t>
      </w:r>
      <w:r>
        <w:rPr>
          <w:rFonts w:hint="eastAsia"/>
        </w:rPr>
        <w:t xml:space="preserve"> </w:t>
      </w:r>
    </w:p>
    <w:p>
      <w:pPr>
        <w:spacing w:line="360" w:lineRule="auto"/>
        <w:ind w:firstLine="420" w:firstLineChars="200"/>
        <w:rPr>
          <w:rFonts w:hint="eastAsia"/>
        </w:rPr>
      </w:pPr>
      <w:r>
        <w:rPr>
          <w:rFonts w:hint="eastAsia"/>
        </w:rPr>
        <w:t>SO</w:t>
      </w:r>
      <w:r>
        <w:rPr>
          <w:rFonts w:hint="eastAsia"/>
          <w:vertAlign w:val="subscript"/>
        </w:rPr>
        <w:t>2</w:t>
      </w:r>
      <w:r>
        <w:rPr>
          <w:rFonts w:hint="eastAsia"/>
        </w:rPr>
        <w:t>主要来源于煤和生料带入回转窑及分解炉中的硫，煤中的硫燃烧后以SO</w:t>
      </w:r>
      <w:r>
        <w:rPr>
          <w:rFonts w:hint="eastAsia"/>
          <w:vertAlign w:val="subscript"/>
        </w:rPr>
        <w:t>2</w:t>
      </w:r>
      <w:r>
        <w:rPr>
          <w:rFonts w:hint="eastAsia"/>
        </w:rPr>
        <w:t>的形式进入烟气，生料中的硫也以SO</w:t>
      </w:r>
      <w:r>
        <w:rPr>
          <w:rFonts w:hint="eastAsia"/>
          <w:vertAlign w:val="subscript"/>
        </w:rPr>
        <w:t>2</w:t>
      </w:r>
      <w:r>
        <w:rPr>
          <w:rFonts w:hint="eastAsia"/>
        </w:rPr>
        <w:t>的形式进入烟气。烟气首先在回转窑和分解炉中与物料接触，物料中的CaCO</w:t>
      </w:r>
      <w:r>
        <w:rPr>
          <w:rFonts w:hint="eastAsia"/>
          <w:vertAlign w:val="subscript"/>
        </w:rPr>
        <w:t>3</w:t>
      </w:r>
      <w:r>
        <w:rPr>
          <w:rFonts w:hint="eastAsia"/>
        </w:rPr>
        <w:t>经分解生成CaO，CaO与SO</w:t>
      </w:r>
      <w:r>
        <w:rPr>
          <w:rFonts w:hint="eastAsia"/>
          <w:vertAlign w:val="subscript"/>
        </w:rPr>
        <w:t>2</w:t>
      </w:r>
      <w:r>
        <w:rPr>
          <w:rFonts w:hint="eastAsia"/>
        </w:rPr>
        <w:t>反应生成硫酸盐和亚硫酸盐进入水泥熟料，而废气进入窑尾的旋风预热器，在预热器内，烟气中未被吸收的SO</w:t>
      </w:r>
      <w:r>
        <w:rPr>
          <w:rFonts w:hint="eastAsia"/>
          <w:vertAlign w:val="subscript"/>
        </w:rPr>
        <w:t>2</w:t>
      </w:r>
      <w:r>
        <w:rPr>
          <w:rFonts w:hint="eastAsia"/>
        </w:rPr>
        <w:t>进一步与物料反应，被物料吸收。窑尾烟气成分实测分析结果表明，这种预分解窑对SO</w:t>
      </w:r>
      <w:r>
        <w:rPr>
          <w:rFonts w:hint="eastAsia"/>
          <w:vertAlign w:val="subscript"/>
        </w:rPr>
        <w:t>2</w:t>
      </w:r>
      <w:r>
        <w:rPr>
          <w:rFonts w:hint="eastAsia"/>
        </w:rPr>
        <w:t>的吸收率达到95％以上，使排出的废气中SO</w:t>
      </w:r>
      <w:r>
        <w:rPr>
          <w:rFonts w:hint="eastAsia"/>
          <w:vertAlign w:val="subscript"/>
        </w:rPr>
        <w:t>2</w:t>
      </w:r>
      <w:r>
        <w:rPr>
          <w:rFonts w:hint="eastAsia"/>
        </w:rPr>
        <w:t>浓度较低。按照技改项目设计指标计算，窑尾排放的废气中SO</w:t>
      </w:r>
      <w:r>
        <w:rPr>
          <w:rFonts w:hint="eastAsia"/>
          <w:vertAlign w:val="subscript"/>
        </w:rPr>
        <w:t>2</w:t>
      </w:r>
      <w:r>
        <w:rPr>
          <w:rFonts w:hint="eastAsia"/>
        </w:rPr>
        <w:t>浓度为84.17mg/m</w:t>
      </w:r>
      <w:r>
        <w:rPr>
          <w:rFonts w:hint="eastAsia"/>
          <w:vertAlign w:val="superscript"/>
        </w:rPr>
        <w:t>3</w:t>
      </w:r>
      <w:r>
        <w:rPr>
          <w:rFonts w:hint="eastAsia"/>
        </w:rPr>
        <w:t>，吨熟料产品排放量为0.28kg，可满足</w:t>
      </w:r>
      <w:r>
        <w:rPr>
          <w:rFonts w:ascii="宋体" w:hAnsi="宋体" w:cs="Tunga"/>
        </w:rPr>
        <w:t>《重庆市水泥工业大气污染物排放标准》（DB50/251-2007）</w:t>
      </w:r>
      <w:r>
        <w:rPr>
          <w:rFonts w:hint="eastAsia"/>
        </w:rPr>
        <w:t>中0.6kg/d的标准要求。</w:t>
      </w:r>
    </w:p>
    <w:p>
      <w:pPr>
        <w:spacing w:line="360" w:lineRule="auto"/>
        <w:ind w:firstLine="420" w:firstLineChars="200"/>
        <w:rPr>
          <w:rFonts w:hint="eastAsia"/>
        </w:rPr>
      </w:pPr>
      <w:r>
        <w:rPr>
          <w:rFonts w:hint="eastAsia"/>
        </w:rPr>
        <w:t>（2）NO</w:t>
      </w:r>
      <w:r>
        <w:rPr>
          <w:rFonts w:hint="eastAsia"/>
          <w:vertAlign w:val="subscript"/>
        </w:rPr>
        <w:t>2</w:t>
      </w:r>
    </w:p>
    <w:p>
      <w:pPr>
        <w:spacing w:line="360" w:lineRule="auto"/>
        <w:ind w:firstLine="420" w:firstLineChars="200"/>
        <w:rPr>
          <w:rFonts w:hint="eastAsia"/>
        </w:rPr>
      </w:pPr>
      <w:r>
        <w:rPr>
          <w:rFonts w:hint="eastAsia"/>
        </w:rPr>
        <w:t>水泥厂排放的氮氧化物主要产生于窑内高温煅烧过程，其排放量的多少与窑内温度、通风量关系密切。窑内温度高、通风量大、反应时间长，氮氧化物生成量就大，技改项目采用窑外分解工艺，把烧成总用煤量的60％转移到温度较低的分解炉内，同时控制窑内燃烧温度，控制入窑空气量，可有效减少NO</w:t>
      </w:r>
      <w:r>
        <w:rPr>
          <w:rFonts w:hint="eastAsia"/>
          <w:vertAlign w:val="subscript"/>
        </w:rPr>
        <w:t>2</w:t>
      </w:r>
      <w:r>
        <w:rPr>
          <w:rFonts w:hint="eastAsia"/>
        </w:rPr>
        <w:t>的生成量。二线工程窑尾废气中的NO</w:t>
      </w:r>
      <w:r>
        <w:rPr>
          <w:rFonts w:hint="eastAsia"/>
          <w:vertAlign w:val="subscript"/>
        </w:rPr>
        <w:t>2</w:t>
      </w:r>
      <w:r>
        <w:rPr>
          <w:rFonts w:hint="eastAsia"/>
        </w:rPr>
        <w:t>的计算排放浓度为700mg/m</w:t>
      </w:r>
      <w:r>
        <w:rPr>
          <w:rFonts w:hint="eastAsia"/>
          <w:vertAlign w:val="superscript"/>
        </w:rPr>
        <w:t>3</w:t>
      </w:r>
      <w:r>
        <w:rPr>
          <w:rFonts w:hint="eastAsia"/>
        </w:rPr>
        <w:t>，吨熟料产品排放量为2.32kg。满足</w:t>
      </w:r>
      <w:r>
        <w:rPr>
          <w:rFonts w:ascii="宋体" w:hAnsi="宋体" w:cs="Tunga"/>
        </w:rPr>
        <w:t>《重庆市水泥工业大气污染物排放标准》（DB50/251-2007）</w:t>
      </w:r>
      <w:r>
        <w:rPr>
          <w:rFonts w:hint="eastAsia"/>
        </w:rPr>
        <w:t>中2.4kg/d的标准要求。</w:t>
      </w:r>
    </w:p>
    <w:p>
      <w:pPr>
        <w:spacing w:before="24" w:beforeLines="10" w:after="24" w:afterLines="10" w:line="460" w:lineRule="exact"/>
        <w:outlineLvl w:val="1"/>
        <w:rPr>
          <w:rFonts w:hint="eastAsia"/>
          <w:b/>
        </w:rPr>
      </w:pPr>
      <w:bookmarkStart w:id="392" w:name="_Toc473281543"/>
      <w:bookmarkStart w:id="393" w:name="_Toc276372264"/>
      <w:bookmarkStart w:id="394" w:name="_Toc189814186"/>
      <w:r>
        <w:rPr>
          <w:rFonts w:hint="eastAsia"/>
          <w:b/>
        </w:rPr>
        <w:t>10.2废水治理</w:t>
      </w:r>
      <w:bookmarkEnd w:id="392"/>
      <w:bookmarkEnd w:id="393"/>
      <w:bookmarkEnd w:id="394"/>
    </w:p>
    <w:p>
      <w:pPr>
        <w:spacing w:line="360" w:lineRule="auto"/>
        <w:rPr>
          <w:rFonts w:hint="eastAsia"/>
          <w:b/>
        </w:rPr>
      </w:pPr>
      <w:r>
        <w:rPr>
          <w:rFonts w:hint="eastAsia"/>
          <w:b/>
        </w:rPr>
        <w:t>10.2.1废水来源及水质水量</w:t>
      </w:r>
    </w:p>
    <w:p>
      <w:pPr>
        <w:spacing w:line="360" w:lineRule="auto"/>
        <w:ind w:firstLine="420" w:firstLineChars="200"/>
        <w:rPr>
          <w:rFonts w:hint="eastAsia"/>
        </w:rPr>
      </w:pPr>
      <w:r>
        <w:rPr>
          <w:rFonts w:hint="eastAsia"/>
        </w:rPr>
        <w:t>技改项目废水主要是工艺产生的循环冷却水、生活污水、辅助设施排水等。冷却水主要来自于需要冷却的高温、高速运转设备，如窑、各类磨机、空压机及部分仪表等，不外排。技改项目排放的废水为生活污水和辅助设施排水，排放量52.6m</w:t>
      </w:r>
      <w:r>
        <w:rPr>
          <w:rFonts w:hint="eastAsia"/>
          <w:vertAlign w:val="superscript"/>
        </w:rPr>
        <w:t>3</w:t>
      </w:r>
      <w:r>
        <w:rPr>
          <w:rFonts w:hint="eastAsia"/>
        </w:rPr>
        <w:t>/d，废水中主要污染物为COD、SS、NH</w:t>
      </w:r>
      <w:r>
        <w:rPr>
          <w:rFonts w:hint="eastAsia"/>
          <w:vertAlign w:val="subscript"/>
        </w:rPr>
        <w:t>3</w:t>
      </w:r>
      <w:r>
        <w:rPr>
          <w:rFonts w:hint="eastAsia"/>
        </w:rPr>
        <w:t>-N等有机污染物。</w:t>
      </w:r>
    </w:p>
    <w:p>
      <w:pPr>
        <w:spacing w:line="360" w:lineRule="auto"/>
        <w:rPr>
          <w:rFonts w:hint="eastAsia"/>
          <w:b/>
        </w:rPr>
      </w:pPr>
      <w:r>
        <w:rPr>
          <w:rFonts w:hint="eastAsia"/>
          <w:b/>
        </w:rPr>
        <w:t>10.2.2废水处理方案</w:t>
      </w:r>
    </w:p>
    <w:p>
      <w:pPr>
        <w:spacing w:line="360" w:lineRule="auto"/>
        <w:ind w:firstLine="420" w:firstLineChars="200"/>
        <w:rPr>
          <w:rFonts w:hint="eastAsia"/>
        </w:rPr>
      </w:pPr>
      <w:r>
        <w:rPr>
          <w:rFonts w:hint="eastAsia"/>
        </w:rPr>
        <w:t>生活污水和辅助设施等排水：可选用成熟的二级生化处理工艺(接触氧化法)。生物接触氧化法是具有活性污泥法和生物膜法特点的新型处理技术，目前应用广泛，技术成熟可靠。本方案推荐地埋式系列污水处理成套设备。它具有管理操作简便，运行费用低，占地面积小，处理效果好的特点。</w:t>
      </w:r>
    </w:p>
    <w:p>
      <w:pPr>
        <w:spacing w:line="360" w:lineRule="auto"/>
        <w:ind w:firstLine="420" w:firstLineChars="200"/>
        <w:rPr>
          <w:rFonts w:hint="eastAsia"/>
        </w:rPr>
      </w:pPr>
      <w:r>
        <w:rPr>
          <w:rFonts w:hint="eastAsia"/>
        </w:rPr>
        <w:t>污水处理工艺流程如下：</w:t>
      </w:r>
    </w:p>
    <w:p>
      <w:pPr>
        <w:spacing w:line="360" w:lineRule="auto"/>
        <w:ind w:firstLine="420" w:firstLineChars="200"/>
        <w:rPr>
          <w:rFonts w:hint="eastAsia"/>
        </w:rPr>
      </w:pPr>
      <w:r>
        <mc:AlternateContent>
          <mc:Choice Requires="wpc">
            <w:drawing>
              <wp:inline distT="0" distB="0" distL="114300" distR="114300">
                <wp:extent cx="5257800" cy="1287780"/>
                <wp:effectExtent l="0" t="0" r="0" b="0"/>
                <wp:docPr id="163" name="画布 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62" name="组合 162"/>
                        <wpg:cNvGrpSpPr/>
                        <wpg:grpSpPr>
                          <a:xfrm>
                            <a:off x="114649" y="99116"/>
                            <a:ext cx="4799933" cy="990432"/>
                            <a:chOff x="2519" y="13629"/>
                            <a:chExt cx="6573" cy="1359"/>
                          </a:xfrm>
                        </wpg:grpSpPr>
                        <wps:wsp>
                          <wps:cNvPr id="149" name="直接连接符 149"/>
                          <wps:cNvCnPr/>
                          <wps:spPr>
                            <a:xfrm>
                              <a:off x="2988" y="14716"/>
                              <a:ext cx="626" cy="1"/>
                            </a:xfrm>
                            <a:prstGeom prst="line">
                              <a:avLst/>
                            </a:prstGeom>
                            <a:ln w="9525" cap="flat" cmpd="sng">
                              <a:solidFill>
                                <a:srgbClr val="000000"/>
                              </a:solidFill>
                              <a:prstDash val="solid"/>
                              <a:headEnd type="none" w="med" len="med"/>
                              <a:tailEnd type="triangle" w="med" len="med"/>
                            </a:ln>
                          </wps:spPr>
                          <wps:bodyPr upright="1"/>
                        </wps:wsp>
                        <wps:wsp>
                          <wps:cNvPr id="150" name="直接连接符 150"/>
                          <wps:cNvCnPr/>
                          <wps:spPr>
                            <a:xfrm>
                              <a:off x="5649" y="14037"/>
                              <a:ext cx="1" cy="543"/>
                            </a:xfrm>
                            <a:prstGeom prst="line">
                              <a:avLst/>
                            </a:prstGeom>
                            <a:ln w="9525" cap="flat" cmpd="sng">
                              <a:solidFill>
                                <a:srgbClr val="000000"/>
                              </a:solidFill>
                              <a:prstDash val="solid"/>
                              <a:headEnd type="none" w="med" len="med"/>
                              <a:tailEnd type="triangle" w="med" len="med"/>
                            </a:ln>
                          </wps:spPr>
                          <wps:bodyPr upright="1"/>
                        </wps:wsp>
                        <wps:wsp>
                          <wps:cNvPr id="151" name="直接连接符 151"/>
                          <wps:cNvCnPr/>
                          <wps:spPr>
                            <a:xfrm>
                              <a:off x="4397" y="14716"/>
                              <a:ext cx="626" cy="1"/>
                            </a:xfrm>
                            <a:prstGeom prst="line">
                              <a:avLst/>
                            </a:prstGeom>
                            <a:ln w="9525" cap="flat" cmpd="sng">
                              <a:solidFill>
                                <a:srgbClr val="000000"/>
                              </a:solidFill>
                              <a:prstDash val="solid"/>
                              <a:headEnd type="none" w="med" len="med"/>
                              <a:tailEnd type="triangle" w="med" len="med"/>
                            </a:ln>
                          </wps:spPr>
                          <wps:bodyPr upright="1"/>
                        </wps:wsp>
                        <wps:wsp>
                          <wps:cNvPr id="152" name="直接连接符 152"/>
                          <wps:cNvCnPr/>
                          <wps:spPr>
                            <a:xfrm>
                              <a:off x="6432" y="14716"/>
                              <a:ext cx="625" cy="1"/>
                            </a:xfrm>
                            <a:prstGeom prst="line">
                              <a:avLst/>
                            </a:prstGeom>
                            <a:ln w="9525" cap="flat" cmpd="sng">
                              <a:solidFill>
                                <a:srgbClr val="000000"/>
                              </a:solidFill>
                              <a:prstDash val="solid"/>
                              <a:headEnd type="none" w="med" len="med"/>
                              <a:tailEnd type="triangle" w="med" len="med"/>
                            </a:ln>
                          </wps:spPr>
                          <wps:bodyPr upright="1"/>
                        </wps:wsp>
                        <wps:wsp>
                          <wps:cNvPr id="153" name="直接连接符 153"/>
                          <wps:cNvCnPr/>
                          <wps:spPr>
                            <a:xfrm>
                              <a:off x="7684" y="14716"/>
                              <a:ext cx="626" cy="1"/>
                            </a:xfrm>
                            <a:prstGeom prst="line">
                              <a:avLst/>
                            </a:prstGeom>
                            <a:ln w="9525" cap="flat" cmpd="sng">
                              <a:solidFill>
                                <a:srgbClr val="000000"/>
                              </a:solidFill>
                              <a:prstDash val="solid"/>
                              <a:headEnd type="none" w="med" len="med"/>
                              <a:tailEnd type="triangle" w="med" len="med"/>
                            </a:ln>
                          </wps:spPr>
                          <wps:bodyPr upright="1"/>
                        </wps:wsp>
                        <wps:wsp>
                          <wps:cNvPr id="154" name="直接连接符 154"/>
                          <wps:cNvCnPr/>
                          <wps:spPr>
                            <a:xfrm>
                              <a:off x="7371" y="14037"/>
                              <a:ext cx="1" cy="542"/>
                            </a:xfrm>
                            <a:prstGeom prst="line">
                              <a:avLst/>
                            </a:prstGeom>
                            <a:ln w="9525" cap="flat" cmpd="sng">
                              <a:solidFill>
                                <a:srgbClr val="000000"/>
                              </a:solidFill>
                              <a:prstDash val="solid"/>
                              <a:headEnd type="none" w="med" len="med"/>
                              <a:tailEnd type="triangle" w="med" len="med"/>
                            </a:ln>
                          </wps:spPr>
                          <wps:bodyPr upright="1"/>
                        </wps:wsp>
                        <wps:wsp>
                          <wps:cNvPr id="155" name="矩形 155"/>
                          <wps:cNvSpPr/>
                          <wps:spPr>
                            <a:xfrm>
                              <a:off x="2519" y="14580"/>
                              <a:ext cx="782" cy="408"/>
                            </a:xfrm>
                            <a:prstGeom prst="rect">
                              <a:avLst/>
                            </a:prstGeom>
                            <a:noFill/>
                            <a:ln>
                              <a:noFill/>
                            </a:ln>
                          </wps:spPr>
                          <wps:txbx>
                            <w:txbxContent>
                              <w:p>
                                <w:pPr>
                                  <w:rPr>
                                    <w:rFonts w:hint="eastAsia"/>
                                  </w:rPr>
                                </w:pPr>
                                <w:r>
                                  <w:rPr>
                                    <w:rFonts w:hint="eastAsia"/>
                                  </w:rPr>
                                  <w:t>污水</w:t>
                                </w:r>
                              </w:p>
                            </w:txbxContent>
                          </wps:txbx>
                          <wps:bodyPr upright="1"/>
                        </wps:wsp>
                        <wps:wsp>
                          <wps:cNvPr id="156" name="矩形 156"/>
                          <wps:cNvSpPr/>
                          <wps:spPr>
                            <a:xfrm>
                              <a:off x="3614" y="14580"/>
                              <a:ext cx="938" cy="408"/>
                            </a:xfrm>
                            <a:prstGeom prst="rect">
                              <a:avLst/>
                            </a:prstGeom>
                            <a:noFill/>
                            <a:ln>
                              <a:noFill/>
                            </a:ln>
                          </wps:spPr>
                          <wps:txbx>
                            <w:txbxContent>
                              <w:p>
                                <w:pPr>
                                  <w:rPr>
                                    <w:rFonts w:hint="eastAsia"/>
                                  </w:rPr>
                                </w:pPr>
                                <w:r>
                                  <w:rPr>
                                    <w:rFonts w:hint="eastAsia"/>
                                  </w:rPr>
                                  <w:t>调节池</w:t>
                                </w:r>
                              </w:p>
                            </w:txbxContent>
                          </wps:txbx>
                          <wps:bodyPr upright="1"/>
                        </wps:wsp>
                        <wps:wsp>
                          <wps:cNvPr id="157" name="矩形 157"/>
                          <wps:cNvSpPr/>
                          <wps:spPr>
                            <a:xfrm>
                              <a:off x="5023" y="14580"/>
                              <a:ext cx="1407" cy="408"/>
                            </a:xfrm>
                            <a:prstGeom prst="rect">
                              <a:avLst/>
                            </a:prstGeom>
                            <a:noFill/>
                            <a:ln>
                              <a:noFill/>
                            </a:ln>
                          </wps:spPr>
                          <wps:txbx>
                            <w:txbxContent>
                              <w:p>
                                <w:pPr>
                                  <w:rPr>
                                    <w:rFonts w:hint="eastAsia"/>
                                  </w:rPr>
                                </w:pPr>
                                <w:r>
                                  <w:rPr>
                                    <w:rFonts w:hint="eastAsia"/>
                                  </w:rPr>
                                  <w:t>接触氧化池</w:t>
                                </w:r>
                              </w:p>
                            </w:txbxContent>
                          </wps:txbx>
                          <wps:bodyPr upright="1"/>
                        </wps:wsp>
                        <wps:wsp>
                          <wps:cNvPr id="158" name="矩形 158"/>
                          <wps:cNvSpPr/>
                          <wps:spPr>
                            <a:xfrm>
                              <a:off x="7058" y="14580"/>
                              <a:ext cx="781" cy="408"/>
                            </a:xfrm>
                            <a:prstGeom prst="rect">
                              <a:avLst/>
                            </a:prstGeom>
                            <a:noFill/>
                            <a:ln>
                              <a:noFill/>
                            </a:ln>
                          </wps:spPr>
                          <wps:txbx>
                            <w:txbxContent>
                              <w:p>
                                <w:pPr>
                                  <w:jc w:val="center"/>
                                  <w:rPr>
                                    <w:rFonts w:hint="eastAsia"/>
                                  </w:rPr>
                                </w:pPr>
                                <w:r>
                                  <w:rPr>
                                    <w:rFonts w:hint="eastAsia"/>
                                  </w:rPr>
                                  <w:t>消毒</w:t>
                                </w:r>
                              </w:p>
                            </w:txbxContent>
                          </wps:txbx>
                          <wps:bodyPr upright="1"/>
                        </wps:wsp>
                        <wps:wsp>
                          <wps:cNvPr id="159" name="矩形 159"/>
                          <wps:cNvSpPr/>
                          <wps:spPr>
                            <a:xfrm>
                              <a:off x="5179" y="13629"/>
                              <a:ext cx="938" cy="408"/>
                            </a:xfrm>
                            <a:prstGeom prst="rect">
                              <a:avLst/>
                            </a:prstGeom>
                            <a:noFill/>
                            <a:ln>
                              <a:noFill/>
                            </a:ln>
                          </wps:spPr>
                          <wps:txbx>
                            <w:txbxContent>
                              <w:p>
                                <w:pPr>
                                  <w:jc w:val="center"/>
                                  <w:rPr>
                                    <w:rFonts w:hint="eastAsia"/>
                                  </w:rPr>
                                </w:pPr>
                                <w:r>
                                  <w:rPr>
                                    <w:rFonts w:hint="eastAsia"/>
                                  </w:rPr>
                                  <w:t>水</w:t>
                                </w:r>
                              </w:p>
                            </w:txbxContent>
                          </wps:txbx>
                          <wps:bodyPr upright="1"/>
                        </wps:wsp>
                        <wps:wsp>
                          <wps:cNvPr id="160" name="矩形 160"/>
                          <wps:cNvSpPr/>
                          <wps:spPr>
                            <a:xfrm>
                              <a:off x="6901" y="13629"/>
                              <a:ext cx="938" cy="408"/>
                            </a:xfrm>
                            <a:prstGeom prst="rect">
                              <a:avLst/>
                            </a:prstGeom>
                            <a:noFill/>
                            <a:ln>
                              <a:noFill/>
                            </a:ln>
                          </wps:spPr>
                          <wps:txbx>
                            <w:txbxContent>
                              <w:p>
                                <w:pPr>
                                  <w:jc w:val="center"/>
                                  <w:rPr>
                                    <w:rFonts w:hint="eastAsia"/>
                                  </w:rPr>
                                </w:pPr>
                                <w:r>
                                  <w:rPr>
                                    <w:rFonts w:hint="eastAsia"/>
                                  </w:rPr>
                                  <w:t>加药</w:t>
                                </w:r>
                              </w:p>
                            </w:txbxContent>
                          </wps:txbx>
                          <wps:bodyPr upright="1"/>
                        </wps:wsp>
                        <wps:wsp>
                          <wps:cNvPr id="161" name="矩形 161"/>
                          <wps:cNvSpPr/>
                          <wps:spPr>
                            <a:xfrm>
                              <a:off x="8310" y="14580"/>
                              <a:ext cx="782" cy="408"/>
                            </a:xfrm>
                            <a:prstGeom prst="rect">
                              <a:avLst/>
                            </a:prstGeom>
                            <a:noFill/>
                            <a:ln>
                              <a:noFill/>
                            </a:ln>
                          </wps:spPr>
                          <wps:txbx>
                            <w:txbxContent>
                              <w:p>
                                <w:pPr>
                                  <w:jc w:val="center"/>
                                  <w:rPr>
                                    <w:rFonts w:hint="eastAsia"/>
                                  </w:rPr>
                                </w:pPr>
                                <w:r>
                                  <w:rPr>
                                    <w:rFonts w:hint="eastAsia"/>
                                  </w:rPr>
                                  <w:t>排放</w:t>
                                </w:r>
                              </w:p>
                            </w:txbxContent>
                          </wps:txbx>
                          <wps:bodyPr upright="1"/>
                        </wps:wsp>
                      </wpg:wgp>
                    </wpc:wpc>
                  </a:graphicData>
                </a:graphic>
              </wp:inline>
            </w:drawing>
          </mc:Choice>
          <mc:Fallback>
            <w:pict>
              <v:group id="_x0000_s1026" o:spid="_x0000_s1026" o:spt="203" style="height:101.4pt;width:414pt;" coordsize="5257800,1287780" editas="canvas" o:gfxdata="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Au&#10;Pc5V1QAAAAUBAAAPAAAAAAAAAAEAIAAAACIAAABkcnMvZG93bnJldi54bWxQSwECFAAUAAAACACH&#10;TuJAuh/dKigEAAA/GgAADgAAAAAAAAABACAAAAAkAQAAZHJzL2Uyb0RvYy54bWxQSwUGAAAAAAYA&#10;BgBZAQAAvgcAAAAA&#10;">
                <o:lock v:ext="edit" aspectratio="f"/>
                <v:shape id="_x0000_s1026" o:spid="_x0000_s1026" style="position:absolute;left:0;top:0;height:1287780;width:5257800;" filled="f" stroked="f" coordsize="21600,21600" o:gfxdata="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AuPc5V1QAAAAUBAAAPAAAA&#10;AAAAAAEAIAAAACIAAABkcnMvZG93bnJldi54bWxQSwECFAAUAAAACACHTuJAOqVT8BkEAAC0GQAA&#10;DgAAAAAAAAABACAAAAAkAQAAZHJzL2Uyb0RvYy54bWxQSwUGAAAAAAYABgBZAQAArwcAAAAA&#10;">
                  <v:fill on="f" focussize="0,0"/>
                  <v:stroke on="f"/>
                  <v:imagedata o:title=""/>
                  <o:lock v:ext="edit" aspectratio="t"/>
                </v:shape>
                <v:group id="_x0000_s1026" o:spid="_x0000_s1026" o:spt="203" style="position:absolute;left:114649;top:99116;height:990432;width:4799933;" coordorigin="2519,13629" coordsize="6573,1359" o:gfxdata="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C5Jo8u&#10;1AAAAAUBAAAPAAAAAAAAAAEAIAAAACIAAABkcnMvZG93bnJldi54bWxQSwECFAAUAAAACACHTuJA&#10;p2Y4t+0DAAAGGQAADgAAAAAAAAABACAAAAAjAQAAZHJzL2Uyb0RvYy54bWxQSwUGAAAAAAYABgBZ&#10;AQAAggcAAAAA&#10;">
                  <o:lock v:ext="edit" aspectratio="f"/>
                  <v:line id="_x0000_s1026" o:spid="_x0000_s1026" o:spt="20" style="position:absolute;left:2988;top:14716;height:1;width:626;"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49;top:14037;height:543;width:1;" filled="f" stroked="t" coordsize="21600,21600" o:gfxdata="UEsDBAoAAAAAAIdO4kAAAAAAAAAAAAAAAAAEAAAAZHJzL1BLAwQUAAAACACHTuJA9Q7Rq8AAAADc&#10;AAAADwAAAGRycy9kb3ducmV2LnhtbEWPT2vCQBDF74V+h2UK3uomg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DtG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97;top:14716;height:1;width:626;" filled="f" stroked="t" coordsize="21600,21600" o:gfxdata="UEsDBAoAAAAAAIdO4kAAAAAAAAAAAAAAAAAEAAAAZHJzL1BLAwQUAAAACACHTuJAmkJ0ML0AAADc&#10;AAAADwAAAGRycy9kb3ducmV2LnhtbEVPS2vCQBC+F/oflil4q5sISk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QnQ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32;top:14716;height:1;width:625;"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684;top:14716;height:1;width:626;" filled="f" stroked="t" coordsize="21600,21600" o:gfxdata="UEsDBAoAAAAAAIdO4kAAAAAAAAAAAAAAAAAEAAAAZHJzL1BLAwQUAAAACACHTuJABdxP3L0AAADc&#10;AAAADwAAAGRycy9kb3ducmV2LnhtbEVPS2vCQBC+F/wPywi91U0s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3E/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371;top:14037;height:542;width:1;"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519;top:14580;height:408;width:782;" filled="f" stroked="f" coordsize="21600,21600" o:gfxdata="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Q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污水</w:t>
                          </w:r>
                        </w:p>
                      </w:txbxContent>
                    </v:textbox>
                  </v:rect>
                  <v:rect id="_x0000_s1026" o:spid="_x0000_s1026" o:spt="1" style="position:absolute;left:3614;top:14580;height:408;width:938;" filled="f" stroked="f" coordsize="21600,21600" o:gfxdata="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qOb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调节池</w:t>
                          </w:r>
                        </w:p>
                      </w:txbxContent>
                    </v:textbox>
                  </v:rect>
                  <v:rect id="_x0000_s1026" o:spid="_x0000_s1026" o:spt="1" style="position:absolute;left:5023;top:14580;height:408;width:1407;" filled="f" stroked="f" coordsize="21600,21600" o:gfxdata="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Yr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rPr>
                            <w:t>接触氧化池</w:t>
                          </w:r>
                        </w:p>
                      </w:txbxContent>
                    </v:textbox>
                  </v:rect>
                  <v:rect id="_x0000_s1026" o:spid="_x0000_s1026" o:spt="1" style="position:absolute;left:7058;top:14580;height:408;width:781;" filled="f" stroked="f" coordsize="21600,21600" o:gfxdata="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pv4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hint="eastAsia"/>
                            </w:rPr>
                          </w:pPr>
                          <w:r>
                            <w:rPr>
                              <w:rFonts w:hint="eastAsia"/>
                            </w:rPr>
                            <w:t>消毒</w:t>
                          </w:r>
                        </w:p>
                      </w:txbxContent>
                    </v:textbox>
                  </v:rect>
                  <v:rect id="_x0000_s1026" o:spid="_x0000_s1026" o:spt="1" style="position:absolute;left:5179;top:13629;height:408;width:938;" filled="f" stroked="f" coordsize="21600,21600" o:gfxdata="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UaH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rPr>
                          </w:pPr>
                          <w:r>
                            <w:rPr>
                              <w:rFonts w:hint="eastAsia"/>
                            </w:rPr>
                            <w:t>水</w:t>
                          </w:r>
                        </w:p>
                      </w:txbxContent>
                    </v:textbox>
                  </v:rect>
                  <v:rect id="_x0000_s1026" o:spid="_x0000_s1026" o:spt="1" style="position:absolute;left:6901;top:13629;height:408;width:938;" filled="f" stroked="f" coordsize="21600,21600" o:gfxdata="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N5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rPr>
                          </w:pPr>
                          <w:r>
                            <w:rPr>
                              <w:rFonts w:hint="eastAsia"/>
                            </w:rPr>
                            <w:t>加药</w:t>
                          </w:r>
                        </w:p>
                      </w:txbxContent>
                    </v:textbox>
                  </v:rect>
                  <v:rect id="_x0000_s1026" o:spid="_x0000_s1026" o:spt="1" style="position:absolute;left:8310;top:14580;height:408;width:782;" filled="f" stroked="f" coordsize="21600,21600" o:gfxdata="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3K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rPr>
                          </w:pPr>
                          <w:r>
                            <w:rPr>
                              <w:rFonts w:hint="eastAsia"/>
                            </w:rPr>
                            <w:t>排放</w:t>
                          </w:r>
                        </w:p>
                      </w:txbxContent>
                    </v:textbox>
                  </v:rect>
                </v:group>
                <w10:wrap type="none"/>
                <w10:anchorlock/>
              </v:group>
            </w:pict>
          </mc:Fallback>
        </mc:AlternateContent>
      </w:r>
    </w:p>
    <w:p>
      <w:pPr>
        <w:spacing w:line="360" w:lineRule="auto"/>
        <w:ind w:firstLine="420" w:firstLineChars="200"/>
        <w:rPr>
          <w:rFonts w:hint="eastAsia"/>
        </w:rPr>
      </w:pPr>
      <w:r>
        <w:rPr>
          <w:rFonts w:hint="eastAsia"/>
        </w:rPr>
        <w:t>排放量52.6m</w:t>
      </w:r>
      <w:r>
        <w:rPr>
          <w:rFonts w:hint="eastAsia"/>
          <w:vertAlign w:val="superscript"/>
        </w:rPr>
        <w:t>3</w:t>
      </w:r>
      <w:r>
        <w:rPr>
          <w:rFonts w:hint="eastAsia"/>
        </w:rPr>
        <w:t>/d，考虑15%的不均衡系数，本评价要求粉磨站污水处理站规模应不小于60m</w:t>
      </w:r>
      <w:r>
        <w:rPr>
          <w:rFonts w:hint="eastAsia"/>
          <w:vertAlign w:val="superscript"/>
        </w:rPr>
        <w:t>3</w:t>
      </w:r>
      <w:r>
        <w:rPr>
          <w:rFonts w:hint="eastAsia"/>
        </w:rPr>
        <w:t>/d。</w:t>
      </w:r>
    </w:p>
    <w:p>
      <w:pPr>
        <w:spacing w:line="360" w:lineRule="auto"/>
        <w:ind w:firstLine="420" w:firstLineChars="200"/>
        <w:rPr>
          <w:rFonts w:hint="eastAsia"/>
        </w:rPr>
      </w:pPr>
      <w:r>
        <w:rPr>
          <w:rFonts w:hint="eastAsia"/>
        </w:rPr>
        <w:t>为保证出水水质达标排放，建议在厂区各废水排放口附近先进行预处理，如在化验室排水口设中和沉淀池，在锅炉房排水口设降温池，在厕所排放口设化粪池等。上述污水经预处理后，由厂区排水管网入污水处理站。废水经二级生化处理后达标后排放。</w:t>
      </w:r>
    </w:p>
    <w:p>
      <w:pPr>
        <w:spacing w:line="360" w:lineRule="auto"/>
        <w:rPr>
          <w:rFonts w:hint="eastAsia"/>
          <w:b/>
        </w:rPr>
      </w:pPr>
      <w:r>
        <w:rPr>
          <w:rFonts w:hint="eastAsia"/>
          <w:b/>
        </w:rPr>
        <w:t>10.2.3处理后的出水水质及去向</w:t>
      </w:r>
    </w:p>
    <w:p>
      <w:pPr>
        <w:snapToGrid w:val="0"/>
        <w:spacing w:line="360" w:lineRule="auto"/>
        <w:ind w:firstLine="422" w:firstLineChars="201"/>
        <w:rPr>
          <w:rFonts w:hint="eastAsia"/>
        </w:rPr>
      </w:pPr>
      <w:r>
        <w:rPr>
          <w:rFonts w:hint="eastAsia"/>
        </w:rPr>
        <w:t>经处理后的生活及辅助设施污水达到《污水综合排放标准》(GB8978—1996)中一级标准，污水经过二级生化处理装置处理后排入厂区北侧</w:t>
      </w:r>
      <w:r>
        <w:rPr>
          <w:rFonts w:hint="eastAsia" w:ascii="宋体" w:hAnsi="宋体"/>
        </w:rPr>
        <w:t>北侧无名溪沟经玉石桥河最终汇入梁滩河。</w:t>
      </w:r>
      <w:r>
        <w:rPr>
          <w:rFonts w:hint="eastAsia"/>
        </w:rPr>
        <w:t>地表水的预测结果表明，废水排放对纳污水体不产生明显的不利影响。</w:t>
      </w:r>
    </w:p>
    <w:p>
      <w:pPr>
        <w:spacing w:before="24" w:beforeLines="10" w:after="24" w:afterLines="10" w:line="460" w:lineRule="exact"/>
        <w:outlineLvl w:val="1"/>
        <w:rPr>
          <w:rFonts w:hint="eastAsia"/>
          <w:b/>
        </w:rPr>
      </w:pPr>
      <w:bookmarkStart w:id="395" w:name="_Toc276372265"/>
      <w:bookmarkStart w:id="396" w:name="_Toc473281544"/>
      <w:bookmarkStart w:id="397" w:name="_Toc189814187"/>
      <w:r>
        <w:rPr>
          <w:rFonts w:hint="eastAsia"/>
          <w:b/>
        </w:rPr>
        <w:t>10.3</w:t>
      </w:r>
      <w:bookmarkStart w:id="398" w:name="_Toc227983620"/>
      <w:r>
        <w:rPr>
          <w:rFonts w:hint="eastAsia"/>
          <w:b/>
        </w:rPr>
        <w:t xml:space="preserve"> 环境噪声污染防治</w:t>
      </w:r>
      <w:bookmarkEnd w:id="398"/>
      <w:r>
        <w:rPr>
          <w:rFonts w:hint="eastAsia"/>
          <w:b/>
        </w:rPr>
        <w:t>措施</w:t>
      </w:r>
      <w:bookmarkEnd w:id="395"/>
    </w:p>
    <w:p>
      <w:pPr>
        <w:spacing w:line="360" w:lineRule="auto"/>
        <w:ind w:firstLine="420" w:firstLineChars="200"/>
        <w:rPr>
          <w:rFonts w:hint="eastAsia"/>
        </w:rPr>
      </w:pPr>
      <w:r>
        <w:rPr>
          <w:rFonts w:hint="eastAsia"/>
        </w:rPr>
        <w:t>为提高水泥厂周围环境声学质量，保护人群身体健康，设备噪声源应采取有效的管理措施和治理对策，针对水泥厂声源特点，提出如下建议：</w:t>
      </w:r>
    </w:p>
    <w:p>
      <w:pPr>
        <w:spacing w:line="360" w:lineRule="auto"/>
        <w:ind w:firstLine="420" w:firstLineChars="200"/>
        <w:rPr>
          <w:rFonts w:hint="eastAsia"/>
        </w:rPr>
      </w:pPr>
      <w:r>
        <w:rPr>
          <w:rFonts w:hint="eastAsia"/>
        </w:rPr>
        <w:t>（1）一定要根据国家环保法中“三同时”的要求，在项目工程设计时，针对各类噪声源的声学特征和生产流程的实际情况，设计出最佳的噪声控制方案，噪声源的治理工程与主体工程一并施工，这样既能提高治理效果，又可节约大量经费。</w:t>
      </w:r>
    </w:p>
    <w:p>
      <w:pPr>
        <w:spacing w:line="360" w:lineRule="auto"/>
        <w:ind w:firstLine="420" w:firstLineChars="200"/>
        <w:rPr>
          <w:rFonts w:hint="eastAsia"/>
        </w:rPr>
      </w:pPr>
      <w:r>
        <w:rPr>
          <w:rFonts w:hint="eastAsia"/>
        </w:rPr>
        <w:t>（2）煤磨、原料磨等在运转过程中产生高频机械噪声，以噪声产生的机理和生产流程考虑，要从噪声源较大幅度降低难度较大，一般治理措施是尽可能将磨机安装在具有一定隔声效果的隔声房中，为了增加隔声量和降低室内混响声，可在室内壁敷设吸声材料，室顶悬挂吸声吊顶，控制噪声对外界环境的污染。</w:t>
      </w:r>
    </w:p>
    <w:p>
      <w:pPr>
        <w:spacing w:line="360" w:lineRule="auto"/>
        <w:ind w:firstLine="420" w:firstLineChars="200"/>
        <w:rPr>
          <w:rFonts w:hint="eastAsia"/>
        </w:rPr>
      </w:pPr>
      <w:r>
        <w:rPr>
          <w:rFonts w:hint="eastAsia"/>
        </w:rPr>
        <w:t>（3）水泥厂对外环境影响最大的噪声源是各类风机，故风机是需治理的重点声源。风机噪声是以动力性气流噪声为主，声的传播途径较多，一般通过进风口、出风口、机壳及基础传播出来，因而对风机噪声的控制，应针对这四种传播途径采取相应的控制措施。在风机的进、出口装置宽频衰减、阻损小的阻性消声器；风机机壳敷设一定厚度的吸声材料；安装风机的地基要设计合理的参数，安装时采用减振措施，这样既降低因设备安装不良而产生的机械噪声，也防止固体噪声通过地基传播到外界环境。</w:t>
      </w:r>
    </w:p>
    <w:p>
      <w:pPr>
        <w:spacing w:line="360" w:lineRule="auto"/>
        <w:ind w:firstLine="420" w:firstLineChars="200"/>
        <w:rPr>
          <w:rFonts w:hint="eastAsia"/>
        </w:rPr>
      </w:pPr>
      <w:r>
        <w:rPr>
          <w:rFonts w:hint="eastAsia"/>
        </w:rPr>
        <w:t>（4）水泥厂高噪声车间较多，要使所有车间噪声水平皆达到《工业企业噪声卫生标准》(TJ36—79)难度较大，对有些车间设备运转不需要作业人员连续操作，如空压机房、各类磨房，在保证车间设备噪声对厂区外环境达标排放的前提下，可在车间内部设置有一定隔声效果的观察室、休息室，使这些室内的噪声水平达到《工业企业噪声控制设计规范》(GBJ87—85)中规定标准要求。即观察室低于60dB(A)，休息室低于70dB(A)。但观察室和休息室设计参数要避免产生低噪共振或吻合效应。从预测结果看出，经采取设计和评价推荐的噪声控制措施后，技改项目正常生产运行时，按《工业企业厂界噪声标准》（GB12348-2008）中2类标准评价，昼间厂界噪声均能达标；夜间噪声西厂界超标，超标4.5dB，由于西厂界无居民点，不会产生噪声扰民的现象。</w:t>
      </w:r>
    </w:p>
    <w:p>
      <w:pPr>
        <w:spacing w:line="360" w:lineRule="auto"/>
        <w:ind w:firstLine="420" w:firstLineChars="200"/>
        <w:rPr>
          <w:rFonts w:hint="eastAsia"/>
        </w:rPr>
      </w:pPr>
      <w:r>
        <w:rPr>
          <w:rFonts w:hint="eastAsia"/>
        </w:rPr>
        <w:t>（5）加强厂区绿化是降低噪声对环境污染的有效措施，绿化的重点地带是：高噪声源车间的周围，厂区各向边界环境，厂区道路两侧。绿化树种应选择吸声效果较好的冷杉、松树和阔叶树类。</w:t>
      </w:r>
    </w:p>
    <w:p>
      <w:pPr>
        <w:spacing w:line="360" w:lineRule="auto"/>
        <w:ind w:firstLine="420" w:firstLineChars="200"/>
        <w:rPr>
          <w:rFonts w:hint="eastAsia"/>
        </w:rPr>
      </w:pPr>
      <w:r>
        <w:rPr>
          <w:rFonts w:hint="eastAsia"/>
        </w:rPr>
        <w:t>（6）在总图上优化布置，在满足工艺的前提下，尽可能将高噪声设备布置在厂区中部并利用建筑隔声，以减少对外部环境的影响。</w:t>
      </w:r>
    </w:p>
    <w:p>
      <w:pPr>
        <w:spacing w:before="24" w:beforeLines="10" w:after="24" w:afterLines="10" w:line="460" w:lineRule="exact"/>
        <w:outlineLvl w:val="1"/>
        <w:rPr>
          <w:rFonts w:hint="eastAsia"/>
          <w:b/>
        </w:rPr>
      </w:pPr>
      <w:bookmarkStart w:id="399" w:name="_Toc276372266"/>
      <w:r>
        <w:rPr>
          <w:rFonts w:hint="eastAsia"/>
          <w:b/>
        </w:rPr>
        <w:t>10.4 固体废物处置</w:t>
      </w:r>
      <w:bookmarkEnd w:id="396"/>
      <w:bookmarkEnd w:id="397"/>
      <w:bookmarkEnd w:id="399"/>
    </w:p>
    <w:p>
      <w:pPr>
        <w:spacing w:line="460" w:lineRule="exact"/>
        <w:ind w:firstLine="420" w:firstLineChars="200"/>
        <w:rPr>
          <w:rFonts w:hint="eastAsia" w:ascii="宋体" w:hAnsi="宋体"/>
        </w:rPr>
      </w:pPr>
      <w:r>
        <w:rPr>
          <w:rFonts w:hint="eastAsia"/>
        </w:rPr>
        <w:t>技改项目固体废物主要为除尘灰、生活污水处理污泥、</w:t>
      </w:r>
      <w:r>
        <w:rPr>
          <w:rFonts w:hint="eastAsia" w:ascii="宋体" w:hAnsi="宋体"/>
        </w:rPr>
        <w:t>生活垃圾。</w:t>
      </w:r>
    </w:p>
    <w:p>
      <w:pPr>
        <w:widowControl/>
        <w:spacing w:line="460" w:lineRule="exact"/>
        <w:ind w:firstLine="420" w:firstLineChars="200"/>
        <w:rPr>
          <w:rFonts w:hint="eastAsia"/>
        </w:rPr>
      </w:pPr>
      <w:r>
        <w:rPr>
          <w:rFonts w:hint="eastAsia"/>
        </w:rPr>
        <w:t>（1）除尘灰</w:t>
      </w:r>
    </w:p>
    <w:p>
      <w:pPr>
        <w:spacing w:line="460" w:lineRule="exact"/>
        <w:ind w:firstLine="420" w:firstLineChars="200"/>
        <w:rPr>
          <w:rFonts w:hint="eastAsia" w:ascii="宋体" w:hAnsi="宋体"/>
        </w:rPr>
      </w:pPr>
      <w:r>
        <w:rPr>
          <w:rFonts w:hint="eastAsia"/>
        </w:rPr>
        <w:t>各粉尘和烟尘除尘器除尘产生收集下来的除尘灰，全部由水泥原料或产品构成</w:t>
      </w:r>
      <w:r>
        <w:rPr>
          <w:rFonts w:hint="eastAsia" w:ascii="宋体" w:hAnsi="宋体"/>
        </w:rPr>
        <w:t>。</w:t>
      </w:r>
      <w:r>
        <w:rPr>
          <w:rFonts w:hint="eastAsia"/>
        </w:rPr>
        <w:t>采取收集后作生产原料回用或产品外售利用，不排放</w:t>
      </w:r>
      <w:r>
        <w:rPr>
          <w:rFonts w:hint="eastAsia" w:ascii="宋体" w:hAnsi="宋体"/>
        </w:rPr>
        <w:t>。</w:t>
      </w:r>
    </w:p>
    <w:p>
      <w:pPr>
        <w:spacing w:line="460" w:lineRule="exact"/>
        <w:ind w:firstLine="420" w:firstLineChars="200"/>
        <w:rPr>
          <w:rFonts w:hint="eastAsia"/>
        </w:rPr>
      </w:pPr>
      <w:r>
        <w:rPr>
          <w:rFonts w:hint="eastAsia" w:ascii="宋体" w:hAnsi="宋体"/>
        </w:rPr>
        <w:t>（2）</w:t>
      </w:r>
      <w:r>
        <w:rPr>
          <w:rFonts w:hint="eastAsia"/>
        </w:rPr>
        <w:t>生活污水处理污泥</w:t>
      </w:r>
    </w:p>
    <w:p>
      <w:pPr>
        <w:spacing w:line="460" w:lineRule="exact"/>
        <w:ind w:firstLine="420" w:firstLineChars="200"/>
        <w:rPr>
          <w:rFonts w:hint="eastAsia"/>
        </w:rPr>
      </w:pPr>
      <w:r>
        <w:rPr>
          <w:rFonts w:hint="eastAsia"/>
        </w:rPr>
        <w:t>职工生活污水采取生化工艺处理时，产生污泥</w:t>
      </w:r>
      <w:r>
        <w:rPr>
          <w:rFonts w:hint="eastAsia" w:ascii="宋体" w:hAnsi="宋体"/>
        </w:rPr>
        <w:t>。</w:t>
      </w:r>
      <w:r>
        <w:rPr>
          <w:rFonts w:hint="eastAsia"/>
        </w:rPr>
        <w:t>由于该污泥的成分与粘土类似，故可直接送水泥回转窑作水泥原料煅烧，不排放。</w:t>
      </w:r>
    </w:p>
    <w:p>
      <w:pPr>
        <w:spacing w:line="460" w:lineRule="exact"/>
        <w:ind w:firstLine="420" w:firstLineChars="200"/>
        <w:rPr>
          <w:rFonts w:hint="eastAsia" w:ascii="宋体" w:hAnsi="宋体"/>
        </w:rPr>
      </w:pPr>
      <w:r>
        <w:rPr>
          <w:rFonts w:hint="eastAsia" w:ascii="宋体" w:hAnsi="宋体"/>
        </w:rPr>
        <w:t>（3）生活垃圾</w:t>
      </w:r>
    </w:p>
    <w:p>
      <w:pPr>
        <w:spacing w:line="460" w:lineRule="exact"/>
        <w:ind w:firstLine="420" w:firstLineChars="200"/>
        <w:rPr>
          <w:rFonts w:hint="eastAsia"/>
        </w:rPr>
      </w:pPr>
      <w:r>
        <w:rPr>
          <w:rFonts w:hint="eastAsia"/>
        </w:rPr>
        <w:t>全厂职工生活生活垃圾采取在厂区内设生活垃圾转运站，集中收集后，由青木关镇环卫部门送城市垃圾处理场卫生填埋。</w:t>
      </w:r>
    </w:p>
    <w:p>
      <w:pPr>
        <w:widowControl/>
        <w:spacing w:line="460" w:lineRule="exact"/>
        <w:ind w:firstLine="420" w:firstLineChars="200"/>
        <w:rPr>
          <w:rFonts w:hint="eastAsia"/>
        </w:rPr>
      </w:pPr>
      <w:r>
        <w:rPr>
          <w:rFonts w:hint="eastAsia"/>
        </w:rPr>
        <w:t>水泥装置各粉尘和烟尘除尘器产生的除尘灰、生活污水处理污泥回收利用已在国内水泥生产中普遍应用，所以是合理可行的。</w:t>
      </w:r>
    </w:p>
    <w:p>
      <w:pPr>
        <w:spacing w:before="24" w:beforeLines="10" w:after="24" w:afterLines="10" w:line="460" w:lineRule="exact"/>
        <w:outlineLvl w:val="1"/>
        <w:rPr>
          <w:rFonts w:hint="eastAsia"/>
          <w:b/>
        </w:rPr>
      </w:pPr>
      <w:bookmarkStart w:id="400" w:name="_Toc276372267"/>
      <w:r>
        <w:rPr>
          <w:rFonts w:hint="eastAsia"/>
          <w:b/>
        </w:rPr>
        <w:t>10.5环境监测</w:t>
      </w:r>
      <w:bookmarkEnd w:id="400"/>
    </w:p>
    <w:p>
      <w:pPr>
        <w:spacing w:before="24" w:beforeLines="10" w:after="24" w:afterLines="10" w:line="460" w:lineRule="exact"/>
        <w:rPr>
          <w:rFonts w:hint="eastAsia" w:ascii="宋体" w:hAnsi="宋体"/>
          <w:bCs/>
        </w:rPr>
      </w:pPr>
      <w:r>
        <w:rPr>
          <w:rFonts w:hint="eastAsia"/>
        </w:rPr>
        <w:t xml:space="preserve">   </w:t>
      </w:r>
      <w:r>
        <w:rPr>
          <w:rFonts w:hint="eastAsia" w:ascii="宋体" w:hAnsi="宋体"/>
          <w:bCs/>
        </w:rPr>
        <w:t xml:space="preserve"> 公司应配备监测常规设备，安装</w:t>
      </w:r>
      <w:r>
        <w:rPr>
          <w:rFonts w:ascii="宋体" w:hAnsi="宋体"/>
          <w:bCs/>
        </w:rPr>
        <w:t>窑尾</w:t>
      </w:r>
      <w:r>
        <w:rPr>
          <w:rFonts w:hint="eastAsia" w:ascii="宋体" w:hAnsi="宋体"/>
          <w:bCs/>
        </w:rPr>
        <w:t>、窑头</w:t>
      </w:r>
      <w:r>
        <w:rPr>
          <w:rFonts w:ascii="宋体" w:hAnsi="宋体"/>
          <w:bCs/>
        </w:rPr>
        <w:t>废气</w:t>
      </w:r>
      <w:r>
        <w:rPr>
          <w:rFonts w:hint="eastAsia" w:ascii="宋体" w:hAnsi="宋体"/>
          <w:bCs/>
        </w:rPr>
        <w:t>在线监测，在投产后应进行环保设施“三同时”竣工验收。</w:t>
      </w:r>
    </w:p>
    <w:p>
      <w:pPr>
        <w:spacing w:before="24" w:beforeLines="10" w:after="24" w:afterLines="10" w:line="360" w:lineRule="auto"/>
        <w:outlineLvl w:val="1"/>
        <w:rPr>
          <w:rFonts w:hint="eastAsia"/>
          <w:b/>
        </w:rPr>
      </w:pPr>
      <w:bookmarkStart w:id="401" w:name="_Toc189814189"/>
      <w:bookmarkStart w:id="402" w:name="_Toc175479859"/>
      <w:bookmarkStart w:id="403" w:name="_Toc473281546"/>
      <w:bookmarkStart w:id="404" w:name="_Toc165607406"/>
      <w:bookmarkStart w:id="405" w:name="_Toc276372268"/>
      <w:bookmarkStart w:id="406" w:name="_Toc129763764"/>
      <w:r>
        <w:rPr>
          <w:rFonts w:hint="eastAsia"/>
          <w:b/>
        </w:rPr>
        <w:t>10.6厂区绿化</w:t>
      </w:r>
      <w:bookmarkEnd w:id="401"/>
      <w:bookmarkEnd w:id="402"/>
      <w:bookmarkEnd w:id="403"/>
      <w:bookmarkEnd w:id="404"/>
      <w:bookmarkEnd w:id="405"/>
      <w:bookmarkEnd w:id="406"/>
    </w:p>
    <w:p>
      <w:pPr>
        <w:spacing w:line="360" w:lineRule="auto"/>
        <w:ind w:firstLine="592" w:firstLineChars="282"/>
        <w:rPr>
          <w:rFonts w:ascii="宋体" w:hAnsi="宋体"/>
          <w:bCs/>
        </w:rPr>
      </w:pPr>
      <w:r>
        <w:rPr>
          <w:rFonts w:ascii="宋体" w:hAnsi="宋体"/>
          <w:bCs/>
        </w:rPr>
        <w:t>全厂绿化布置分为道路绿化和重点绿化。</w:t>
      </w:r>
    </w:p>
    <w:p>
      <w:pPr>
        <w:spacing w:line="360" w:lineRule="auto"/>
        <w:ind w:firstLine="592" w:firstLineChars="282"/>
        <w:rPr>
          <w:rFonts w:ascii="宋体" w:hAnsi="宋体"/>
          <w:bCs/>
        </w:rPr>
      </w:pPr>
      <w:r>
        <w:rPr>
          <w:rFonts w:ascii="宋体" w:hAnsi="宋体"/>
          <w:bCs/>
        </w:rPr>
        <w:t>道路绿化：在道路一侧或两侧布置行道树。</w:t>
      </w:r>
    </w:p>
    <w:p>
      <w:pPr>
        <w:spacing w:line="360" w:lineRule="auto"/>
        <w:ind w:firstLine="592" w:firstLineChars="282"/>
        <w:rPr>
          <w:rFonts w:ascii="宋体" w:hAnsi="宋体"/>
          <w:bCs/>
        </w:rPr>
      </w:pPr>
      <w:r>
        <w:rPr>
          <w:rFonts w:ascii="宋体" w:hAnsi="宋体"/>
          <w:bCs/>
        </w:rPr>
        <w:t>重点绿化：对厂前区及预留区地带进行重点绿化。布置较密的乔木群，以形成隔离带，达到防尘和隔噪音的作用。</w:t>
      </w:r>
    </w:p>
    <w:p>
      <w:pPr>
        <w:spacing w:line="360" w:lineRule="auto"/>
        <w:ind w:firstLine="592" w:firstLineChars="282"/>
        <w:rPr>
          <w:rFonts w:hint="eastAsia" w:ascii="宋体" w:hAnsi="宋体"/>
          <w:bCs/>
        </w:rPr>
      </w:pPr>
      <w:r>
        <w:rPr>
          <w:rFonts w:ascii="宋体" w:hAnsi="宋体"/>
          <w:bCs/>
        </w:rPr>
        <w:t>选用树种以针叶树为主。日常管理应加强对路面及绿化植被的冲洗，以达到最佳效果。</w:t>
      </w:r>
    </w:p>
    <w:p>
      <w:pPr>
        <w:spacing w:before="24" w:beforeLines="10" w:after="24" w:afterLines="10" w:line="360" w:lineRule="auto"/>
        <w:outlineLvl w:val="1"/>
        <w:rPr>
          <w:rFonts w:hint="eastAsia"/>
          <w:b/>
        </w:rPr>
      </w:pPr>
      <w:bookmarkStart w:id="407" w:name="_Toc129763765"/>
      <w:bookmarkStart w:id="408" w:name="_Toc473281547"/>
      <w:bookmarkStart w:id="409" w:name="_Toc165607407"/>
      <w:bookmarkStart w:id="410" w:name="_Toc276372269"/>
      <w:bookmarkStart w:id="411" w:name="_Toc175479860"/>
      <w:bookmarkStart w:id="412" w:name="_Toc189814190"/>
      <w:r>
        <w:rPr>
          <w:rFonts w:hint="eastAsia"/>
          <w:b/>
        </w:rPr>
        <w:t>10.7环保投资</w:t>
      </w:r>
      <w:bookmarkEnd w:id="407"/>
      <w:bookmarkEnd w:id="408"/>
      <w:bookmarkEnd w:id="409"/>
      <w:bookmarkEnd w:id="410"/>
      <w:bookmarkEnd w:id="411"/>
      <w:bookmarkEnd w:id="412"/>
      <w:r>
        <w:rPr>
          <w:rFonts w:hint="eastAsia"/>
          <w:b/>
        </w:rPr>
        <w:t xml:space="preserve"> </w:t>
      </w:r>
    </w:p>
    <w:p>
      <w:pPr>
        <w:spacing w:line="460" w:lineRule="exact"/>
        <w:ind w:firstLine="420" w:firstLineChars="200"/>
        <w:rPr>
          <w:rFonts w:hint="eastAsia"/>
        </w:rPr>
      </w:pPr>
      <w:r>
        <w:rPr>
          <w:rFonts w:hint="eastAsia"/>
        </w:rPr>
        <w:t>技改项目环保投资估算见表10-1。</w:t>
      </w:r>
    </w:p>
    <w:p>
      <w:pPr>
        <w:spacing w:line="460" w:lineRule="exact"/>
        <w:ind w:firstLine="420" w:firstLineChars="200"/>
        <w:rPr>
          <w:rFonts w:hint="eastAsia"/>
        </w:rPr>
      </w:pPr>
      <w:r>
        <w:rPr>
          <w:rFonts w:hint="eastAsia"/>
        </w:rPr>
        <w:t>由表10-1可见，技改项目环保总投资为2544万元，占项目总投资的9.1％。</w:t>
      </w:r>
    </w:p>
    <w:p>
      <w:pPr>
        <w:spacing w:line="280" w:lineRule="exact"/>
        <w:ind w:firstLine="1446" w:firstLineChars="686"/>
        <w:rPr>
          <w:rFonts w:hint="eastAsia"/>
          <w:b/>
        </w:rPr>
      </w:pPr>
      <w:r>
        <w:rPr>
          <w:rFonts w:hint="eastAsia"/>
          <w:b/>
        </w:rPr>
        <w:t>表10-1          技改项目环保投资概算表</w:t>
      </w:r>
    </w:p>
    <w:tbl>
      <w:tblPr>
        <w:tblStyle w:val="20"/>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972"/>
        <w:gridCol w:w="2792"/>
        <w:gridCol w:w="2428"/>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blHeader/>
          <w:jc w:val="center"/>
        </w:trPr>
        <w:tc>
          <w:tcPr>
            <w:tcW w:w="2608" w:type="dxa"/>
            <w:gridSpan w:val="2"/>
            <w:noWrap w:val="0"/>
            <w:vAlign w:val="center"/>
          </w:tcPr>
          <w:p>
            <w:pPr>
              <w:spacing w:line="240" w:lineRule="exact"/>
              <w:jc w:val="center"/>
              <w:rPr>
                <w:rFonts w:hint="eastAsia"/>
                <w:sz w:val="18"/>
                <w:szCs w:val="18"/>
              </w:rPr>
            </w:pPr>
            <w:r>
              <w:rPr>
                <w:rFonts w:hint="eastAsia"/>
                <w:sz w:val="18"/>
                <w:szCs w:val="18"/>
              </w:rPr>
              <w:t>项目名称</w:t>
            </w:r>
          </w:p>
        </w:tc>
        <w:tc>
          <w:tcPr>
            <w:tcW w:w="2792" w:type="dxa"/>
            <w:noWrap w:val="0"/>
            <w:vAlign w:val="center"/>
          </w:tcPr>
          <w:p>
            <w:pPr>
              <w:spacing w:line="240" w:lineRule="exact"/>
              <w:jc w:val="center"/>
              <w:rPr>
                <w:rFonts w:hint="eastAsia"/>
                <w:sz w:val="18"/>
                <w:szCs w:val="18"/>
              </w:rPr>
            </w:pPr>
            <w:r>
              <w:rPr>
                <w:rFonts w:hint="eastAsia"/>
                <w:sz w:val="18"/>
                <w:szCs w:val="18"/>
              </w:rPr>
              <w:t>治理措施</w:t>
            </w:r>
          </w:p>
        </w:tc>
        <w:tc>
          <w:tcPr>
            <w:tcW w:w="2428" w:type="dxa"/>
            <w:noWrap w:val="0"/>
            <w:vAlign w:val="center"/>
          </w:tcPr>
          <w:p>
            <w:pPr>
              <w:spacing w:line="240" w:lineRule="exact"/>
              <w:jc w:val="center"/>
              <w:rPr>
                <w:rFonts w:hint="eastAsia"/>
                <w:sz w:val="18"/>
                <w:szCs w:val="18"/>
              </w:rPr>
            </w:pPr>
            <w:r>
              <w:rPr>
                <w:rFonts w:hint="eastAsia"/>
                <w:sz w:val="18"/>
                <w:szCs w:val="18"/>
              </w:rPr>
              <w:t>治理效果</w:t>
            </w:r>
          </w:p>
        </w:tc>
        <w:tc>
          <w:tcPr>
            <w:tcW w:w="1209" w:type="dxa"/>
            <w:noWrap w:val="0"/>
            <w:vAlign w:val="center"/>
          </w:tcPr>
          <w:p>
            <w:pPr>
              <w:spacing w:line="240" w:lineRule="exact"/>
              <w:jc w:val="center"/>
              <w:rPr>
                <w:rFonts w:hint="eastAsia"/>
                <w:sz w:val="18"/>
                <w:szCs w:val="18"/>
              </w:rPr>
            </w:pPr>
            <w:r>
              <w:rPr>
                <w:rFonts w:hint="eastAsia"/>
                <w:sz w:val="18"/>
                <w:szCs w:val="18"/>
              </w:rPr>
              <w:t>环保</w:t>
            </w:r>
          </w:p>
          <w:p>
            <w:pPr>
              <w:spacing w:line="240" w:lineRule="exact"/>
              <w:jc w:val="center"/>
              <w:rPr>
                <w:rFonts w:hint="eastAsia"/>
                <w:sz w:val="18"/>
                <w:szCs w:val="18"/>
              </w:rPr>
            </w:pPr>
            <w:r>
              <w:rPr>
                <w:rFonts w:hint="eastAsia"/>
                <w:sz w:val="18"/>
                <w:szCs w:val="18"/>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restart"/>
            <w:noWrap w:val="0"/>
            <w:vAlign w:val="center"/>
          </w:tcPr>
          <w:p>
            <w:pPr>
              <w:spacing w:line="240" w:lineRule="exact"/>
              <w:jc w:val="center"/>
              <w:rPr>
                <w:rFonts w:hint="eastAsia"/>
                <w:sz w:val="18"/>
                <w:szCs w:val="18"/>
              </w:rPr>
            </w:pPr>
            <w:r>
              <w:rPr>
                <w:rFonts w:hint="eastAsia"/>
                <w:sz w:val="18"/>
                <w:szCs w:val="18"/>
              </w:rPr>
              <w:t>废气</w:t>
            </w:r>
          </w:p>
          <w:p>
            <w:pPr>
              <w:spacing w:line="240" w:lineRule="exact"/>
              <w:jc w:val="center"/>
              <w:rPr>
                <w:rFonts w:hint="eastAsia"/>
                <w:sz w:val="18"/>
                <w:szCs w:val="18"/>
              </w:rPr>
            </w:pPr>
            <w:r>
              <w:rPr>
                <w:rFonts w:hint="eastAsia"/>
                <w:sz w:val="18"/>
                <w:szCs w:val="18"/>
              </w:rPr>
              <w:t>治理</w:t>
            </w:r>
          </w:p>
        </w:tc>
        <w:tc>
          <w:tcPr>
            <w:tcW w:w="1972" w:type="dxa"/>
            <w:noWrap w:val="0"/>
            <w:vAlign w:val="center"/>
          </w:tcPr>
          <w:p>
            <w:pPr>
              <w:spacing w:line="240" w:lineRule="exact"/>
              <w:rPr>
                <w:rFonts w:hint="eastAsia"/>
                <w:sz w:val="18"/>
                <w:szCs w:val="18"/>
              </w:rPr>
            </w:pPr>
            <w:r>
              <w:rPr>
                <w:rFonts w:hint="eastAsia"/>
                <w:sz w:val="18"/>
                <w:szCs w:val="18"/>
              </w:rPr>
              <w:t>石灰石破碎及输送、原辅料破碎、烘干、均化、输送、窑头、窑尾、磨粉、进出仓、熟料和水泥储存、水泥产品散装或包装工序等含尘废气</w:t>
            </w:r>
          </w:p>
        </w:tc>
        <w:tc>
          <w:tcPr>
            <w:tcW w:w="2792" w:type="dxa"/>
            <w:tcBorders>
              <w:bottom w:val="single" w:color="auto" w:sz="4" w:space="0"/>
            </w:tcBorders>
            <w:noWrap w:val="0"/>
            <w:vAlign w:val="center"/>
          </w:tcPr>
          <w:p>
            <w:pPr>
              <w:spacing w:line="240" w:lineRule="exact"/>
              <w:jc w:val="center"/>
              <w:rPr>
                <w:rFonts w:hint="eastAsia"/>
                <w:sz w:val="18"/>
                <w:szCs w:val="18"/>
              </w:rPr>
            </w:pPr>
            <w:r>
              <w:rPr>
                <w:sz w:val="18"/>
                <w:szCs w:val="18"/>
              </w:rPr>
              <w:t>气箱脉冲袋</w:t>
            </w:r>
            <w:r>
              <w:rPr>
                <w:rFonts w:hint="eastAsia"/>
                <w:sz w:val="18"/>
                <w:szCs w:val="18"/>
              </w:rPr>
              <w:t>除</w:t>
            </w:r>
            <w:r>
              <w:rPr>
                <w:sz w:val="18"/>
                <w:szCs w:val="18"/>
              </w:rPr>
              <w:t>尘</w:t>
            </w:r>
            <w:r>
              <w:rPr>
                <w:rFonts w:hint="eastAsia"/>
                <w:sz w:val="18"/>
                <w:szCs w:val="18"/>
              </w:rPr>
              <w:t>（58）</w:t>
            </w:r>
          </w:p>
        </w:tc>
        <w:tc>
          <w:tcPr>
            <w:tcW w:w="2428" w:type="dxa"/>
            <w:noWrap w:val="0"/>
            <w:vAlign w:val="center"/>
          </w:tcPr>
          <w:p>
            <w:pPr>
              <w:spacing w:line="240" w:lineRule="exact"/>
              <w:jc w:val="center"/>
              <w:rPr>
                <w:rFonts w:hint="eastAsia"/>
                <w:sz w:val="18"/>
                <w:szCs w:val="18"/>
              </w:rPr>
            </w:pPr>
            <w:r>
              <w:rPr>
                <w:rFonts w:hint="eastAsia"/>
                <w:sz w:val="18"/>
                <w:szCs w:val="18"/>
              </w:rPr>
              <w:t>达标</w:t>
            </w:r>
          </w:p>
        </w:tc>
        <w:tc>
          <w:tcPr>
            <w:tcW w:w="1209" w:type="dxa"/>
            <w:tcBorders>
              <w:bottom w:val="single" w:color="auto" w:sz="4" w:space="0"/>
            </w:tcBorders>
            <w:noWrap w:val="0"/>
            <w:vAlign w:val="center"/>
          </w:tcPr>
          <w:p>
            <w:pPr>
              <w:spacing w:line="240" w:lineRule="exact"/>
              <w:jc w:val="center"/>
              <w:rPr>
                <w:rFonts w:hint="eastAsia"/>
                <w:sz w:val="18"/>
                <w:szCs w:val="18"/>
              </w:rPr>
            </w:pPr>
            <w:r>
              <w:rPr>
                <w:rFonts w:hint="eastAsia"/>
                <w:sz w:val="18"/>
                <w:szCs w:val="18"/>
              </w:rPr>
              <w:t>3060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continue"/>
            <w:noWrap w:val="0"/>
            <w:vAlign w:val="center"/>
          </w:tcPr>
          <w:p>
            <w:pPr>
              <w:spacing w:line="240" w:lineRule="exact"/>
              <w:jc w:val="center"/>
              <w:rPr>
                <w:rFonts w:hint="eastAsia"/>
                <w:sz w:val="18"/>
                <w:szCs w:val="18"/>
              </w:rPr>
            </w:pPr>
          </w:p>
        </w:tc>
        <w:tc>
          <w:tcPr>
            <w:tcW w:w="1972" w:type="dxa"/>
            <w:noWrap w:val="0"/>
            <w:vAlign w:val="center"/>
          </w:tcPr>
          <w:p>
            <w:pPr>
              <w:spacing w:line="240" w:lineRule="exact"/>
              <w:jc w:val="center"/>
              <w:rPr>
                <w:rFonts w:hint="eastAsia"/>
                <w:sz w:val="18"/>
                <w:szCs w:val="18"/>
              </w:rPr>
            </w:pPr>
            <w:r>
              <w:rPr>
                <w:rFonts w:hint="eastAsia"/>
                <w:sz w:val="18"/>
                <w:szCs w:val="18"/>
              </w:rPr>
              <w:t>无组织排放</w:t>
            </w:r>
          </w:p>
        </w:tc>
        <w:tc>
          <w:tcPr>
            <w:tcW w:w="2792" w:type="dxa"/>
            <w:tcBorders>
              <w:bottom w:val="single" w:color="auto" w:sz="4" w:space="0"/>
            </w:tcBorders>
            <w:noWrap w:val="0"/>
            <w:vAlign w:val="center"/>
          </w:tcPr>
          <w:p>
            <w:pPr>
              <w:spacing w:line="240" w:lineRule="exact"/>
              <w:ind w:left="-63" w:leftChars="-30" w:right="-63" w:rightChars="-30"/>
              <w:rPr>
                <w:rFonts w:hint="eastAsia"/>
                <w:sz w:val="18"/>
                <w:szCs w:val="18"/>
              </w:rPr>
            </w:pPr>
            <w:r>
              <w:rPr>
                <w:rFonts w:hint="eastAsia"/>
                <w:sz w:val="18"/>
                <w:szCs w:val="18"/>
              </w:rPr>
              <w:t>（1）石灰石、煤、硫酸渣、石膏等均要求采用堆棚储存。</w:t>
            </w:r>
          </w:p>
          <w:p>
            <w:pPr>
              <w:spacing w:line="240" w:lineRule="exact"/>
              <w:ind w:left="-63" w:leftChars="-30" w:right="-63" w:rightChars="-30"/>
              <w:rPr>
                <w:rFonts w:hint="eastAsia"/>
                <w:sz w:val="18"/>
                <w:szCs w:val="18"/>
              </w:rPr>
            </w:pPr>
            <w:r>
              <w:rPr>
                <w:rFonts w:hint="eastAsia"/>
                <w:sz w:val="18"/>
                <w:szCs w:val="18"/>
              </w:rPr>
              <w:t>（2）物料堆棚尽可能减少开敞面积，喷水降尘，以控制料棚粉尘无组织排放。</w:t>
            </w:r>
          </w:p>
          <w:p>
            <w:pPr>
              <w:spacing w:line="240" w:lineRule="exact"/>
              <w:rPr>
                <w:rFonts w:hint="eastAsia"/>
                <w:sz w:val="18"/>
                <w:szCs w:val="18"/>
              </w:rPr>
            </w:pPr>
            <w:r>
              <w:rPr>
                <w:rFonts w:hint="eastAsia"/>
                <w:sz w:val="18"/>
                <w:szCs w:val="18"/>
              </w:rPr>
              <w:t>（3）加强管理，以石灰石堆场为中心，设置200m的扬尘无组织排放卫生防护距离。在该范围内不得审批新建居民住宅区、学校、医院等敏感目标。</w:t>
            </w:r>
          </w:p>
        </w:tc>
        <w:tc>
          <w:tcPr>
            <w:tcW w:w="2428" w:type="dxa"/>
            <w:noWrap w:val="0"/>
            <w:vAlign w:val="center"/>
          </w:tcPr>
          <w:p>
            <w:pPr>
              <w:spacing w:line="240" w:lineRule="exact"/>
              <w:jc w:val="center"/>
              <w:rPr>
                <w:rFonts w:hint="eastAsia"/>
                <w:sz w:val="18"/>
                <w:szCs w:val="18"/>
              </w:rPr>
            </w:pPr>
            <w:r>
              <w:rPr>
                <w:rFonts w:hint="eastAsia"/>
                <w:sz w:val="18"/>
                <w:szCs w:val="18"/>
              </w:rPr>
              <w:t>尽可能减小无组织排放粉尘的污染影响影响，厂界达标</w:t>
            </w:r>
          </w:p>
        </w:tc>
        <w:tc>
          <w:tcPr>
            <w:tcW w:w="1209" w:type="dxa"/>
            <w:tcBorders>
              <w:bottom w:val="single" w:color="auto" w:sz="4" w:space="0"/>
            </w:tcBorders>
            <w:noWrap w:val="0"/>
            <w:vAlign w:val="center"/>
          </w:tcPr>
          <w:p>
            <w:pPr>
              <w:spacing w:line="240" w:lineRule="exact"/>
              <w:jc w:val="center"/>
              <w:rPr>
                <w:rFonts w:hint="eastAsia"/>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noWrap w:val="0"/>
            <w:vAlign w:val="center"/>
          </w:tcPr>
          <w:p>
            <w:pPr>
              <w:spacing w:line="240" w:lineRule="exact"/>
              <w:jc w:val="center"/>
              <w:rPr>
                <w:rFonts w:hint="eastAsia"/>
                <w:sz w:val="18"/>
                <w:szCs w:val="18"/>
              </w:rPr>
            </w:pPr>
            <w:r>
              <w:rPr>
                <w:rFonts w:hint="eastAsia"/>
                <w:sz w:val="18"/>
                <w:szCs w:val="18"/>
              </w:rPr>
              <w:t>废水治理</w:t>
            </w:r>
          </w:p>
        </w:tc>
        <w:tc>
          <w:tcPr>
            <w:tcW w:w="1972" w:type="dxa"/>
            <w:noWrap w:val="0"/>
            <w:vAlign w:val="center"/>
          </w:tcPr>
          <w:p>
            <w:pPr>
              <w:spacing w:line="240" w:lineRule="exact"/>
              <w:jc w:val="center"/>
              <w:rPr>
                <w:rFonts w:hint="eastAsia"/>
                <w:sz w:val="18"/>
                <w:szCs w:val="18"/>
              </w:rPr>
            </w:pPr>
            <w:r>
              <w:rPr>
                <w:rFonts w:hint="eastAsia"/>
                <w:sz w:val="18"/>
                <w:szCs w:val="18"/>
              </w:rPr>
              <w:t>污水处理系统</w:t>
            </w:r>
          </w:p>
        </w:tc>
        <w:tc>
          <w:tcPr>
            <w:tcW w:w="2792" w:type="dxa"/>
            <w:tcBorders>
              <w:bottom w:val="single" w:color="auto" w:sz="4" w:space="0"/>
            </w:tcBorders>
            <w:noWrap w:val="0"/>
            <w:vAlign w:val="center"/>
          </w:tcPr>
          <w:p>
            <w:pPr>
              <w:spacing w:line="300" w:lineRule="exact"/>
              <w:ind w:left="-63" w:leftChars="-30" w:right="-63" w:rightChars="-30"/>
              <w:rPr>
                <w:rFonts w:hint="eastAsia"/>
                <w:sz w:val="18"/>
                <w:szCs w:val="18"/>
              </w:rPr>
            </w:pPr>
            <w:r>
              <w:rPr>
                <w:rFonts w:hint="eastAsia"/>
                <w:sz w:val="18"/>
                <w:szCs w:val="18"/>
              </w:rPr>
              <w:t>采用生物接触氧化装置处理</w:t>
            </w:r>
            <w:r>
              <w:rPr>
                <w:rFonts w:hint="eastAsia" w:ascii="宋体" w:hAnsi="宋体"/>
                <w:sz w:val="18"/>
                <w:szCs w:val="18"/>
              </w:rPr>
              <w:t>，新建处理规模为60 m</w:t>
            </w:r>
            <w:r>
              <w:rPr>
                <w:rFonts w:hint="eastAsia" w:ascii="宋体" w:hAnsi="宋体"/>
                <w:sz w:val="18"/>
                <w:szCs w:val="18"/>
                <w:vertAlign w:val="superscript"/>
              </w:rPr>
              <w:t>3</w:t>
            </w:r>
            <w:r>
              <w:rPr>
                <w:rFonts w:hint="eastAsia" w:ascii="宋体" w:hAnsi="宋体"/>
                <w:sz w:val="18"/>
                <w:szCs w:val="18"/>
              </w:rPr>
              <w:t>/d的</w:t>
            </w:r>
            <w:r>
              <w:rPr>
                <w:rFonts w:hint="eastAsia"/>
                <w:sz w:val="18"/>
                <w:szCs w:val="18"/>
              </w:rPr>
              <w:t>生物接触氧化装置</w:t>
            </w:r>
            <w:r>
              <w:rPr>
                <w:rFonts w:hint="eastAsia" w:ascii="宋体" w:hAnsi="宋体"/>
                <w:sz w:val="18"/>
                <w:szCs w:val="18"/>
              </w:rPr>
              <w:t>。</w:t>
            </w:r>
          </w:p>
        </w:tc>
        <w:tc>
          <w:tcPr>
            <w:tcW w:w="2428" w:type="dxa"/>
            <w:noWrap w:val="0"/>
            <w:vAlign w:val="center"/>
          </w:tcPr>
          <w:p>
            <w:pPr>
              <w:spacing w:line="240" w:lineRule="exact"/>
              <w:rPr>
                <w:rFonts w:hint="eastAsia"/>
                <w:sz w:val="18"/>
                <w:szCs w:val="18"/>
              </w:rPr>
            </w:pPr>
            <w:r>
              <w:rPr>
                <w:rFonts w:hint="eastAsia"/>
                <w:sz w:val="18"/>
                <w:szCs w:val="18"/>
              </w:rPr>
              <w:t>废水处理达一级排放标准后排入厂区北侧北侧无名溪沟经玉石桥河最终汇入梁滩河。</w:t>
            </w:r>
          </w:p>
        </w:tc>
        <w:tc>
          <w:tcPr>
            <w:tcW w:w="1209" w:type="dxa"/>
            <w:tcBorders>
              <w:bottom w:val="single" w:color="auto" w:sz="4" w:space="0"/>
            </w:tcBorders>
            <w:noWrap w:val="0"/>
            <w:vAlign w:val="center"/>
          </w:tcPr>
          <w:p>
            <w:pPr>
              <w:spacing w:line="240" w:lineRule="exact"/>
              <w:jc w:val="center"/>
              <w:rPr>
                <w:rFonts w:hint="eastAsia"/>
                <w:sz w:val="18"/>
                <w:szCs w:val="18"/>
              </w:rPr>
            </w:pPr>
            <w:r>
              <w:rPr>
                <w:rFonts w:hint="eastAsia"/>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restart"/>
            <w:noWrap w:val="0"/>
            <w:vAlign w:val="center"/>
          </w:tcPr>
          <w:p>
            <w:pPr>
              <w:spacing w:line="240" w:lineRule="exact"/>
              <w:jc w:val="center"/>
              <w:rPr>
                <w:rFonts w:hint="eastAsia"/>
                <w:sz w:val="18"/>
                <w:szCs w:val="18"/>
              </w:rPr>
            </w:pPr>
            <w:r>
              <w:rPr>
                <w:rFonts w:hint="eastAsia"/>
                <w:sz w:val="18"/>
                <w:szCs w:val="18"/>
              </w:rPr>
              <w:t>固体废物处置</w:t>
            </w:r>
          </w:p>
        </w:tc>
        <w:tc>
          <w:tcPr>
            <w:tcW w:w="1972" w:type="dxa"/>
            <w:noWrap w:val="0"/>
            <w:vAlign w:val="center"/>
          </w:tcPr>
          <w:p>
            <w:pPr>
              <w:spacing w:line="240" w:lineRule="exact"/>
              <w:ind w:firstLine="420"/>
              <w:rPr>
                <w:rFonts w:hint="eastAsia"/>
                <w:sz w:val="18"/>
                <w:szCs w:val="18"/>
              </w:rPr>
            </w:pPr>
            <w:r>
              <w:rPr>
                <w:rFonts w:hint="eastAsia"/>
                <w:sz w:val="18"/>
                <w:szCs w:val="18"/>
              </w:rPr>
              <w:t>除尘灰</w:t>
            </w:r>
          </w:p>
        </w:tc>
        <w:tc>
          <w:tcPr>
            <w:tcW w:w="2792" w:type="dxa"/>
            <w:noWrap w:val="0"/>
            <w:vAlign w:val="center"/>
          </w:tcPr>
          <w:p>
            <w:pPr>
              <w:spacing w:line="240" w:lineRule="exact"/>
              <w:ind w:firstLine="90" w:firstLineChars="50"/>
              <w:rPr>
                <w:rFonts w:hint="eastAsia"/>
                <w:sz w:val="18"/>
                <w:szCs w:val="18"/>
              </w:rPr>
            </w:pPr>
            <w:r>
              <w:rPr>
                <w:rFonts w:hint="eastAsia"/>
                <w:sz w:val="18"/>
                <w:szCs w:val="18"/>
              </w:rPr>
              <w:t>收集后作生产原料回用或产品外售利用，不排放</w:t>
            </w:r>
          </w:p>
        </w:tc>
        <w:tc>
          <w:tcPr>
            <w:tcW w:w="2428" w:type="dxa"/>
            <w:vMerge w:val="restart"/>
            <w:noWrap w:val="0"/>
            <w:vAlign w:val="center"/>
          </w:tcPr>
          <w:p>
            <w:pPr>
              <w:spacing w:line="240" w:lineRule="exact"/>
              <w:jc w:val="center"/>
              <w:rPr>
                <w:rFonts w:hint="eastAsia" w:ascii="宋体" w:hAnsi="宋体"/>
                <w:sz w:val="18"/>
                <w:szCs w:val="18"/>
              </w:rPr>
            </w:pPr>
            <w:r>
              <w:rPr>
                <w:rFonts w:hint="eastAsia"/>
                <w:sz w:val="18"/>
                <w:szCs w:val="18"/>
              </w:rPr>
              <w:t>满足环保要求，防止二次污染</w:t>
            </w:r>
          </w:p>
        </w:tc>
        <w:tc>
          <w:tcPr>
            <w:tcW w:w="1209" w:type="dxa"/>
            <w:noWrap w:val="0"/>
            <w:vAlign w:val="center"/>
          </w:tcPr>
          <w:p>
            <w:pPr>
              <w:spacing w:line="240" w:lineRule="exact"/>
              <w:jc w:val="center"/>
              <w:rPr>
                <w:rFonts w:hint="eastAsia"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continue"/>
            <w:noWrap w:val="0"/>
            <w:vAlign w:val="center"/>
          </w:tcPr>
          <w:p>
            <w:pPr>
              <w:spacing w:line="240" w:lineRule="exact"/>
              <w:jc w:val="center"/>
              <w:rPr>
                <w:rFonts w:hint="eastAsia"/>
                <w:sz w:val="18"/>
                <w:szCs w:val="18"/>
              </w:rPr>
            </w:pPr>
          </w:p>
        </w:tc>
        <w:tc>
          <w:tcPr>
            <w:tcW w:w="1972" w:type="dxa"/>
            <w:noWrap w:val="0"/>
            <w:vAlign w:val="center"/>
          </w:tcPr>
          <w:p>
            <w:pPr>
              <w:spacing w:line="240" w:lineRule="exact"/>
              <w:rPr>
                <w:rFonts w:hint="eastAsia"/>
                <w:sz w:val="18"/>
                <w:szCs w:val="18"/>
              </w:rPr>
            </w:pPr>
            <w:r>
              <w:rPr>
                <w:rFonts w:hint="eastAsia"/>
                <w:sz w:val="18"/>
                <w:szCs w:val="18"/>
              </w:rPr>
              <w:t>生活污水污泥</w:t>
            </w:r>
          </w:p>
        </w:tc>
        <w:tc>
          <w:tcPr>
            <w:tcW w:w="2792" w:type="dxa"/>
            <w:noWrap w:val="0"/>
            <w:vAlign w:val="center"/>
          </w:tcPr>
          <w:p>
            <w:pPr>
              <w:spacing w:line="240" w:lineRule="exact"/>
              <w:ind w:firstLine="90" w:firstLineChars="50"/>
              <w:rPr>
                <w:rFonts w:hint="eastAsia"/>
                <w:sz w:val="18"/>
                <w:szCs w:val="18"/>
              </w:rPr>
            </w:pPr>
            <w:r>
              <w:rPr>
                <w:rFonts w:hint="eastAsia"/>
                <w:sz w:val="18"/>
                <w:szCs w:val="18"/>
              </w:rPr>
              <w:t>直接送水泥回转窑作水泥原料煅烧，不排放</w:t>
            </w:r>
          </w:p>
        </w:tc>
        <w:tc>
          <w:tcPr>
            <w:tcW w:w="2428" w:type="dxa"/>
            <w:vMerge w:val="continue"/>
            <w:noWrap w:val="0"/>
            <w:vAlign w:val="center"/>
          </w:tcPr>
          <w:p>
            <w:pPr>
              <w:spacing w:line="240" w:lineRule="exact"/>
              <w:jc w:val="center"/>
              <w:rPr>
                <w:rFonts w:hint="eastAsia" w:ascii="宋体" w:hAnsi="宋体"/>
                <w:sz w:val="18"/>
                <w:szCs w:val="18"/>
              </w:rPr>
            </w:pPr>
          </w:p>
        </w:tc>
        <w:tc>
          <w:tcPr>
            <w:tcW w:w="1209" w:type="dxa"/>
            <w:noWrap w:val="0"/>
            <w:vAlign w:val="center"/>
          </w:tcPr>
          <w:p>
            <w:pPr>
              <w:spacing w:line="240" w:lineRule="exact"/>
              <w:jc w:val="center"/>
              <w:rPr>
                <w:rFonts w:hint="eastAsia" w:ascii="宋体" w:hAnsi="宋体"/>
                <w:sz w:val="18"/>
                <w:szCs w:val="18"/>
              </w:rPr>
            </w:pP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continue"/>
            <w:noWrap w:val="0"/>
            <w:vAlign w:val="center"/>
          </w:tcPr>
          <w:p>
            <w:pPr>
              <w:spacing w:line="240" w:lineRule="exact"/>
              <w:jc w:val="center"/>
              <w:rPr>
                <w:rFonts w:hint="eastAsia"/>
                <w:sz w:val="18"/>
                <w:szCs w:val="18"/>
              </w:rPr>
            </w:pPr>
          </w:p>
        </w:tc>
        <w:tc>
          <w:tcPr>
            <w:tcW w:w="1972" w:type="dxa"/>
            <w:noWrap w:val="0"/>
            <w:vAlign w:val="center"/>
          </w:tcPr>
          <w:p>
            <w:pPr>
              <w:spacing w:line="240" w:lineRule="exact"/>
              <w:ind w:firstLine="420"/>
              <w:rPr>
                <w:rFonts w:hint="eastAsia"/>
                <w:sz w:val="18"/>
                <w:szCs w:val="18"/>
              </w:rPr>
            </w:pPr>
            <w:r>
              <w:rPr>
                <w:rFonts w:hint="eastAsia"/>
                <w:sz w:val="18"/>
                <w:szCs w:val="18"/>
              </w:rPr>
              <w:t>生活垃圾</w:t>
            </w:r>
          </w:p>
        </w:tc>
        <w:tc>
          <w:tcPr>
            <w:tcW w:w="2792" w:type="dxa"/>
            <w:noWrap w:val="0"/>
            <w:vAlign w:val="center"/>
          </w:tcPr>
          <w:p>
            <w:pPr>
              <w:spacing w:line="240" w:lineRule="exact"/>
              <w:ind w:firstLine="90" w:firstLineChars="50"/>
              <w:rPr>
                <w:rFonts w:hint="eastAsia"/>
                <w:sz w:val="18"/>
                <w:szCs w:val="18"/>
              </w:rPr>
            </w:pPr>
            <w:r>
              <w:rPr>
                <w:rFonts w:hint="eastAsia"/>
                <w:sz w:val="18"/>
                <w:szCs w:val="18"/>
              </w:rPr>
              <w:t>在厂区内设生活垃圾转运站，集中收集后，由青木关镇环卫部门送城市垃圾处理场卫生填埋，不排放</w:t>
            </w:r>
          </w:p>
        </w:tc>
        <w:tc>
          <w:tcPr>
            <w:tcW w:w="2428" w:type="dxa"/>
            <w:vMerge w:val="continue"/>
            <w:noWrap w:val="0"/>
            <w:vAlign w:val="center"/>
          </w:tcPr>
          <w:p>
            <w:pPr>
              <w:spacing w:line="240" w:lineRule="exact"/>
              <w:jc w:val="center"/>
              <w:rPr>
                <w:rFonts w:hint="eastAsia" w:ascii="宋体" w:hAnsi="宋体"/>
                <w:sz w:val="18"/>
                <w:szCs w:val="18"/>
              </w:rPr>
            </w:pPr>
          </w:p>
        </w:tc>
        <w:tc>
          <w:tcPr>
            <w:tcW w:w="1209" w:type="dxa"/>
            <w:noWrap w:val="0"/>
            <w:vAlign w:val="center"/>
          </w:tcPr>
          <w:p>
            <w:pPr>
              <w:spacing w:line="240" w:lineRule="exact"/>
              <w:jc w:val="center"/>
              <w:rPr>
                <w:rFonts w:hint="eastAsia" w:ascii="宋体" w:hAnsi="宋体"/>
                <w:sz w:val="18"/>
                <w:szCs w:val="18"/>
              </w:rPr>
            </w:pPr>
            <w:r>
              <w:rPr>
                <w:rFonts w:hint="eastAsia" w:ascii="宋体" w:hAnsi="宋体"/>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noWrap w:val="0"/>
            <w:vAlign w:val="center"/>
          </w:tcPr>
          <w:p>
            <w:pPr>
              <w:spacing w:line="280" w:lineRule="exact"/>
              <w:jc w:val="center"/>
              <w:rPr>
                <w:rFonts w:hint="eastAsia"/>
                <w:sz w:val="18"/>
                <w:szCs w:val="18"/>
              </w:rPr>
            </w:pPr>
            <w:r>
              <w:rPr>
                <w:rFonts w:hint="eastAsia"/>
                <w:sz w:val="18"/>
                <w:szCs w:val="18"/>
              </w:rPr>
              <w:t>噪声</w:t>
            </w:r>
          </w:p>
          <w:p>
            <w:pPr>
              <w:spacing w:line="280" w:lineRule="exact"/>
              <w:jc w:val="center"/>
              <w:rPr>
                <w:rFonts w:hint="eastAsia"/>
                <w:sz w:val="18"/>
                <w:szCs w:val="18"/>
              </w:rPr>
            </w:pPr>
            <w:r>
              <w:rPr>
                <w:rFonts w:hint="eastAsia"/>
                <w:sz w:val="18"/>
                <w:szCs w:val="18"/>
              </w:rPr>
              <w:t>治理</w:t>
            </w:r>
          </w:p>
        </w:tc>
        <w:tc>
          <w:tcPr>
            <w:tcW w:w="1972" w:type="dxa"/>
            <w:noWrap w:val="0"/>
            <w:vAlign w:val="center"/>
          </w:tcPr>
          <w:p>
            <w:pPr>
              <w:spacing w:line="240" w:lineRule="exact"/>
              <w:jc w:val="center"/>
              <w:rPr>
                <w:rFonts w:hint="eastAsia" w:ascii="宋体" w:hAnsi="宋体"/>
                <w:sz w:val="18"/>
                <w:szCs w:val="18"/>
              </w:rPr>
            </w:pPr>
            <w:r>
              <w:rPr>
                <w:rFonts w:hint="eastAsia" w:ascii="宋体" w:hAnsi="宋体"/>
                <w:sz w:val="18"/>
                <w:szCs w:val="18"/>
              </w:rPr>
              <w:t>机械设备</w:t>
            </w:r>
          </w:p>
          <w:p>
            <w:pPr>
              <w:spacing w:line="240" w:lineRule="exact"/>
              <w:jc w:val="center"/>
              <w:rPr>
                <w:rFonts w:hint="eastAsia" w:ascii="宋体" w:hAnsi="宋体"/>
                <w:sz w:val="18"/>
                <w:szCs w:val="18"/>
              </w:rPr>
            </w:pPr>
          </w:p>
        </w:tc>
        <w:tc>
          <w:tcPr>
            <w:tcW w:w="2792" w:type="dxa"/>
            <w:noWrap w:val="0"/>
            <w:vAlign w:val="center"/>
          </w:tcPr>
          <w:p>
            <w:pPr>
              <w:spacing w:line="240" w:lineRule="exact"/>
              <w:rPr>
                <w:rFonts w:hint="eastAsia"/>
                <w:sz w:val="18"/>
                <w:szCs w:val="18"/>
              </w:rPr>
            </w:pPr>
            <w:r>
              <w:rPr>
                <w:rFonts w:hint="eastAsia"/>
                <w:sz w:val="18"/>
                <w:szCs w:val="18"/>
              </w:rPr>
              <w:t>（1）隔声、消声、减振</w:t>
            </w:r>
          </w:p>
        </w:tc>
        <w:tc>
          <w:tcPr>
            <w:tcW w:w="2428" w:type="dxa"/>
            <w:noWrap w:val="0"/>
            <w:vAlign w:val="center"/>
          </w:tcPr>
          <w:p>
            <w:pPr>
              <w:spacing w:line="240" w:lineRule="exact"/>
              <w:jc w:val="center"/>
              <w:rPr>
                <w:rFonts w:hint="eastAsia"/>
                <w:sz w:val="18"/>
                <w:szCs w:val="18"/>
              </w:rPr>
            </w:pPr>
            <w:r>
              <w:rPr>
                <w:rFonts w:hint="eastAsia"/>
                <w:sz w:val="18"/>
                <w:szCs w:val="18"/>
              </w:rPr>
              <w:t>噪声不扰民</w:t>
            </w:r>
          </w:p>
        </w:tc>
        <w:tc>
          <w:tcPr>
            <w:tcW w:w="1209" w:type="dxa"/>
            <w:noWrap w:val="0"/>
            <w:vAlign w:val="center"/>
          </w:tcPr>
          <w:p>
            <w:pPr>
              <w:spacing w:line="240" w:lineRule="exact"/>
              <w:jc w:val="center"/>
              <w:rPr>
                <w:sz w:val="18"/>
                <w:szCs w:val="18"/>
              </w:rPr>
            </w:pPr>
            <w:r>
              <w:rPr>
                <w:rFonts w:hint="eastAsia"/>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636" w:type="dxa"/>
            <w:vMerge w:val="restart"/>
            <w:noWrap w:val="0"/>
            <w:vAlign w:val="center"/>
          </w:tcPr>
          <w:p>
            <w:pPr>
              <w:spacing w:line="280" w:lineRule="exact"/>
              <w:jc w:val="center"/>
              <w:rPr>
                <w:rFonts w:hint="eastAsia"/>
                <w:sz w:val="18"/>
                <w:szCs w:val="18"/>
              </w:rPr>
            </w:pPr>
            <w:r>
              <w:rPr>
                <w:rFonts w:hint="eastAsia"/>
                <w:sz w:val="18"/>
                <w:szCs w:val="18"/>
              </w:rPr>
              <w:t>环境</w:t>
            </w:r>
          </w:p>
          <w:p>
            <w:pPr>
              <w:spacing w:line="280" w:lineRule="exact"/>
              <w:jc w:val="center"/>
              <w:rPr>
                <w:rFonts w:hint="eastAsia"/>
                <w:sz w:val="18"/>
                <w:szCs w:val="18"/>
              </w:rPr>
            </w:pPr>
            <w:r>
              <w:rPr>
                <w:rFonts w:hint="eastAsia"/>
                <w:sz w:val="18"/>
                <w:szCs w:val="18"/>
              </w:rPr>
              <w:t>监测</w:t>
            </w:r>
          </w:p>
        </w:tc>
        <w:tc>
          <w:tcPr>
            <w:tcW w:w="1972" w:type="dxa"/>
            <w:noWrap w:val="0"/>
            <w:vAlign w:val="center"/>
          </w:tcPr>
          <w:p>
            <w:pPr>
              <w:spacing w:line="240" w:lineRule="exact"/>
              <w:jc w:val="center"/>
              <w:rPr>
                <w:rFonts w:hint="eastAsia" w:ascii="宋体" w:hAnsi="宋体"/>
                <w:sz w:val="18"/>
                <w:szCs w:val="18"/>
              </w:rPr>
            </w:pPr>
            <w:r>
              <w:rPr>
                <w:rFonts w:hint="eastAsia" w:ascii="宋体" w:hAnsi="宋体"/>
                <w:sz w:val="18"/>
                <w:szCs w:val="18"/>
              </w:rPr>
              <w:t>监测常规设备</w:t>
            </w:r>
          </w:p>
        </w:tc>
        <w:tc>
          <w:tcPr>
            <w:tcW w:w="2792" w:type="dxa"/>
            <w:noWrap w:val="0"/>
            <w:vAlign w:val="center"/>
          </w:tcPr>
          <w:p>
            <w:pPr>
              <w:spacing w:line="240" w:lineRule="exact"/>
              <w:jc w:val="center"/>
              <w:rPr>
                <w:rFonts w:hint="eastAsia"/>
                <w:sz w:val="18"/>
                <w:szCs w:val="18"/>
              </w:rPr>
            </w:pP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continue"/>
            <w:noWrap w:val="0"/>
            <w:vAlign w:val="center"/>
          </w:tcPr>
          <w:p>
            <w:pPr>
              <w:spacing w:line="280" w:lineRule="exact"/>
              <w:jc w:val="center"/>
              <w:rPr>
                <w:rFonts w:hint="eastAsia"/>
                <w:sz w:val="18"/>
                <w:szCs w:val="18"/>
              </w:rPr>
            </w:pPr>
          </w:p>
        </w:tc>
        <w:tc>
          <w:tcPr>
            <w:tcW w:w="1972" w:type="dxa"/>
            <w:noWrap w:val="0"/>
            <w:vAlign w:val="center"/>
          </w:tcPr>
          <w:p>
            <w:pPr>
              <w:spacing w:line="240" w:lineRule="exact"/>
              <w:jc w:val="center"/>
              <w:rPr>
                <w:rFonts w:hint="eastAsia" w:ascii="宋体" w:hAnsi="宋体"/>
                <w:sz w:val="18"/>
                <w:szCs w:val="18"/>
              </w:rPr>
            </w:pPr>
            <w:r>
              <w:rPr>
                <w:rFonts w:ascii="宋体" w:hAnsi="宋体"/>
                <w:sz w:val="18"/>
                <w:szCs w:val="18"/>
              </w:rPr>
              <w:t>窑尾</w:t>
            </w:r>
            <w:r>
              <w:rPr>
                <w:rFonts w:hint="eastAsia" w:ascii="宋体" w:hAnsi="宋体"/>
                <w:sz w:val="18"/>
                <w:szCs w:val="18"/>
              </w:rPr>
              <w:t>、窑头</w:t>
            </w:r>
            <w:r>
              <w:rPr>
                <w:rFonts w:ascii="宋体" w:hAnsi="宋体"/>
                <w:sz w:val="18"/>
                <w:szCs w:val="18"/>
              </w:rPr>
              <w:t>废气</w:t>
            </w:r>
            <w:r>
              <w:rPr>
                <w:rFonts w:hint="eastAsia" w:ascii="宋体" w:hAnsi="宋体"/>
                <w:sz w:val="18"/>
                <w:szCs w:val="18"/>
              </w:rPr>
              <w:t>在线监测</w:t>
            </w:r>
          </w:p>
        </w:tc>
        <w:tc>
          <w:tcPr>
            <w:tcW w:w="2792" w:type="dxa"/>
            <w:noWrap w:val="0"/>
            <w:vAlign w:val="center"/>
          </w:tcPr>
          <w:p>
            <w:pPr>
              <w:spacing w:line="240" w:lineRule="exact"/>
              <w:jc w:val="center"/>
              <w:rPr>
                <w:rFonts w:hint="eastAsia"/>
                <w:sz w:val="18"/>
                <w:szCs w:val="18"/>
              </w:rPr>
            </w:pP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vMerge w:val="continue"/>
            <w:noWrap w:val="0"/>
            <w:vAlign w:val="center"/>
          </w:tcPr>
          <w:p>
            <w:pPr>
              <w:spacing w:line="280" w:lineRule="exact"/>
              <w:jc w:val="center"/>
              <w:rPr>
                <w:rFonts w:hint="eastAsia"/>
                <w:sz w:val="18"/>
                <w:szCs w:val="18"/>
              </w:rPr>
            </w:pPr>
          </w:p>
        </w:tc>
        <w:tc>
          <w:tcPr>
            <w:tcW w:w="1972" w:type="dxa"/>
            <w:noWrap w:val="0"/>
            <w:vAlign w:val="center"/>
          </w:tcPr>
          <w:p>
            <w:pPr>
              <w:spacing w:line="240" w:lineRule="exact"/>
              <w:jc w:val="center"/>
              <w:rPr>
                <w:rFonts w:hint="eastAsia" w:ascii="宋体" w:hAnsi="宋体"/>
                <w:sz w:val="18"/>
                <w:szCs w:val="18"/>
              </w:rPr>
            </w:pPr>
            <w:r>
              <w:rPr>
                <w:rFonts w:hint="eastAsia" w:ascii="宋体" w:hAnsi="宋体"/>
                <w:sz w:val="18"/>
                <w:szCs w:val="18"/>
              </w:rPr>
              <w:t>环保设施“三同时”竣工验收监测费用</w:t>
            </w:r>
          </w:p>
        </w:tc>
        <w:tc>
          <w:tcPr>
            <w:tcW w:w="2792" w:type="dxa"/>
            <w:noWrap w:val="0"/>
            <w:vAlign w:val="center"/>
          </w:tcPr>
          <w:p>
            <w:pPr>
              <w:spacing w:line="240" w:lineRule="exact"/>
              <w:jc w:val="center"/>
              <w:rPr>
                <w:rFonts w:hint="eastAsia"/>
                <w:sz w:val="18"/>
                <w:szCs w:val="18"/>
              </w:rPr>
            </w:pP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noWrap w:val="0"/>
            <w:vAlign w:val="center"/>
          </w:tcPr>
          <w:p>
            <w:pPr>
              <w:spacing w:line="280" w:lineRule="exact"/>
              <w:jc w:val="center"/>
              <w:rPr>
                <w:rFonts w:hint="eastAsia"/>
                <w:sz w:val="18"/>
                <w:szCs w:val="18"/>
              </w:rPr>
            </w:pPr>
            <w:r>
              <w:rPr>
                <w:rFonts w:hint="eastAsia" w:ascii="宋体" w:hAnsi="宋体"/>
                <w:sz w:val="18"/>
                <w:szCs w:val="18"/>
              </w:rPr>
              <w:t>厂区绿化</w:t>
            </w:r>
          </w:p>
        </w:tc>
        <w:tc>
          <w:tcPr>
            <w:tcW w:w="1972" w:type="dxa"/>
            <w:noWrap w:val="0"/>
            <w:vAlign w:val="center"/>
          </w:tcPr>
          <w:p>
            <w:pPr>
              <w:spacing w:line="240" w:lineRule="exact"/>
              <w:jc w:val="center"/>
              <w:rPr>
                <w:rFonts w:hint="eastAsia" w:ascii="宋体" w:hAnsi="宋体"/>
                <w:sz w:val="18"/>
                <w:szCs w:val="18"/>
              </w:rPr>
            </w:pPr>
          </w:p>
        </w:tc>
        <w:tc>
          <w:tcPr>
            <w:tcW w:w="2792" w:type="dxa"/>
            <w:noWrap w:val="0"/>
            <w:vAlign w:val="center"/>
          </w:tcPr>
          <w:p>
            <w:pPr>
              <w:spacing w:line="240" w:lineRule="exact"/>
              <w:jc w:val="center"/>
              <w:rPr>
                <w:rFonts w:hint="eastAsia"/>
                <w:sz w:val="18"/>
                <w:szCs w:val="18"/>
              </w:rPr>
            </w:pP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36" w:type="dxa"/>
            <w:noWrap w:val="0"/>
            <w:vAlign w:val="center"/>
          </w:tcPr>
          <w:p>
            <w:pPr>
              <w:spacing w:line="300" w:lineRule="exact"/>
              <w:ind w:left="-63" w:leftChars="-30" w:right="-63" w:rightChars="-30"/>
              <w:jc w:val="center"/>
              <w:rPr>
                <w:rFonts w:hint="eastAsia"/>
                <w:sz w:val="18"/>
                <w:szCs w:val="18"/>
              </w:rPr>
            </w:pPr>
            <w:r>
              <w:rPr>
                <w:rFonts w:hint="eastAsia"/>
                <w:sz w:val="18"/>
                <w:szCs w:val="18"/>
              </w:rPr>
              <w:t>施</w:t>
            </w:r>
          </w:p>
          <w:p>
            <w:pPr>
              <w:spacing w:line="300" w:lineRule="exact"/>
              <w:ind w:left="-63" w:leftChars="-30" w:right="-63" w:rightChars="-30"/>
              <w:jc w:val="center"/>
              <w:rPr>
                <w:rFonts w:hint="eastAsia"/>
                <w:sz w:val="18"/>
                <w:szCs w:val="18"/>
              </w:rPr>
            </w:pPr>
            <w:r>
              <w:rPr>
                <w:rFonts w:hint="eastAsia"/>
                <w:sz w:val="18"/>
                <w:szCs w:val="18"/>
              </w:rPr>
              <w:t>工</w:t>
            </w:r>
          </w:p>
          <w:p>
            <w:pPr>
              <w:spacing w:line="280" w:lineRule="exact"/>
              <w:jc w:val="center"/>
              <w:rPr>
                <w:rFonts w:hint="eastAsia"/>
                <w:sz w:val="18"/>
                <w:szCs w:val="18"/>
              </w:rPr>
            </w:pPr>
            <w:r>
              <w:rPr>
                <w:rFonts w:hint="eastAsia"/>
                <w:sz w:val="18"/>
                <w:szCs w:val="18"/>
              </w:rPr>
              <w:t>期</w:t>
            </w:r>
          </w:p>
        </w:tc>
        <w:tc>
          <w:tcPr>
            <w:tcW w:w="1972" w:type="dxa"/>
            <w:noWrap w:val="0"/>
            <w:vAlign w:val="center"/>
          </w:tcPr>
          <w:p>
            <w:pPr>
              <w:spacing w:line="240" w:lineRule="exact"/>
              <w:jc w:val="center"/>
              <w:rPr>
                <w:rFonts w:hint="eastAsia" w:ascii="宋体" w:hAnsi="宋体"/>
                <w:sz w:val="18"/>
                <w:szCs w:val="18"/>
              </w:rPr>
            </w:pPr>
            <w:r>
              <w:rPr>
                <w:rFonts w:hint="eastAsia"/>
                <w:sz w:val="18"/>
                <w:szCs w:val="18"/>
              </w:rPr>
              <w:t>废水、扬尘、噪声防治措施、生态恢复措施</w:t>
            </w:r>
          </w:p>
        </w:tc>
        <w:tc>
          <w:tcPr>
            <w:tcW w:w="2792" w:type="dxa"/>
            <w:noWrap w:val="0"/>
            <w:vAlign w:val="center"/>
          </w:tcPr>
          <w:p>
            <w:pPr>
              <w:spacing w:line="300" w:lineRule="exact"/>
              <w:ind w:left="-63" w:leftChars="-30" w:right="-63" w:rightChars="-30" w:firstLine="90" w:firstLineChars="50"/>
              <w:rPr>
                <w:rFonts w:hint="eastAsia"/>
                <w:sz w:val="18"/>
                <w:szCs w:val="18"/>
              </w:rPr>
            </w:pPr>
            <w:r>
              <w:rPr>
                <w:rFonts w:hint="eastAsia"/>
                <w:sz w:val="18"/>
                <w:szCs w:val="18"/>
              </w:rPr>
              <w:t>加强管理，洒水降尘，及时清扫路面尘土；禁止夜间施工；废水沉淀处理后尽量回用；妥善处理弃土；生态恢复和水保措施。</w:t>
            </w: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2608" w:type="dxa"/>
            <w:gridSpan w:val="2"/>
            <w:noWrap w:val="0"/>
            <w:vAlign w:val="center"/>
          </w:tcPr>
          <w:p>
            <w:pPr>
              <w:spacing w:line="240" w:lineRule="exact"/>
              <w:jc w:val="center"/>
              <w:rPr>
                <w:rFonts w:hint="eastAsia" w:ascii="宋体" w:hAnsi="宋体"/>
                <w:sz w:val="18"/>
                <w:szCs w:val="18"/>
              </w:rPr>
            </w:pPr>
            <w:r>
              <w:rPr>
                <w:rFonts w:hint="eastAsia" w:ascii="宋体" w:hAnsi="宋体"/>
                <w:sz w:val="18"/>
                <w:szCs w:val="18"/>
              </w:rPr>
              <w:t>合计</w:t>
            </w:r>
          </w:p>
        </w:tc>
        <w:tc>
          <w:tcPr>
            <w:tcW w:w="2792" w:type="dxa"/>
            <w:noWrap w:val="0"/>
            <w:vAlign w:val="center"/>
          </w:tcPr>
          <w:p>
            <w:pPr>
              <w:spacing w:line="240" w:lineRule="exact"/>
              <w:jc w:val="center"/>
              <w:rPr>
                <w:rFonts w:hint="eastAsia"/>
                <w:sz w:val="18"/>
                <w:szCs w:val="18"/>
              </w:rPr>
            </w:pPr>
          </w:p>
        </w:tc>
        <w:tc>
          <w:tcPr>
            <w:tcW w:w="2428" w:type="dxa"/>
            <w:noWrap w:val="0"/>
            <w:vAlign w:val="center"/>
          </w:tcPr>
          <w:p>
            <w:pPr>
              <w:spacing w:line="240" w:lineRule="exact"/>
              <w:jc w:val="center"/>
              <w:rPr>
                <w:rFonts w:hint="eastAsia"/>
                <w:sz w:val="18"/>
                <w:szCs w:val="18"/>
              </w:rPr>
            </w:pPr>
          </w:p>
        </w:tc>
        <w:tc>
          <w:tcPr>
            <w:tcW w:w="1209" w:type="dxa"/>
            <w:noWrap w:val="0"/>
            <w:vAlign w:val="center"/>
          </w:tcPr>
          <w:p>
            <w:pPr>
              <w:spacing w:line="240" w:lineRule="exact"/>
              <w:jc w:val="center"/>
              <w:rPr>
                <w:rFonts w:hint="eastAsia"/>
                <w:sz w:val="18"/>
                <w:szCs w:val="18"/>
              </w:rPr>
            </w:pPr>
            <w:r>
              <w:rPr>
                <w:rFonts w:hint="eastAsia"/>
                <w:sz w:val="18"/>
                <w:szCs w:val="18"/>
              </w:rPr>
              <w:t>3490</w:t>
            </w:r>
          </w:p>
        </w:tc>
      </w:tr>
    </w:tbl>
    <w:p>
      <w:pPr>
        <w:spacing w:before="120" w:beforeLines="50" w:line="280" w:lineRule="exact"/>
        <w:ind w:firstLine="420" w:firstLineChars="200"/>
        <w:rPr>
          <w:rFonts w:hint="eastAsia"/>
        </w:rPr>
      </w:pPr>
    </w:p>
    <w:p>
      <w:pPr>
        <w:spacing w:before="120" w:beforeLines="50" w:line="280" w:lineRule="exact"/>
        <w:ind w:firstLine="420" w:firstLineChars="200"/>
        <w:rPr>
          <w:rFonts w:hint="eastAsia"/>
        </w:rPr>
      </w:pPr>
      <w:r>
        <w:rPr>
          <w:rFonts w:hint="eastAsia"/>
        </w:rPr>
        <w:t>该表同时可作为技改项目环保设施“三同时”检查表。</w:t>
      </w:r>
    </w:p>
    <w:p>
      <w:pPr>
        <w:spacing w:line="280" w:lineRule="exact"/>
        <w:ind w:firstLine="1446" w:firstLineChars="686"/>
        <w:rPr>
          <w:rFonts w:hint="eastAsia"/>
          <w:b/>
        </w:rPr>
      </w:pPr>
    </w:p>
    <w:p>
      <w:pPr>
        <w:spacing w:line="280" w:lineRule="exact"/>
        <w:ind w:firstLine="1446" w:firstLineChars="686"/>
        <w:rPr>
          <w:rFonts w:hint="eastAsia"/>
          <w:b/>
        </w:rPr>
      </w:pPr>
    </w:p>
    <w:p>
      <w:pPr>
        <w:spacing w:line="280" w:lineRule="exact"/>
        <w:jc w:val="center"/>
        <w:rPr>
          <w:rFonts w:hint="eastAsia"/>
          <w:b/>
        </w:rPr>
      </w:pPr>
    </w:p>
    <w:p>
      <w:pPr>
        <w:spacing w:line="480" w:lineRule="exact"/>
        <w:outlineLvl w:val="0"/>
        <w:rPr>
          <w:b/>
          <w:sz w:val="28"/>
          <w:szCs w:val="28"/>
        </w:rPr>
        <w:sectPr>
          <w:pgSz w:w="11906" w:h="16838"/>
          <w:pgMar w:top="1440" w:right="1418" w:bottom="1440" w:left="1418" w:header="851" w:footer="992" w:gutter="0"/>
          <w:paperSrc w:first="20070" w:other="20070"/>
          <w:cols w:space="425" w:num="1"/>
          <w:docGrid w:linePitch="312" w:charSpace="0"/>
        </w:sectPr>
      </w:pPr>
      <w:bookmarkStart w:id="413" w:name="_Toc150759732"/>
      <w:bookmarkStart w:id="414" w:name="_Toc473281548"/>
      <w:bookmarkStart w:id="415" w:name="_Toc176686214"/>
      <w:bookmarkStart w:id="416" w:name="_Toc155859835"/>
      <w:bookmarkStart w:id="417" w:name="_Toc176784787"/>
      <w:bookmarkStart w:id="418" w:name="_Toc189814191"/>
    </w:p>
    <w:p>
      <w:pPr>
        <w:spacing w:line="480" w:lineRule="exact"/>
        <w:outlineLvl w:val="0"/>
        <w:rPr>
          <w:rFonts w:hint="eastAsia"/>
          <w:b/>
          <w:sz w:val="28"/>
          <w:szCs w:val="28"/>
        </w:rPr>
      </w:pPr>
      <w:bookmarkStart w:id="419" w:name="_Toc276372270"/>
      <w:r>
        <w:rPr>
          <w:rFonts w:hint="eastAsia"/>
          <w:b/>
          <w:sz w:val="28"/>
          <w:szCs w:val="28"/>
        </w:rPr>
        <w:t>11 环境影响经济损益分析</w:t>
      </w:r>
      <w:bookmarkEnd w:id="413"/>
      <w:bookmarkEnd w:id="414"/>
      <w:bookmarkEnd w:id="415"/>
      <w:bookmarkEnd w:id="416"/>
      <w:bookmarkEnd w:id="417"/>
      <w:bookmarkEnd w:id="418"/>
      <w:bookmarkEnd w:id="419"/>
    </w:p>
    <w:p>
      <w:pPr>
        <w:spacing w:line="480" w:lineRule="exact"/>
        <w:outlineLvl w:val="1"/>
        <w:rPr>
          <w:rFonts w:hint="eastAsia"/>
          <w:b/>
          <w:szCs w:val="20"/>
        </w:rPr>
      </w:pPr>
      <w:bookmarkStart w:id="420" w:name="_Toc155859837"/>
      <w:bookmarkStart w:id="421" w:name="_Toc150759734"/>
      <w:bookmarkStart w:id="422" w:name="_Toc176686216"/>
      <w:bookmarkStart w:id="423" w:name="_Toc176784789"/>
      <w:bookmarkStart w:id="424" w:name="_Toc189814193"/>
      <w:bookmarkStart w:id="425" w:name="_Toc473281550"/>
      <w:bookmarkStart w:id="426" w:name="_Toc276372271"/>
      <w:r>
        <w:rPr>
          <w:rFonts w:hint="eastAsia"/>
          <w:b/>
          <w:szCs w:val="20"/>
        </w:rPr>
        <w:t>11.1环境经济损益分析</w:t>
      </w:r>
      <w:bookmarkEnd w:id="420"/>
      <w:bookmarkEnd w:id="421"/>
      <w:bookmarkEnd w:id="422"/>
      <w:bookmarkEnd w:id="423"/>
      <w:bookmarkEnd w:id="424"/>
      <w:bookmarkEnd w:id="425"/>
      <w:bookmarkEnd w:id="426"/>
    </w:p>
    <w:p>
      <w:pPr>
        <w:spacing w:line="480" w:lineRule="exact"/>
        <w:rPr>
          <w:rFonts w:hint="eastAsia"/>
          <w:b/>
          <w:bCs/>
          <w:szCs w:val="20"/>
        </w:rPr>
      </w:pPr>
      <w:bookmarkStart w:id="427" w:name="_Toc155859838"/>
      <w:r>
        <w:rPr>
          <w:rFonts w:hint="eastAsia"/>
          <w:b/>
          <w:bCs/>
          <w:szCs w:val="20"/>
        </w:rPr>
        <w:t>11.1.1 环境保护费用</w:t>
      </w:r>
      <w:bookmarkEnd w:id="427"/>
    </w:p>
    <w:p>
      <w:pPr>
        <w:pStyle w:val="13"/>
        <w:spacing w:line="480" w:lineRule="exact"/>
        <w:ind w:left="0" w:firstLine="360" w:firstLineChars="150"/>
        <w:rPr>
          <w:rFonts w:hint="eastAsia"/>
          <w:sz w:val="24"/>
        </w:rPr>
      </w:pPr>
      <w:r>
        <w:rPr>
          <w:rFonts w:hint="eastAsia"/>
          <w:sz w:val="24"/>
        </w:rPr>
        <w:t>环境保护费用主要包括技改项目的环保投资和环保设施运行维护费用之和。</w:t>
      </w:r>
    </w:p>
    <w:p>
      <w:pPr>
        <w:spacing w:line="480" w:lineRule="exact"/>
        <w:ind w:firstLine="420" w:firstLineChars="200"/>
        <w:rPr>
          <w:rFonts w:hint="eastAsia" w:ascii="宋体" w:hAnsi="宋体"/>
          <w:bCs/>
        </w:rPr>
      </w:pPr>
      <w:r>
        <w:rPr>
          <w:rFonts w:hint="eastAsia" w:ascii="宋体" w:hAnsi="宋体"/>
          <w:bCs/>
        </w:rPr>
        <w:t>（1）环保投资</w:t>
      </w:r>
    </w:p>
    <w:p>
      <w:pPr>
        <w:spacing w:line="480" w:lineRule="exact"/>
        <w:ind w:firstLine="420" w:firstLineChars="200"/>
        <w:rPr>
          <w:rFonts w:hint="eastAsia" w:ascii="宋体" w:hAnsi="宋体"/>
        </w:rPr>
      </w:pPr>
      <w:r>
        <w:rPr>
          <w:rFonts w:hint="eastAsia"/>
        </w:rPr>
        <w:t>技改项目环保总投资为3490万元，占项目总投资的9.1％</w:t>
      </w:r>
      <w:r>
        <w:rPr>
          <w:rFonts w:hint="eastAsia" w:ascii="宋体" w:hAnsi="宋体"/>
          <w:snapToGrid w:val="0"/>
          <w:kern w:val="0"/>
        </w:rPr>
        <w:t>，</w:t>
      </w:r>
      <w:r>
        <w:rPr>
          <w:rFonts w:hint="eastAsia" w:ascii="宋体" w:hAnsi="宋体"/>
        </w:rPr>
        <w:t>主要用于水泥粉尘、生产废水、设备噪声治理和厂区绿化。</w:t>
      </w:r>
    </w:p>
    <w:p>
      <w:pPr>
        <w:spacing w:line="480" w:lineRule="exact"/>
        <w:ind w:firstLine="420" w:firstLineChars="200"/>
        <w:rPr>
          <w:rFonts w:hint="eastAsia" w:ascii="宋体" w:hAnsi="宋体"/>
        </w:rPr>
      </w:pPr>
      <w:r>
        <w:rPr>
          <w:rFonts w:hint="eastAsia" w:ascii="宋体" w:hAnsi="宋体"/>
        </w:rPr>
        <w:t>按10年的环保设施使用年限计算，则环保投资为349万元／</w:t>
      </w:r>
      <w:r>
        <w:rPr>
          <w:rFonts w:ascii="宋体" w:hAnsi="宋体"/>
        </w:rPr>
        <w:t>a</w:t>
      </w:r>
      <w:r>
        <w:rPr>
          <w:rFonts w:hint="eastAsia" w:ascii="宋体" w:hAnsi="宋体"/>
        </w:rPr>
        <w:t>。</w:t>
      </w:r>
    </w:p>
    <w:p>
      <w:pPr>
        <w:spacing w:line="480" w:lineRule="exact"/>
        <w:ind w:firstLine="420" w:firstLineChars="200"/>
        <w:rPr>
          <w:rFonts w:hint="eastAsia" w:ascii="宋体" w:hAnsi="宋体"/>
          <w:bCs/>
        </w:rPr>
      </w:pPr>
      <w:r>
        <w:rPr>
          <w:rFonts w:hint="eastAsia" w:ascii="宋体" w:hAnsi="宋体"/>
          <w:bCs/>
        </w:rPr>
        <w:t>（2）运行维护费用</w:t>
      </w:r>
    </w:p>
    <w:p>
      <w:pPr>
        <w:spacing w:line="480" w:lineRule="exact"/>
        <w:ind w:firstLine="420" w:firstLineChars="200"/>
        <w:rPr>
          <w:rFonts w:hint="eastAsia" w:ascii="宋体" w:hAnsi="宋体"/>
        </w:rPr>
      </w:pPr>
      <w:r>
        <w:rPr>
          <w:rFonts w:hint="eastAsia" w:ascii="宋体" w:hAnsi="宋体"/>
        </w:rPr>
        <w:t>运行费用是为充分保障环保设施的效率、维持其正常运行而发生的费用，主要包括人工费、水电费、药剂费、维护费、设备折旧费等，按一次性投资费用的12%估算，技改项目投运后，环保设施运行费用约为418.8万元／</w:t>
      </w:r>
      <w:r>
        <w:rPr>
          <w:rFonts w:ascii="宋体" w:hAnsi="宋体"/>
        </w:rPr>
        <w:t>a</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通过以上环保投资和运行费用估算，环保费用为767.8万元／</w:t>
      </w:r>
      <w:r>
        <w:rPr>
          <w:rFonts w:ascii="宋体" w:hAnsi="宋体"/>
        </w:rPr>
        <w:t>a</w:t>
      </w:r>
      <w:r>
        <w:rPr>
          <w:rFonts w:hint="eastAsia" w:ascii="宋体" w:hAnsi="宋体"/>
        </w:rPr>
        <w:t>。</w:t>
      </w:r>
    </w:p>
    <w:p>
      <w:pPr>
        <w:spacing w:line="480" w:lineRule="exact"/>
        <w:rPr>
          <w:rFonts w:hint="eastAsia"/>
          <w:b/>
          <w:bCs/>
          <w:szCs w:val="20"/>
        </w:rPr>
      </w:pPr>
      <w:bookmarkStart w:id="428" w:name="_Toc150759735"/>
      <w:bookmarkStart w:id="429" w:name="_Toc155859839"/>
      <w:r>
        <w:rPr>
          <w:rFonts w:hint="eastAsia"/>
          <w:b/>
          <w:bCs/>
          <w:szCs w:val="20"/>
        </w:rPr>
        <w:t>11.1</w:t>
      </w:r>
      <w:r>
        <w:rPr>
          <w:b/>
          <w:bCs/>
          <w:szCs w:val="20"/>
        </w:rPr>
        <w:t>.2</w:t>
      </w:r>
      <w:r>
        <w:rPr>
          <w:rFonts w:hint="eastAsia"/>
          <w:b/>
          <w:bCs/>
          <w:szCs w:val="20"/>
        </w:rPr>
        <w:t xml:space="preserve"> 效益指标</w:t>
      </w:r>
      <w:bookmarkEnd w:id="428"/>
      <w:bookmarkEnd w:id="429"/>
    </w:p>
    <w:p>
      <w:pPr>
        <w:spacing w:line="480" w:lineRule="exact"/>
        <w:ind w:firstLine="420" w:firstLineChars="200"/>
        <w:rPr>
          <w:rFonts w:hint="eastAsia" w:ascii="宋体" w:hAnsi="宋体"/>
        </w:rPr>
      </w:pPr>
      <w:r>
        <w:rPr>
          <w:rFonts w:hint="eastAsia" w:ascii="宋体" w:hAnsi="宋体"/>
        </w:rPr>
        <w:t>实施污染治理不仅可有效控制污染，在减少排放和加强回收的同时将带来一定的经济效益，体现于两方面：①直接经济效益，即废物回收利用所获得的经济效益；②间接经济效益，即环保措施实施后对环境、人群健康减少的损失和少缴纳的排污费。</w:t>
      </w:r>
    </w:p>
    <w:p>
      <w:pPr>
        <w:spacing w:line="480" w:lineRule="exact"/>
        <w:ind w:firstLine="210" w:firstLineChars="100"/>
        <w:rPr>
          <w:rFonts w:hint="eastAsia"/>
          <w:szCs w:val="20"/>
        </w:rPr>
      </w:pPr>
      <w:bookmarkStart w:id="430" w:name="_Toc222545656"/>
      <w:r>
        <w:rPr>
          <w:rFonts w:hint="eastAsia"/>
          <w:szCs w:val="20"/>
        </w:rPr>
        <w:t>（1）直接经济效益</w:t>
      </w:r>
      <w:bookmarkEnd w:id="430"/>
    </w:p>
    <w:p>
      <w:pPr>
        <w:spacing w:line="480" w:lineRule="exact"/>
        <w:ind w:firstLine="480"/>
        <w:rPr>
          <w:rFonts w:hint="eastAsia"/>
          <w:szCs w:val="20"/>
        </w:rPr>
      </w:pPr>
      <w:bookmarkStart w:id="431" w:name="_Toc222545657"/>
      <w:r>
        <w:rPr>
          <w:rFonts w:hint="eastAsia"/>
          <w:szCs w:val="20"/>
        </w:rPr>
        <w:t>水泥制造中粉尘是主要污染物，但是这些粉末本身就是资源、半成品和产品，收尘措施在减轻了大气污染的同时也回收了大量资源，可以获得可观的经济收益，见表11-1。</w:t>
      </w:r>
      <w:bookmarkEnd w:id="431"/>
    </w:p>
    <w:p>
      <w:pPr>
        <w:spacing w:line="480" w:lineRule="exact"/>
        <w:ind w:firstLine="480"/>
        <w:rPr>
          <w:rFonts w:hint="eastAsia"/>
          <w:szCs w:val="20"/>
        </w:rPr>
      </w:pPr>
      <w:bookmarkStart w:id="432" w:name="_Toc222545658"/>
      <w:r>
        <w:rPr>
          <w:rFonts w:hint="eastAsia"/>
          <w:szCs w:val="20"/>
        </w:rPr>
        <w:t>技改项目环保设施投资直接经济效益可达每年3092万元。</w:t>
      </w:r>
      <w:bookmarkEnd w:id="432"/>
    </w:p>
    <w:p>
      <w:pPr>
        <w:spacing w:line="480" w:lineRule="exact"/>
        <w:ind w:firstLine="480"/>
        <w:jc w:val="center"/>
        <w:rPr>
          <w:rFonts w:hint="eastAsia"/>
          <w:b/>
          <w:szCs w:val="20"/>
        </w:rPr>
      </w:pPr>
      <w:bookmarkStart w:id="433" w:name="_Toc222545659"/>
      <w:r>
        <w:rPr>
          <w:rFonts w:hint="eastAsia"/>
          <w:b/>
          <w:szCs w:val="20"/>
        </w:rPr>
        <w:t>表11-1 二线工程直接经济效益</w:t>
      </w:r>
      <w:bookmarkEnd w:id="433"/>
    </w:p>
    <w:tbl>
      <w:tblPr>
        <w:tblStyle w:val="2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2"/>
        <w:gridCol w:w="1129"/>
        <w:gridCol w:w="1129"/>
        <w:gridCol w:w="1129"/>
        <w:gridCol w:w="849"/>
        <w:gridCol w:w="1129"/>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noWrap w:val="0"/>
            <w:vAlign w:val="top"/>
          </w:tcPr>
          <w:p>
            <w:pPr>
              <w:spacing w:line="480" w:lineRule="exact"/>
              <w:rPr>
                <w:sz w:val="21"/>
                <w:szCs w:val="21"/>
              </w:rPr>
            </w:pPr>
          </w:p>
        </w:tc>
        <w:tc>
          <w:tcPr>
            <w:tcW w:w="1129" w:type="dxa"/>
            <w:noWrap w:val="0"/>
            <w:vAlign w:val="top"/>
          </w:tcPr>
          <w:p>
            <w:pPr>
              <w:spacing w:line="480" w:lineRule="exact"/>
              <w:rPr>
                <w:sz w:val="21"/>
                <w:szCs w:val="21"/>
              </w:rPr>
            </w:pPr>
            <w:bookmarkStart w:id="434" w:name="_Toc222545660"/>
            <w:r>
              <w:rPr>
                <w:sz w:val="21"/>
                <w:szCs w:val="21"/>
              </w:rPr>
              <w:t>原料尘</w:t>
            </w:r>
            <w:bookmarkEnd w:id="434"/>
          </w:p>
        </w:tc>
        <w:tc>
          <w:tcPr>
            <w:tcW w:w="1129" w:type="dxa"/>
            <w:noWrap w:val="0"/>
            <w:vAlign w:val="top"/>
          </w:tcPr>
          <w:p>
            <w:pPr>
              <w:spacing w:line="480" w:lineRule="exact"/>
              <w:rPr>
                <w:sz w:val="21"/>
                <w:szCs w:val="21"/>
              </w:rPr>
            </w:pPr>
            <w:bookmarkStart w:id="435" w:name="_Toc222545661"/>
            <w:r>
              <w:rPr>
                <w:sz w:val="21"/>
                <w:szCs w:val="21"/>
              </w:rPr>
              <w:t>生料尘</w:t>
            </w:r>
            <w:bookmarkEnd w:id="435"/>
          </w:p>
        </w:tc>
        <w:tc>
          <w:tcPr>
            <w:tcW w:w="1129" w:type="dxa"/>
            <w:noWrap w:val="0"/>
            <w:vAlign w:val="top"/>
          </w:tcPr>
          <w:p>
            <w:pPr>
              <w:spacing w:line="480" w:lineRule="exact"/>
              <w:rPr>
                <w:sz w:val="21"/>
                <w:szCs w:val="21"/>
              </w:rPr>
            </w:pPr>
            <w:bookmarkStart w:id="436" w:name="_Toc222545662"/>
            <w:r>
              <w:rPr>
                <w:sz w:val="21"/>
                <w:szCs w:val="21"/>
              </w:rPr>
              <w:t>熟料尘</w:t>
            </w:r>
            <w:bookmarkEnd w:id="436"/>
          </w:p>
        </w:tc>
        <w:tc>
          <w:tcPr>
            <w:tcW w:w="849" w:type="dxa"/>
            <w:noWrap w:val="0"/>
            <w:vAlign w:val="top"/>
          </w:tcPr>
          <w:p>
            <w:pPr>
              <w:spacing w:line="480" w:lineRule="exact"/>
              <w:rPr>
                <w:sz w:val="21"/>
                <w:szCs w:val="21"/>
              </w:rPr>
            </w:pPr>
            <w:bookmarkStart w:id="437" w:name="_Toc222545663"/>
            <w:r>
              <w:rPr>
                <w:sz w:val="21"/>
                <w:szCs w:val="21"/>
              </w:rPr>
              <w:t>煤尘</w:t>
            </w:r>
            <w:bookmarkEnd w:id="437"/>
          </w:p>
        </w:tc>
        <w:tc>
          <w:tcPr>
            <w:tcW w:w="1129" w:type="dxa"/>
            <w:noWrap w:val="0"/>
            <w:vAlign w:val="top"/>
          </w:tcPr>
          <w:p>
            <w:pPr>
              <w:spacing w:line="480" w:lineRule="exact"/>
              <w:rPr>
                <w:sz w:val="21"/>
                <w:szCs w:val="21"/>
              </w:rPr>
            </w:pPr>
            <w:bookmarkStart w:id="438" w:name="_Toc222545664"/>
            <w:r>
              <w:rPr>
                <w:sz w:val="21"/>
                <w:szCs w:val="21"/>
              </w:rPr>
              <w:t>水泥尘</w:t>
            </w:r>
            <w:bookmarkEnd w:id="438"/>
          </w:p>
        </w:tc>
        <w:tc>
          <w:tcPr>
            <w:tcW w:w="1189" w:type="dxa"/>
            <w:noWrap w:val="0"/>
            <w:vAlign w:val="top"/>
          </w:tcPr>
          <w:p>
            <w:pPr>
              <w:spacing w:line="480" w:lineRule="exact"/>
              <w:rPr>
                <w:sz w:val="21"/>
                <w:szCs w:val="21"/>
              </w:rPr>
            </w:pPr>
            <w:bookmarkStart w:id="439" w:name="_Toc222545665"/>
            <w:r>
              <w:rPr>
                <w:sz w:val="21"/>
                <w:szCs w:val="21"/>
              </w:rPr>
              <w:t>合计</w:t>
            </w:r>
            <w:bookmarkEnd w:id="4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noWrap w:val="0"/>
            <w:vAlign w:val="top"/>
          </w:tcPr>
          <w:p>
            <w:pPr>
              <w:spacing w:line="480" w:lineRule="exact"/>
              <w:rPr>
                <w:sz w:val="21"/>
                <w:szCs w:val="21"/>
              </w:rPr>
            </w:pPr>
            <w:bookmarkStart w:id="440" w:name="_Toc222545666"/>
            <w:r>
              <w:rPr>
                <w:sz w:val="21"/>
                <w:szCs w:val="21"/>
              </w:rPr>
              <w:t>回收量（万t/a）</w:t>
            </w:r>
            <w:bookmarkEnd w:id="440"/>
          </w:p>
        </w:tc>
        <w:tc>
          <w:tcPr>
            <w:tcW w:w="1129" w:type="dxa"/>
            <w:noWrap w:val="0"/>
            <w:vAlign w:val="top"/>
          </w:tcPr>
          <w:p>
            <w:pPr>
              <w:spacing w:line="480" w:lineRule="exact"/>
              <w:rPr>
                <w:sz w:val="21"/>
                <w:szCs w:val="21"/>
              </w:rPr>
            </w:pPr>
            <w:r>
              <w:rPr>
                <w:sz w:val="21"/>
                <w:szCs w:val="21"/>
              </w:rPr>
              <w:t>0.98</w:t>
            </w:r>
          </w:p>
        </w:tc>
        <w:tc>
          <w:tcPr>
            <w:tcW w:w="1129" w:type="dxa"/>
            <w:noWrap w:val="0"/>
            <w:vAlign w:val="top"/>
          </w:tcPr>
          <w:p>
            <w:pPr>
              <w:spacing w:line="480" w:lineRule="exact"/>
              <w:rPr>
                <w:sz w:val="21"/>
                <w:szCs w:val="21"/>
              </w:rPr>
            </w:pPr>
            <w:r>
              <w:rPr>
                <w:sz w:val="21"/>
                <w:szCs w:val="21"/>
              </w:rPr>
              <w:t>8.44</w:t>
            </w:r>
          </w:p>
        </w:tc>
        <w:tc>
          <w:tcPr>
            <w:tcW w:w="1129" w:type="dxa"/>
            <w:noWrap w:val="0"/>
            <w:vAlign w:val="top"/>
          </w:tcPr>
          <w:p>
            <w:pPr>
              <w:spacing w:line="480" w:lineRule="exact"/>
              <w:rPr>
                <w:sz w:val="21"/>
                <w:szCs w:val="21"/>
              </w:rPr>
            </w:pPr>
            <w:r>
              <w:rPr>
                <w:sz w:val="21"/>
                <w:szCs w:val="21"/>
              </w:rPr>
              <w:t>2.0</w:t>
            </w:r>
          </w:p>
        </w:tc>
        <w:tc>
          <w:tcPr>
            <w:tcW w:w="849" w:type="dxa"/>
            <w:noWrap w:val="0"/>
            <w:vAlign w:val="top"/>
          </w:tcPr>
          <w:p>
            <w:pPr>
              <w:spacing w:line="480" w:lineRule="exact"/>
              <w:rPr>
                <w:sz w:val="21"/>
                <w:szCs w:val="21"/>
              </w:rPr>
            </w:pPr>
            <w:r>
              <w:rPr>
                <w:sz w:val="21"/>
                <w:szCs w:val="21"/>
              </w:rPr>
              <w:t>0.72</w:t>
            </w:r>
          </w:p>
        </w:tc>
        <w:tc>
          <w:tcPr>
            <w:tcW w:w="1129" w:type="dxa"/>
            <w:noWrap w:val="0"/>
            <w:vAlign w:val="top"/>
          </w:tcPr>
          <w:p>
            <w:pPr>
              <w:spacing w:line="480" w:lineRule="exact"/>
              <w:rPr>
                <w:sz w:val="21"/>
                <w:szCs w:val="21"/>
              </w:rPr>
            </w:pPr>
            <w:r>
              <w:rPr>
                <w:sz w:val="21"/>
                <w:szCs w:val="21"/>
              </w:rPr>
              <w:t>6.21</w:t>
            </w:r>
          </w:p>
        </w:tc>
        <w:tc>
          <w:tcPr>
            <w:tcW w:w="1189" w:type="dxa"/>
            <w:noWrap w:val="0"/>
            <w:vAlign w:val="center"/>
          </w:tcPr>
          <w:p>
            <w:pPr>
              <w:rPr>
                <w:rFonts w:cs="宋体"/>
                <w:sz w:val="21"/>
                <w:szCs w:val="21"/>
              </w:rPr>
            </w:pPr>
            <w:r>
              <w:rPr>
                <w:sz w:val="21"/>
                <w:szCs w:val="21"/>
              </w:rPr>
              <w:t>18.35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noWrap w:val="0"/>
            <w:vAlign w:val="top"/>
          </w:tcPr>
          <w:p>
            <w:pPr>
              <w:spacing w:line="480" w:lineRule="exact"/>
              <w:rPr>
                <w:sz w:val="21"/>
                <w:szCs w:val="21"/>
              </w:rPr>
            </w:pPr>
            <w:bookmarkStart w:id="441" w:name="_Toc222545672"/>
            <w:r>
              <w:rPr>
                <w:sz w:val="21"/>
                <w:szCs w:val="21"/>
              </w:rPr>
              <w:t>单位价格（元/t）</w:t>
            </w:r>
            <w:bookmarkEnd w:id="441"/>
          </w:p>
        </w:tc>
        <w:tc>
          <w:tcPr>
            <w:tcW w:w="1129" w:type="dxa"/>
            <w:noWrap w:val="0"/>
            <w:vAlign w:val="top"/>
          </w:tcPr>
          <w:p>
            <w:pPr>
              <w:spacing w:line="480" w:lineRule="exact"/>
              <w:rPr>
                <w:sz w:val="21"/>
                <w:szCs w:val="21"/>
              </w:rPr>
            </w:pPr>
            <w:bookmarkStart w:id="442" w:name="_Toc222545673"/>
            <w:r>
              <w:rPr>
                <w:sz w:val="21"/>
                <w:szCs w:val="21"/>
              </w:rPr>
              <w:t>10</w:t>
            </w:r>
            <w:bookmarkEnd w:id="442"/>
          </w:p>
        </w:tc>
        <w:tc>
          <w:tcPr>
            <w:tcW w:w="1129" w:type="dxa"/>
            <w:noWrap w:val="0"/>
            <w:vAlign w:val="top"/>
          </w:tcPr>
          <w:p>
            <w:pPr>
              <w:spacing w:line="480" w:lineRule="exact"/>
              <w:rPr>
                <w:sz w:val="21"/>
                <w:szCs w:val="21"/>
              </w:rPr>
            </w:pPr>
            <w:bookmarkStart w:id="443" w:name="_Toc222545674"/>
            <w:r>
              <w:rPr>
                <w:sz w:val="21"/>
                <w:szCs w:val="21"/>
              </w:rPr>
              <w:t>80</w:t>
            </w:r>
            <w:bookmarkEnd w:id="443"/>
          </w:p>
        </w:tc>
        <w:tc>
          <w:tcPr>
            <w:tcW w:w="1129" w:type="dxa"/>
            <w:noWrap w:val="0"/>
            <w:vAlign w:val="top"/>
          </w:tcPr>
          <w:p>
            <w:pPr>
              <w:spacing w:line="480" w:lineRule="exact"/>
              <w:rPr>
                <w:sz w:val="21"/>
                <w:szCs w:val="21"/>
              </w:rPr>
            </w:pPr>
            <w:bookmarkStart w:id="444" w:name="_Toc222545675"/>
            <w:r>
              <w:rPr>
                <w:sz w:val="21"/>
                <w:szCs w:val="21"/>
              </w:rPr>
              <w:t>200</w:t>
            </w:r>
            <w:bookmarkEnd w:id="444"/>
          </w:p>
        </w:tc>
        <w:tc>
          <w:tcPr>
            <w:tcW w:w="849" w:type="dxa"/>
            <w:noWrap w:val="0"/>
            <w:vAlign w:val="top"/>
          </w:tcPr>
          <w:p>
            <w:pPr>
              <w:spacing w:line="480" w:lineRule="exact"/>
              <w:rPr>
                <w:sz w:val="21"/>
                <w:szCs w:val="21"/>
              </w:rPr>
            </w:pPr>
            <w:bookmarkStart w:id="445" w:name="_Toc222545676"/>
            <w:r>
              <w:rPr>
                <w:sz w:val="21"/>
                <w:szCs w:val="21"/>
              </w:rPr>
              <w:t>200</w:t>
            </w:r>
            <w:bookmarkEnd w:id="445"/>
          </w:p>
        </w:tc>
        <w:tc>
          <w:tcPr>
            <w:tcW w:w="1129" w:type="dxa"/>
            <w:noWrap w:val="0"/>
            <w:vAlign w:val="top"/>
          </w:tcPr>
          <w:p>
            <w:pPr>
              <w:spacing w:line="480" w:lineRule="exact"/>
              <w:rPr>
                <w:sz w:val="21"/>
                <w:szCs w:val="21"/>
              </w:rPr>
            </w:pPr>
            <w:bookmarkStart w:id="446" w:name="_Toc222545677"/>
            <w:r>
              <w:rPr>
                <w:sz w:val="21"/>
                <w:szCs w:val="21"/>
              </w:rPr>
              <w:t>300</w:t>
            </w:r>
            <w:bookmarkEnd w:id="446"/>
          </w:p>
        </w:tc>
        <w:tc>
          <w:tcPr>
            <w:tcW w:w="1189" w:type="dxa"/>
            <w:noWrap w:val="0"/>
            <w:vAlign w:val="center"/>
          </w:tcPr>
          <w:p>
            <w:pP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2" w:type="dxa"/>
            <w:noWrap w:val="0"/>
            <w:vAlign w:val="top"/>
          </w:tcPr>
          <w:p>
            <w:pPr>
              <w:spacing w:line="480" w:lineRule="exact"/>
              <w:rPr>
                <w:sz w:val="21"/>
                <w:szCs w:val="21"/>
              </w:rPr>
            </w:pPr>
            <w:bookmarkStart w:id="447" w:name="_Toc222545678"/>
            <w:r>
              <w:rPr>
                <w:sz w:val="21"/>
                <w:szCs w:val="21"/>
              </w:rPr>
              <w:t>回收效益（万元/a）</w:t>
            </w:r>
            <w:bookmarkEnd w:id="447"/>
          </w:p>
        </w:tc>
        <w:tc>
          <w:tcPr>
            <w:tcW w:w="1129" w:type="dxa"/>
            <w:noWrap w:val="0"/>
            <w:vAlign w:val="top"/>
          </w:tcPr>
          <w:p>
            <w:pPr>
              <w:spacing w:line="480" w:lineRule="exact"/>
              <w:rPr>
                <w:sz w:val="21"/>
                <w:szCs w:val="21"/>
              </w:rPr>
            </w:pPr>
            <w:r>
              <w:rPr>
                <w:sz w:val="21"/>
                <w:szCs w:val="21"/>
              </w:rPr>
              <w:t>9.8</w:t>
            </w:r>
          </w:p>
        </w:tc>
        <w:tc>
          <w:tcPr>
            <w:tcW w:w="1129" w:type="dxa"/>
            <w:noWrap w:val="0"/>
            <w:vAlign w:val="top"/>
          </w:tcPr>
          <w:p>
            <w:pPr>
              <w:spacing w:line="480" w:lineRule="exact"/>
              <w:rPr>
                <w:sz w:val="21"/>
                <w:szCs w:val="21"/>
              </w:rPr>
            </w:pPr>
            <w:r>
              <w:rPr>
                <w:sz w:val="21"/>
                <w:szCs w:val="21"/>
              </w:rPr>
              <w:t>675.2</w:t>
            </w:r>
          </w:p>
        </w:tc>
        <w:tc>
          <w:tcPr>
            <w:tcW w:w="1129" w:type="dxa"/>
            <w:noWrap w:val="0"/>
            <w:vAlign w:val="top"/>
          </w:tcPr>
          <w:p>
            <w:pPr>
              <w:spacing w:line="480" w:lineRule="exact"/>
              <w:rPr>
                <w:sz w:val="21"/>
                <w:szCs w:val="21"/>
              </w:rPr>
            </w:pPr>
            <w:r>
              <w:rPr>
                <w:sz w:val="21"/>
                <w:szCs w:val="21"/>
              </w:rPr>
              <w:t>400</w:t>
            </w:r>
          </w:p>
        </w:tc>
        <w:tc>
          <w:tcPr>
            <w:tcW w:w="849" w:type="dxa"/>
            <w:noWrap w:val="0"/>
            <w:vAlign w:val="top"/>
          </w:tcPr>
          <w:p>
            <w:pPr>
              <w:spacing w:line="480" w:lineRule="exact"/>
              <w:rPr>
                <w:sz w:val="21"/>
                <w:szCs w:val="21"/>
              </w:rPr>
            </w:pPr>
            <w:r>
              <w:rPr>
                <w:sz w:val="21"/>
                <w:szCs w:val="21"/>
              </w:rPr>
              <w:t>144</w:t>
            </w:r>
          </w:p>
        </w:tc>
        <w:tc>
          <w:tcPr>
            <w:tcW w:w="1129" w:type="dxa"/>
            <w:noWrap w:val="0"/>
            <w:vAlign w:val="top"/>
          </w:tcPr>
          <w:p>
            <w:pPr>
              <w:spacing w:line="480" w:lineRule="exact"/>
              <w:rPr>
                <w:sz w:val="21"/>
                <w:szCs w:val="21"/>
              </w:rPr>
            </w:pPr>
            <w:r>
              <w:rPr>
                <w:sz w:val="21"/>
                <w:szCs w:val="21"/>
              </w:rPr>
              <w:t>1863</w:t>
            </w:r>
          </w:p>
        </w:tc>
        <w:tc>
          <w:tcPr>
            <w:tcW w:w="1189" w:type="dxa"/>
            <w:noWrap w:val="0"/>
            <w:vAlign w:val="center"/>
          </w:tcPr>
          <w:p>
            <w:pPr>
              <w:rPr>
                <w:rFonts w:cs="宋体"/>
                <w:sz w:val="21"/>
                <w:szCs w:val="21"/>
              </w:rPr>
            </w:pPr>
            <w:r>
              <w:rPr>
                <w:sz w:val="21"/>
                <w:szCs w:val="21"/>
              </w:rPr>
              <w:t>3092</w:t>
            </w:r>
          </w:p>
        </w:tc>
      </w:tr>
    </w:tbl>
    <w:p>
      <w:pPr>
        <w:spacing w:line="480" w:lineRule="exact"/>
        <w:ind w:firstLine="315" w:firstLineChars="150"/>
        <w:rPr>
          <w:rFonts w:hint="eastAsia"/>
          <w:szCs w:val="20"/>
        </w:rPr>
      </w:pPr>
      <w:bookmarkStart w:id="448" w:name="_Toc222545684"/>
      <w:r>
        <w:rPr>
          <w:rFonts w:hint="eastAsia"/>
          <w:szCs w:val="20"/>
        </w:rPr>
        <w:t>（2）间接经济效益</w:t>
      </w:r>
      <w:bookmarkEnd w:id="448"/>
    </w:p>
    <w:p>
      <w:pPr>
        <w:spacing w:line="480" w:lineRule="exact"/>
        <w:ind w:firstLine="480"/>
        <w:rPr>
          <w:rFonts w:hint="eastAsia"/>
          <w:szCs w:val="20"/>
        </w:rPr>
      </w:pPr>
      <w:bookmarkStart w:id="449" w:name="_Toc222545685"/>
      <w:r>
        <w:rPr>
          <w:rFonts w:hint="eastAsia"/>
          <w:szCs w:val="20"/>
        </w:rPr>
        <w:t>排污对人群健康造成的污染损失、为环境污染支付的赔偿费等，在目前情况下，这些间接污染损失难以用货币定量化，可以量化的只考虑排污费。</w:t>
      </w:r>
      <w:bookmarkEnd w:id="449"/>
    </w:p>
    <w:p>
      <w:pPr>
        <w:spacing w:line="480" w:lineRule="exact"/>
        <w:ind w:firstLine="420" w:firstLineChars="200"/>
        <w:rPr>
          <w:rFonts w:hint="eastAsia" w:ascii="宋体" w:hAnsi="宋体"/>
        </w:rPr>
      </w:pPr>
      <w:r>
        <w:rPr>
          <w:rFonts w:hint="eastAsia" w:ascii="宋体" w:hAnsi="宋体"/>
        </w:rPr>
        <w:t>技改项目若不采取环保措施进行污染物有效削减，依据国家计委、财政部、国家环保总局、国家经贸委2003年2月28日第31号令《排污费征收标准管理办法》规定计算，企业应缴纳排污费5099.84万元/</w:t>
      </w:r>
      <w:r>
        <w:rPr>
          <w:rFonts w:ascii="宋体" w:hAnsi="宋体"/>
        </w:rPr>
        <w:t>a</w:t>
      </w:r>
      <w:r>
        <w:rPr>
          <w:rFonts w:hint="eastAsia" w:ascii="宋体" w:hAnsi="宋体"/>
        </w:rPr>
        <w:t>，详见表11-2。</w:t>
      </w:r>
    </w:p>
    <w:p>
      <w:pPr>
        <w:spacing w:line="440" w:lineRule="exact"/>
        <w:jc w:val="center"/>
        <w:rPr>
          <w:rFonts w:hint="eastAsia"/>
          <w:b/>
        </w:rPr>
      </w:pPr>
      <w:r>
        <w:rPr>
          <w:rFonts w:hint="eastAsia"/>
          <w:b/>
        </w:rPr>
        <w:t>表11-2  污染不治理应缴纳的排污费估算</w:t>
      </w:r>
    </w:p>
    <w:tbl>
      <w:tblPr>
        <w:tblStyle w:val="20"/>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800"/>
        <w:gridCol w:w="1596"/>
        <w:gridCol w:w="1323"/>
        <w:gridCol w:w="148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0" w:type="dxa"/>
            <w:noWrap w:val="0"/>
            <w:vAlign w:val="center"/>
          </w:tcPr>
          <w:p>
            <w:pPr>
              <w:spacing w:line="280" w:lineRule="exact"/>
              <w:jc w:val="center"/>
              <w:rPr>
                <w:rFonts w:hint="eastAsia"/>
              </w:rPr>
            </w:pPr>
            <w:r>
              <w:rPr>
                <w:rFonts w:hint="eastAsia"/>
              </w:rPr>
              <w:t>收费</w:t>
            </w:r>
          </w:p>
          <w:p>
            <w:pPr>
              <w:spacing w:line="280" w:lineRule="exact"/>
              <w:jc w:val="center"/>
              <w:rPr>
                <w:rFonts w:hint="eastAsia"/>
              </w:rPr>
            </w:pPr>
            <w:r>
              <w:rPr>
                <w:rFonts w:hint="eastAsia"/>
              </w:rPr>
              <w:t>类别</w:t>
            </w:r>
          </w:p>
        </w:tc>
        <w:tc>
          <w:tcPr>
            <w:tcW w:w="1800" w:type="dxa"/>
            <w:noWrap w:val="0"/>
            <w:vAlign w:val="center"/>
          </w:tcPr>
          <w:p>
            <w:pPr>
              <w:spacing w:line="280" w:lineRule="exact"/>
              <w:jc w:val="center"/>
              <w:rPr>
                <w:rFonts w:hint="eastAsia"/>
              </w:rPr>
            </w:pPr>
            <w:r>
              <w:rPr>
                <w:rFonts w:hint="eastAsia"/>
              </w:rPr>
              <w:t>排污</w:t>
            </w:r>
          </w:p>
          <w:p>
            <w:pPr>
              <w:spacing w:line="280" w:lineRule="exact"/>
              <w:jc w:val="center"/>
              <w:rPr>
                <w:rFonts w:hint="eastAsia"/>
              </w:rPr>
            </w:pPr>
            <w:r>
              <w:rPr>
                <w:rFonts w:hint="eastAsia"/>
              </w:rPr>
              <w:t>收费因子</w:t>
            </w:r>
          </w:p>
        </w:tc>
        <w:tc>
          <w:tcPr>
            <w:tcW w:w="1596" w:type="dxa"/>
            <w:noWrap w:val="0"/>
            <w:vAlign w:val="center"/>
          </w:tcPr>
          <w:p>
            <w:pPr>
              <w:spacing w:line="280" w:lineRule="exact"/>
              <w:jc w:val="center"/>
              <w:rPr>
                <w:rFonts w:hint="eastAsia"/>
              </w:rPr>
            </w:pPr>
            <w:r>
              <w:rPr>
                <w:rFonts w:hint="eastAsia"/>
              </w:rPr>
              <w:t>污染当量值</w:t>
            </w:r>
          </w:p>
          <w:p>
            <w:pPr>
              <w:spacing w:line="280" w:lineRule="exact"/>
              <w:jc w:val="center"/>
              <w:rPr>
                <w:rFonts w:hint="eastAsia"/>
              </w:rPr>
            </w:pPr>
            <w:r>
              <w:rPr>
                <w:rFonts w:hint="eastAsia"/>
              </w:rPr>
              <w:t>（</w:t>
            </w:r>
            <w:r>
              <w:t>Kg</w:t>
            </w:r>
            <w:r>
              <w:rPr>
                <w:rFonts w:hint="eastAsia"/>
              </w:rPr>
              <w:t>）</w:t>
            </w:r>
          </w:p>
        </w:tc>
        <w:tc>
          <w:tcPr>
            <w:tcW w:w="1323" w:type="dxa"/>
            <w:noWrap w:val="0"/>
            <w:vAlign w:val="center"/>
          </w:tcPr>
          <w:p>
            <w:pPr>
              <w:spacing w:line="280" w:lineRule="exact"/>
              <w:jc w:val="center"/>
              <w:rPr>
                <w:rFonts w:hint="eastAsia"/>
              </w:rPr>
            </w:pPr>
            <w:r>
              <w:rPr>
                <w:rFonts w:hint="eastAsia"/>
              </w:rPr>
              <w:t>单位收费值</w:t>
            </w:r>
          </w:p>
          <w:p>
            <w:pPr>
              <w:spacing w:line="280" w:lineRule="exact"/>
              <w:jc w:val="center"/>
              <w:rPr>
                <w:rFonts w:hint="eastAsia"/>
              </w:rPr>
            </w:pPr>
            <w:r>
              <w:rPr>
                <w:rFonts w:hint="eastAsia"/>
              </w:rPr>
              <w:t>（元）</w:t>
            </w:r>
          </w:p>
        </w:tc>
        <w:tc>
          <w:tcPr>
            <w:tcW w:w="1486" w:type="dxa"/>
            <w:noWrap w:val="0"/>
            <w:vAlign w:val="center"/>
          </w:tcPr>
          <w:p>
            <w:pPr>
              <w:spacing w:line="280" w:lineRule="exact"/>
              <w:jc w:val="center"/>
              <w:rPr>
                <w:rFonts w:hint="eastAsia"/>
              </w:rPr>
            </w:pPr>
            <w:r>
              <w:rPr>
                <w:rFonts w:hint="eastAsia"/>
              </w:rPr>
              <w:t>未治理（利用）多排污部分量t/a</w:t>
            </w:r>
          </w:p>
        </w:tc>
        <w:tc>
          <w:tcPr>
            <w:tcW w:w="1161" w:type="dxa"/>
            <w:noWrap w:val="0"/>
            <w:vAlign w:val="center"/>
          </w:tcPr>
          <w:p>
            <w:pPr>
              <w:spacing w:line="280" w:lineRule="exact"/>
              <w:jc w:val="center"/>
              <w:rPr>
                <w:rFonts w:hint="eastAsia"/>
              </w:rPr>
            </w:pPr>
            <w:r>
              <w:rPr>
                <w:rFonts w:hint="eastAsia"/>
              </w:rPr>
              <w:t>多收费值</w:t>
            </w:r>
          </w:p>
          <w:p>
            <w:pPr>
              <w:spacing w:line="280" w:lineRule="exact"/>
              <w:jc w:val="center"/>
              <w:rPr>
                <w:rFonts w:hint="eastAsia"/>
              </w:rPr>
            </w:pPr>
            <w:r>
              <w:rPr>
                <w:rFonts w:hint="eastAsia"/>
              </w:rPr>
              <w:t>（万元/</w:t>
            </w:r>
            <w:r>
              <w:t>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0" w:type="dxa"/>
            <w:noWrap w:val="0"/>
            <w:vAlign w:val="center"/>
          </w:tcPr>
          <w:p>
            <w:pPr>
              <w:spacing w:line="280" w:lineRule="exact"/>
              <w:jc w:val="center"/>
              <w:rPr>
                <w:rFonts w:hint="eastAsia"/>
              </w:rPr>
            </w:pPr>
            <w:r>
              <w:rPr>
                <w:rFonts w:hint="eastAsia"/>
              </w:rPr>
              <w:t>废气</w:t>
            </w:r>
          </w:p>
        </w:tc>
        <w:tc>
          <w:tcPr>
            <w:tcW w:w="1800" w:type="dxa"/>
            <w:noWrap w:val="0"/>
            <w:vAlign w:val="center"/>
          </w:tcPr>
          <w:p>
            <w:pPr>
              <w:spacing w:line="240" w:lineRule="exact"/>
              <w:ind w:firstLine="67"/>
              <w:jc w:val="center"/>
              <w:rPr>
                <w:rFonts w:hint="eastAsia"/>
              </w:rPr>
            </w:pPr>
            <w:r>
              <w:rPr>
                <w:rFonts w:hint="eastAsia"/>
              </w:rPr>
              <w:t>烟粉尘</w:t>
            </w:r>
          </w:p>
        </w:tc>
        <w:tc>
          <w:tcPr>
            <w:tcW w:w="1596" w:type="dxa"/>
            <w:noWrap w:val="0"/>
            <w:vAlign w:val="center"/>
          </w:tcPr>
          <w:p>
            <w:pPr>
              <w:spacing w:line="280" w:lineRule="exact"/>
              <w:jc w:val="center"/>
              <w:rPr>
                <w:rFonts w:hint="eastAsia"/>
              </w:rPr>
            </w:pPr>
            <w:r>
              <w:rPr>
                <w:rFonts w:hint="eastAsia"/>
              </w:rPr>
              <w:t>2.18</w:t>
            </w:r>
          </w:p>
        </w:tc>
        <w:tc>
          <w:tcPr>
            <w:tcW w:w="1323" w:type="dxa"/>
            <w:noWrap w:val="0"/>
            <w:vAlign w:val="center"/>
          </w:tcPr>
          <w:p>
            <w:pPr>
              <w:spacing w:line="280" w:lineRule="exact"/>
              <w:jc w:val="center"/>
              <w:rPr>
                <w:rFonts w:hint="eastAsia"/>
              </w:rPr>
            </w:pPr>
            <w:r>
              <w:rPr>
                <w:rFonts w:hint="eastAsia"/>
              </w:rPr>
              <w:t>0.6</w:t>
            </w:r>
          </w:p>
        </w:tc>
        <w:tc>
          <w:tcPr>
            <w:tcW w:w="1486" w:type="dxa"/>
            <w:noWrap w:val="0"/>
            <w:vAlign w:val="center"/>
          </w:tcPr>
          <w:p>
            <w:pPr>
              <w:spacing w:line="280" w:lineRule="exact"/>
              <w:jc w:val="center"/>
              <w:rPr>
                <w:rFonts w:hint="eastAsia"/>
              </w:rPr>
            </w:pPr>
            <w:r>
              <w:rPr>
                <w:rFonts w:hint="eastAsia" w:ascii="宋体" w:hAnsi="宋体"/>
              </w:rPr>
              <w:t>183500</w:t>
            </w:r>
          </w:p>
        </w:tc>
        <w:tc>
          <w:tcPr>
            <w:tcW w:w="1161" w:type="dxa"/>
            <w:noWrap w:val="0"/>
            <w:vAlign w:val="center"/>
          </w:tcPr>
          <w:p>
            <w:pPr>
              <w:spacing w:line="280" w:lineRule="exact"/>
              <w:jc w:val="center"/>
              <w:rPr>
                <w:rFonts w:hint="eastAsia"/>
              </w:rPr>
            </w:pPr>
            <w:r>
              <w:rPr>
                <w:rFonts w:hint="eastAsia"/>
              </w:rPr>
              <w:t>5097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0" w:type="dxa"/>
            <w:noWrap w:val="0"/>
            <w:vAlign w:val="center"/>
          </w:tcPr>
          <w:p>
            <w:pPr>
              <w:spacing w:line="280" w:lineRule="exact"/>
              <w:jc w:val="center"/>
              <w:rPr>
                <w:rFonts w:hint="eastAsia"/>
              </w:rPr>
            </w:pPr>
            <w:r>
              <w:rPr>
                <w:rFonts w:hint="eastAsia"/>
              </w:rPr>
              <w:t>废水</w:t>
            </w:r>
          </w:p>
        </w:tc>
        <w:tc>
          <w:tcPr>
            <w:tcW w:w="1800" w:type="dxa"/>
            <w:noWrap w:val="0"/>
            <w:vAlign w:val="center"/>
          </w:tcPr>
          <w:p>
            <w:pPr>
              <w:spacing w:line="280" w:lineRule="atLeast"/>
              <w:jc w:val="center"/>
              <w:rPr>
                <w:rFonts w:hint="eastAsia"/>
                <w:szCs w:val="21"/>
              </w:rPr>
            </w:pPr>
            <w:r>
              <w:rPr>
                <w:rFonts w:hint="eastAsia"/>
                <w:szCs w:val="21"/>
              </w:rPr>
              <w:t>COD</w:t>
            </w:r>
          </w:p>
        </w:tc>
        <w:tc>
          <w:tcPr>
            <w:tcW w:w="1596" w:type="dxa"/>
            <w:noWrap w:val="0"/>
            <w:vAlign w:val="center"/>
          </w:tcPr>
          <w:p>
            <w:pPr>
              <w:spacing w:line="280" w:lineRule="exact"/>
              <w:jc w:val="center"/>
              <w:rPr>
                <w:rFonts w:hint="eastAsia"/>
                <w:spacing w:val="-20"/>
              </w:rPr>
            </w:pPr>
            <w:r>
              <w:rPr>
                <w:rFonts w:hint="eastAsia"/>
                <w:spacing w:val="-20"/>
              </w:rPr>
              <w:t>1</w:t>
            </w:r>
          </w:p>
        </w:tc>
        <w:tc>
          <w:tcPr>
            <w:tcW w:w="1323" w:type="dxa"/>
            <w:noWrap w:val="0"/>
            <w:vAlign w:val="center"/>
          </w:tcPr>
          <w:p>
            <w:pPr>
              <w:spacing w:line="280" w:lineRule="exact"/>
              <w:jc w:val="center"/>
              <w:rPr>
                <w:rFonts w:hint="eastAsia"/>
              </w:rPr>
            </w:pPr>
            <w:r>
              <w:rPr>
                <w:rFonts w:hint="eastAsia"/>
              </w:rPr>
              <w:t>0.7</w:t>
            </w:r>
          </w:p>
        </w:tc>
        <w:tc>
          <w:tcPr>
            <w:tcW w:w="1486" w:type="dxa"/>
            <w:noWrap w:val="0"/>
            <w:vAlign w:val="center"/>
          </w:tcPr>
          <w:p>
            <w:pPr>
              <w:spacing w:line="280" w:lineRule="exact"/>
              <w:jc w:val="center"/>
              <w:rPr>
                <w:rFonts w:hint="eastAsia"/>
                <w:spacing w:val="-20"/>
              </w:rPr>
            </w:pPr>
            <w:r>
              <w:rPr>
                <w:rFonts w:hint="eastAsia"/>
                <w:spacing w:val="-20"/>
              </w:rPr>
              <w:t>2.62</w:t>
            </w:r>
          </w:p>
        </w:tc>
        <w:tc>
          <w:tcPr>
            <w:tcW w:w="1161" w:type="dxa"/>
            <w:noWrap w:val="0"/>
            <w:vAlign w:val="center"/>
          </w:tcPr>
          <w:p>
            <w:pPr>
              <w:spacing w:line="280" w:lineRule="exact"/>
              <w:jc w:val="center"/>
              <w:rPr>
                <w:rFonts w:hint="eastAsia"/>
              </w:rPr>
            </w:pPr>
            <w:r>
              <w:rPr>
                <w:rFonts w:hint="eastAsia"/>
                <w:spacing w:val="-20"/>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50" w:type="dxa"/>
            <w:noWrap w:val="0"/>
            <w:vAlign w:val="center"/>
          </w:tcPr>
          <w:p>
            <w:pPr>
              <w:spacing w:line="280" w:lineRule="exact"/>
              <w:jc w:val="center"/>
              <w:rPr>
                <w:rFonts w:hint="eastAsia"/>
              </w:rPr>
            </w:pPr>
            <w:r>
              <w:rPr>
                <w:rFonts w:hint="eastAsia"/>
              </w:rPr>
              <w:t>噪声</w:t>
            </w:r>
          </w:p>
        </w:tc>
        <w:tc>
          <w:tcPr>
            <w:tcW w:w="1800" w:type="dxa"/>
            <w:noWrap w:val="0"/>
            <w:vAlign w:val="center"/>
          </w:tcPr>
          <w:p>
            <w:pPr>
              <w:spacing w:line="280" w:lineRule="exact"/>
              <w:jc w:val="center"/>
              <w:rPr>
                <w:rFonts w:hint="eastAsia"/>
              </w:rPr>
            </w:pPr>
            <w:r>
              <w:rPr>
                <w:rFonts w:hint="eastAsia"/>
              </w:rPr>
              <w:t>超标分贝</w:t>
            </w:r>
          </w:p>
        </w:tc>
        <w:tc>
          <w:tcPr>
            <w:tcW w:w="1596" w:type="dxa"/>
            <w:noWrap w:val="0"/>
            <w:vAlign w:val="center"/>
          </w:tcPr>
          <w:p>
            <w:pPr>
              <w:spacing w:line="280" w:lineRule="exact"/>
              <w:jc w:val="center"/>
              <w:rPr>
                <w:rFonts w:hint="eastAsia"/>
                <w:spacing w:val="-20"/>
              </w:rPr>
            </w:pPr>
          </w:p>
        </w:tc>
        <w:tc>
          <w:tcPr>
            <w:tcW w:w="1323" w:type="dxa"/>
            <w:noWrap w:val="0"/>
            <w:vAlign w:val="center"/>
          </w:tcPr>
          <w:p>
            <w:pPr>
              <w:spacing w:line="280" w:lineRule="exact"/>
              <w:jc w:val="center"/>
              <w:rPr>
                <w:rFonts w:hint="eastAsia"/>
              </w:rPr>
            </w:pPr>
            <w:r>
              <w:rPr>
                <w:rFonts w:hint="eastAsia"/>
              </w:rPr>
              <w:t>2200/月</w:t>
            </w:r>
          </w:p>
        </w:tc>
        <w:tc>
          <w:tcPr>
            <w:tcW w:w="1486" w:type="dxa"/>
            <w:noWrap w:val="0"/>
            <w:vAlign w:val="center"/>
          </w:tcPr>
          <w:p>
            <w:pPr>
              <w:spacing w:line="280" w:lineRule="exact"/>
              <w:jc w:val="center"/>
              <w:rPr>
                <w:rFonts w:hint="eastAsia"/>
              </w:rPr>
            </w:pPr>
            <w:r>
              <w:rPr>
                <w:rFonts w:hint="eastAsia"/>
              </w:rPr>
              <w:t>/</w:t>
            </w:r>
          </w:p>
        </w:tc>
        <w:tc>
          <w:tcPr>
            <w:tcW w:w="1161" w:type="dxa"/>
            <w:noWrap w:val="0"/>
            <w:vAlign w:val="center"/>
          </w:tcPr>
          <w:p>
            <w:pPr>
              <w:spacing w:line="280" w:lineRule="exact"/>
              <w:jc w:val="center"/>
              <w:rPr>
                <w:rFonts w:hint="eastAsia"/>
              </w:rPr>
            </w:pPr>
            <w:r>
              <w:rPr>
                <w:rFonts w:hint="eastAsia"/>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650" w:type="dxa"/>
            <w:noWrap w:val="0"/>
            <w:vAlign w:val="center"/>
          </w:tcPr>
          <w:p>
            <w:pPr>
              <w:spacing w:line="280" w:lineRule="exact"/>
              <w:jc w:val="center"/>
              <w:rPr>
                <w:rFonts w:hint="eastAsia"/>
              </w:rPr>
            </w:pPr>
            <w:r>
              <w:rPr>
                <w:rFonts w:hint="eastAsia"/>
              </w:rPr>
              <w:t>固体废物</w:t>
            </w:r>
          </w:p>
        </w:tc>
        <w:tc>
          <w:tcPr>
            <w:tcW w:w="1800" w:type="dxa"/>
            <w:noWrap w:val="0"/>
            <w:vAlign w:val="center"/>
          </w:tcPr>
          <w:p>
            <w:pPr>
              <w:spacing w:line="280" w:lineRule="exact"/>
              <w:jc w:val="center"/>
              <w:rPr>
                <w:rFonts w:hint="eastAsia"/>
              </w:rPr>
            </w:pPr>
            <w:r>
              <w:rPr>
                <w:rFonts w:hint="eastAsia"/>
              </w:rPr>
              <w:t>其他工业废渣</w:t>
            </w:r>
          </w:p>
        </w:tc>
        <w:tc>
          <w:tcPr>
            <w:tcW w:w="1596" w:type="dxa"/>
            <w:noWrap w:val="0"/>
            <w:vAlign w:val="center"/>
          </w:tcPr>
          <w:p>
            <w:pPr>
              <w:spacing w:line="280" w:lineRule="exact"/>
              <w:jc w:val="center"/>
              <w:rPr>
                <w:rFonts w:hint="eastAsia"/>
              </w:rPr>
            </w:pPr>
          </w:p>
        </w:tc>
        <w:tc>
          <w:tcPr>
            <w:tcW w:w="1323" w:type="dxa"/>
            <w:noWrap w:val="0"/>
            <w:vAlign w:val="center"/>
          </w:tcPr>
          <w:p>
            <w:pPr>
              <w:spacing w:line="0" w:lineRule="atLeast"/>
              <w:jc w:val="center"/>
              <w:rPr>
                <w:rFonts w:hint="eastAsia"/>
              </w:rPr>
            </w:pPr>
            <w:r>
              <w:rPr>
                <w:rFonts w:hint="eastAsia"/>
              </w:rPr>
              <w:t>25元/t</w:t>
            </w:r>
          </w:p>
        </w:tc>
        <w:tc>
          <w:tcPr>
            <w:tcW w:w="1486" w:type="dxa"/>
            <w:noWrap w:val="0"/>
            <w:vAlign w:val="center"/>
          </w:tcPr>
          <w:p>
            <w:pPr>
              <w:spacing w:line="0" w:lineRule="atLeast"/>
              <w:jc w:val="center"/>
              <w:rPr>
                <w:rFonts w:hint="eastAsia"/>
              </w:rPr>
            </w:pPr>
            <w:r>
              <w:rPr>
                <w:rFonts w:hint="eastAsia"/>
              </w:rPr>
              <w:t>8.82</w:t>
            </w:r>
          </w:p>
        </w:tc>
        <w:tc>
          <w:tcPr>
            <w:tcW w:w="1161" w:type="dxa"/>
            <w:noWrap w:val="0"/>
            <w:vAlign w:val="center"/>
          </w:tcPr>
          <w:p>
            <w:pPr>
              <w:spacing w:line="280" w:lineRule="exact"/>
              <w:jc w:val="center"/>
              <w:rPr>
                <w:rFonts w:hint="eastAsia"/>
              </w:rPr>
            </w:pPr>
            <w:r>
              <w:rPr>
                <w:rFonts w:hint="eastAsi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450" w:type="dxa"/>
            <w:gridSpan w:val="2"/>
            <w:noWrap w:val="0"/>
            <w:vAlign w:val="center"/>
          </w:tcPr>
          <w:p>
            <w:pPr>
              <w:spacing w:line="280" w:lineRule="exact"/>
              <w:jc w:val="center"/>
              <w:rPr>
                <w:rFonts w:hint="eastAsia"/>
              </w:rPr>
            </w:pPr>
            <w:r>
              <w:rPr>
                <w:rFonts w:hint="eastAsia"/>
              </w:rPr>
              <w:t>合计</w:t>
            </w:r>
          </w:p>
        </w:tc>
        <w:tc>
          <w:tcPr>
            <w:tcW w:w="1596" w:type="dxa"/>
            <w:noWrap w:val="0"/>
            <w:vAlign w:val="center"/>
          </w:tcPr>
          <w:p>
            <w:pPr>
              <w:spacing w:line="280" w:lineRule="exact"/>
              <w:jc w:val="center"/>
              <w:rPr>
                <w:rFonts w:hint="eastAsia"/>
              </w:rPr>
            </w:pPr>
          </w:p>
        </w:tc>
        <w:tc>
          <w:tcPr>
            <w:tcW w:w="1323" w:type="dxa"/>
            <w:noWrap w:val="0"/>
            <w:vAlign w:val="center"/>
          </w:tcPr>
          <w:p>
            <w:pPr>
              <w:spacing w:line="280" w:lineRule="exact"/>
              <w:jc w:val="center"/>
              <w:rPr>
                <w:rFonts w:hint="eastAsia"/>
              </w:rPr>
            </w:pPr>
          </w:p>
        </w:tc>
        <w:tc>
          <w:tcPr>
            <w:tcW w:w="1486" w:type="dxa"/>
            <w:noWrap w:val="0"/>
            <w:vAlign w:val="center"/>
          </w:tcPr>
          <w:p>
            <w:pPr>
              <w:spacing w:line="280" w:lineRule="exact"/>
              <w:jc w:val="center"/>
              <w:rPr>
                <w:rFonts w:hint="eastAsia"/>
              </w:rPr>
            </w:pPr>
          </w:p>
        </w:tc>
        <w:tc>
          <w:tcPr>
            <w:tcW w:w="1161" w:type="dxa"/>
            <w:noWrap w:val="0"/>
            <w:vAlign w:val="center"/>
          </w:tcPr>
          <w:p>
            <w:pPr>
              <w:spacing w:line="280" w:lineRule="exact"/>
              <w:jc w:val="center"/>
              <w:rPr>
                <w:rFonts w:hint="eastAsia"/>
              </w:rPr>
            </w:pPr>
            <w:r>
              <w:rPr>
                <w:rFonts w:hint="eastAsia"/>
              </w:rPr>
              <w:t>5099.84</w:t>
            </w:r>
          </w:p>
        </w:tc>
      </w:tr>
    </w:tbl>
    <w:p>
      <w:pPr>
        <w:spacing w:line="480" w:lineRule="exact"/>
        <w:ind w:firstLine="420" w:firstLineChars="200"/>
        <w:rPr>
          <w:rFonts w:hint="eastAsia" w:ascii="宋体" w:hAnsi="宋体"/>
        </w:rPr>
      </w:pPr>
    </w:p>
    <w:p>
      <w:pPr>
        <w:spacing w:line="480" w:lineRule="exact"/>
        <w:ind w:firstLine="420" w:firstLineChars="200"/>
        <w:rPr>
          <w:rFonts w:hint="eastAsia" w:ascii="宋体" w:hAnsi="宋体"/>
          <w:b/>
          <w:bCs/>
        </w:rPr>
      </w:pPr>
      <w:r>
        <w:rPr>
          <w:rFonts w:hint="eastAsia" w:ascii="宋体" w:hAnsi="宋体"/>
        </w:rPr>
        <w:t>因此，技改项目采取污染治理和综合利用，做到达标排放，可带来间接和直接经济效益8191.84万元/a。</w:t>
      </w:r>
    </w:p>
    <w:p>
      <w:pPr>
        <w:spacing w:line="480" w:lineRule="exact"/>
        <w:rPr>
          <w:rFonts w:hint="eastAsia"/>
          <w:b/>
          <w:bCs/>
          <w:szCs w:val="20"/>
        </w:rPr>
      </w:pPr>
      <w:r>
        <w:rPr>
          <w:rFonts w:hint="eastAsia"/>
          <w:b/>
          <w:bCs/>
          <w:szCs w:val="20"/>
        </w:rPr>
        <w:t>11</w:t>
      </w:r>
      <w:r>
        <w:rPr>
          <w:b/>
          <w:bCs/>
          <w:szCs w:val="20"/>
        </w:rPr>
        <w:t>.</w:t>
      </w:r>
      <w:r>
        <w:rPr>
          <w:rFonts w:hint="eastAsia"/>
          <w:b/>
          <w:bCs/>
          <w:szCs w:val="20"/>
        </w:rPr>
        <w:t>1</w:t>
      </w:r>
      <w:r>
        <w:rPr>
          <w:b/>
          <w:bCs/>
          <w:szCs w:val="20"/>
        </w:rPr>
        <w:t>.3</w:t>
      </w:r>
      <w:r>
        <w:rPr>
          <w:rFonts w:hint="eastAsia"/>
          <w:b/>
          <w:bCs/>
          <w:szCs w:val="20"/>
        </w:rPr>
        <w:t xml:space="preserve"> 环境损益分析</w:t>
      </w:r>
    </w:p>
    <w:p>
      <w:pPr>
        <w:spacing w:line="460" w:lineRule="exact"/>
        <w:ind w:firstLine="420" w:firstLineChars="200"/>
        <w:rPr>
          <w:rFonts w:hint="eastAsia" w:ascii="宋体" w:hAnsi="宋体"/>
        </w:rPr>
      </w:pPr>
      <w:r>
        <w:rPr>
          <w:rFonts w:hint="eastAsia" w:ascii="宋体" w:hAnsi="宋体"/>
        </w:rPr>
        <w:t>（1）年净效益</w:t>
      </w:r>
    </w:p>
    <w:p>
      <w:pPr>
        <w:spacing w:line="460" w:lineRule="exact"/>
        <w:ind w:firstLine="420" w:firstLineChars="200"/>
        <w:rPr>
          <w:rFonts w:hint="eastAsia" w:ascii="宋体" w:hAnsi="宋体"/>
        </w:rPr>
      </w:pPr>
      <w:r>
        <w:rPr>
          <w:rFonts w:hint="eastAsia" w:ascii="宋体" w:hAnsi="宋体"/>
        </w:rPr>
        <w:t>年净效益指技改项目达产年环境保护措施产生的经济效益扣除污染治理运行费用之差。即</w:t>
      </w:r>
    </w:p>
    <w:p>
      <w:pPr>
        <w:spacing w:line="460" w:lineRule="exact"/>
        <w:ind w:firstLine="420" w:firstLineChars="200"/>
        <w:rPr>
          <w:rFonts w:hint="eastAsia" w:ascii="宋体" w:hAnsi="宋体"/>
        </w:rPr>
      </w:pPr>
      <w:r>
        <w:rPr>
          <w:rFonts w:hint="eastAsia" w:ascii="宋体" w:hAnsi="宋体"/>
        </w:rPr>
        <w:t>年净效益=经济效益—费用指标=8191.84—767.8=7424.04万元</w:t>
      </w:r>
    </w:p>
    <w:p>
      <w:pPr>
        <w:spacing w:line="460" w:lineRule="exact"/>
        <w:ind w:firstLine="420" w:firstLineChars="200"/>
        <w:rPr>
          <w:rFonts w:ascii="宋体" w:hAnsi="宋体"/>
        </w:rPr>
      </w:pPr>
      <w:r>
        <w:rPr>
          <w:rFonts w:hint="eastAsia" w:ascii="宋体" w:hAnsi="宋体"/>
        </w:rPr>
        <w:t>故技改项目达产年环境保护措施产生的净效益为7424.04万元</w:t>
      </w:r>
      <w:r>
        <w:rPr>
          <w:rFonts w:ascii="宋体" w:hAnsi="宋体"/>
        </w:rPr>
        <w:t>/a</w:t>
      </w:r>
      <w:r>
        <w:rPr>
          <w:rFonts w:hint="eastAsia" w:ascii="宋体" w:hAnsi="宋体"/>
        </w:rPr>
        <w:t>。</w:t>
      </w:r>
    </w:p>
    <w:p>
      <w:pPr>
        <w:spacing w:line="460" w:lineRule="exact"/>
        <w:ind w:firstLine="420" w:firstLineChars="200"/>
        <w:rPr>
          <w:rFonts w:hint="eastAsia" w:ascii="宋体" w:hAnsi="宋体"/>
        </w:rPr>
      </w:pPr>
      <w:r>
        <w:rPr>
          <w:rFonts w:hint="eastAsia" w:ascii="宋体" w:hAnsi="宋体"/>
        </w:rPr>
        <w:t>（2）效益与费用比</w:t>
      </w:r>
    </w:p>
    <w:p>
      <w:pPr>
        <w:spacing w:line="460" w:lineRule="exact"/>
        <w:ind w:firstLine="420" w:firstLineChars="200"/>
        <w:rPr>
          <w:rFonts w:hint="eastAsia" w:ascii="宋体" w:hAnsi="宋体"/>
        </w:rPr>
      </w:pPr>
      <w:r>
        <w:rPr>
          <w:rFonts w:hint="eastAsia" w:ascii="宋体" w:hAnsi="宋体"/>
        </w:rPr>
        <w:t>环保措施效益7424.04万元／</w:t>
      </w:r>
      <w:r>
        <w:rPr>
          <w:rFonts w:ascii="宋体" w:hAnsi="宋体"/>
        </w:rPr>
        <w:t>a</w:t>
      </w:r>
      <w:r>
        <w:rPr>
          <w:rFonts w:hint="eastAsia" w:ascii="宋体" w:hAnsi="宋体"/>
        </w:rPr>
        <w:t>与其费用767.8万元／</w:t>
      </w:r>
      <w:r>
        <w:rPr>
          <w:rFonts w:ascii="宋体" w:hAnsi="宋体"/>
        </w:rPr>
        <w:t>a</w:t>
      </w:r>
      <w:r>
        <w:rPr>
          <w:rFonts w:hint="eastAsia" w:ascii="宋体" w:hAnsi="宋体"/>
        </w:rPr>
        <w:t>之比为9.7:</w:t>
      </w:r>
      <w:r>
        <w:rPr>
          <w:rFonts w:ascii="宋体" w:hAnsi="宋体"/>
        </w:rPr>
        <w:t>1</w:t>
      </w:r>
      <w:r>
        <w:rPr>
          <w:rFonts w:hint="eastAsia" w:ascii="宋体" w:hAnsi="宋体"/>
        </w:rPr>
        <w:t>，远大于1，表明技改项目的环保措施综合经济效益指标良好，可实现环保设施的经济运行。</w:t>
      </w:r>
    </w:p>
    <w:p>
      <w:pPr>
        <w:spacing w:line="460" w:lineRule="exact"/>
        <w:ind w:firstLine="420" w:firstLineChars="200"/>
        <w:rPr>
          <w:rFonts w:ascii="宋体" w:hAnsi="宋体"/>
        </w:rPr>
      </w:pPr>
      <w:r>
        <w:rPr>
          <w:rFonts w:hint="eastAsia" w:ascii="宋体" w:hAnsi="宋体"/>
        </w:rPr>
        <w:t>综上所述，无论是从年净效益分析，还是从效益与费用比分析，均表明技改项目的环保投资在经济上是可行的。</w:t>
      </w:r>
    </w:p>
    <w:p>
      <w:pPr>
        <w:spacing w:line="480" w:lineRule="exact"/>
        <w:outlineLvl w:val="1"/>
        <w:rPr>
          <w:rFonts w:hint="eastAsia"/>
          <w:b/>
          <w:szCs w:val="20"/>
        </w:rPr>
      </w:pPr>
      <w:bookmarkStart w:id="450" w:name="_Toc276372272"/>
      <w:bookmarkStart w:id="451" w:name="_Toc222545686"/>
      <w:bookmarkStart w:id="452" w:name="_Toc227983628"/>
      <w:r>
        <w:rPr>
          <w:rFonts w:hint="eastAsia"/>
          <w:b/>
          <w:szCs w:val="20"/>
        </w:rPr>
        <w:t>11.2 社会效益分析</w:t>
      </w:r>
      <w:bookmarkEnd w:id="450"/>
      <w:bookmarkEnd w:id="451"/>
      <w:bookmarkEnd w:id="452"/>
    </w:p>
    <w:p>
      <w:pPr>
        <w:tabs>
          <w:tab w:val="left" w:pos="840"/>
        </w:tabs>
        <w:spacing w:line="480" w:lineRule="exact"/>
        <w:ind w:firstLine="420" w:firstLineChars="200"/>
        <w:rPr>
          <w:rFonts w:ascii="宋体" w:hAnsi="宋体"/>
        </w:rPr>
      </w:pPr>
      <w:r>
        <w:rPr>
          <w:rFonts w:hint="eastAsia" w:ascii="宋体" w:hAnsi="宋体"/>
        </w:rPr>
        <w:t>（1）有利于资源的合理利用</w:t>
      </w:r>
    </w:p>
    <w:p>
      <w:pPr>
        <w:spacing w:line="360" w:lineRule="auto"/>
        <w:ind w:firstLine="420" w:firstLineChars="200"/>
        <w:rPr>
          <w:rFonts w:hint="eastAsia" w:ascii="宋体" w:hAnsi="宋体"/>
        </w:rPr>
      </w:pPr>
      <w:r>
        <w:rPr>
          <w:rFonts w:hint="eastAsia" w:ascii="宋体" w:hAnsi="宋体"/>
        </w:rPr>
        <w:t>技改项目位于青木关镇关口村，紧邻璧山县，</w:t>
      </w:r>
      <w:r>
        <w:rPr>
          <w:rFonts w:ascii="宋体" w:hAnsi="宋体"/>
        </w:rPr>
        <w:t>该县石灰石资源丰富，CaO含量高，品位好，成份稳定，是生产回转窑水泥的优质原料，距离项目建设地25公里，交通运输方便。重庆永荣青鹏煤业有限公司生产煤炭可作为燃料，同时采煤过程中产生的大量的煤矸石也是生产水泥的原料之一，此外砂岩、粉煤灰、矿渣等其他原料在附近储量都非常丰富，</w:t>
      </w:r>
      <w:r>
        <w:rPr>
          <w:rFonts w:hint="eastAsia" w:ascii="宋体" w:hAnsi="宋体"/>
        </w:rPr>
        <w:t>因此，该地区发展水泥工业具有得天独厚的条件，可将资源优势转化为经济优势，促进当地经济的发展。</w:t>
      </w:r>
    </w:p>
    <w:p>
      <w:pPr>
        <w:pStyle w:val="13"/>
        <w:ind w:left="0" w:firstLine="360" w:firstLineChars="150"/>
        <w:rPr>
          <w:rFonts w:hint="eastAsia" w:ascii="宋体" w:hAnsi="宋体"/>
          <w:sz w:val="24"/>
        </w:rPr>
      </w:pPr>
      <w:r>
        <w:rPr>
          <w:rFonts w:hint="eastAsia" w:ascii="宋体" w:hAnsi="宋体"/>
          <w:sz w:val="24"/>
        </w:rPr>
        <w:t>（2）有利于环境的改善</w:t>
      </w:r>
    </w:p>
    <w:p>
      <w:pPr>
        <w:spacing w:line="360" w:lineRule="auto"/>
        <w:ind w:firstLine="420" w:firstLineChars="200"/>
        <w:rPr>
          <w:rFonts w:hint="eastAsia" w:ascii="宋体" w:hAnsi="宋体"/>
        </w:rPr>
      </w:pPr>
      <w:r>
        <w:rPr>
          <w:rFonts w:ascii="宋体" w:hAnsi="宋体"/>
        </w:rPr>
        <w:t>重庆永荣青鹏煤业有限公司在长期的煤炭开采过程中伴随产生了大量的煤矸石和大量的矿井废水，煤矸石和矿井废水如不有效处理，将占用大量耕地、污染环境。</w:t>
      </w:r>
    </w:p>
    <w:p>
      <w:pPr>
        <w:adjustRightInd w:val="0"/>
        <w:snapToGrid w:val="0"/>
        <w:spacing w:line="360" w:lineRule="auto"/>
        <w:ind w:firstLine="617"/>
        <w:rPr>
          <w:rFonts w:ascii="宋体" w:hAnsi="宋体"/>
        </w:rPr>
      </w:pPr>
      <w:r>
        <w:rPr>
          <w:rFonts w:ascii="宋体" w:hAnsi="宋体"/>
        </w:rPr>
        <w:t>通过本</w:t>
      </w:r>
      <w:r>
        <w:rPr>
          <w:rFonts w:hint="eastAsia" w:ascii="宋体" w:hAnsi="宋体"/>
        </w:rPr>
        <w:t>技改</w:t>
      </w:r>
      <w:r>
        <w:rPr>
          <w:rFonts w:ascii="宋体" w:hAnsi="宋体"/>
        </w:rPr>
        <w:t>项目的</w:t>
      </w:r>
      <w:r>
        <w:rPr>
          <w:rFonts w:hint="eastAsia" w:ascii="宋体" w:hAnsi="宋体"/>
        </w:rPr>
        <w:t>实施</w:t>
      </w:r>
      <w:r>
        <w:rPr>
          <w:rFonts w:ascii="宋体" w:hAnsi="宋体"/>
        </w:rPr>
        <w:t>，可把</w:t>
      </w:r>
      <w:r>
        <w:rPr>
          <w:rFonts w:hint="eastAsia" w:ascii="宋体" w:hAnsi="宋体"/>
        </w:rPr>
        <w:t>本矿产的</w:t>
      </w:r>
      <w:r>
        <w:rPr>
          <w:rFonts w:ascii="宋体" w:hAnsi="宋体"/>
        </w:rPr>
        <w:t>煤矸石作为基本原料综合利用，</w:t>
      </w:r>
      <w:r>
        <w:rPr>
          <w:rFonts w:hint="eastAsia" w:ascii="宋体" w:hAnsi="宋体"/>
        </w:rPr>
        <w:t>同时对永荣矿业公司所属电厂的粉煤灰等废弃物得到有效利用；</w:t>
      </w:r>
      <w:r>
        <w:rPr>
          <w:rFonts w:ascii="宋体" w:hAnsi="宋体"/>
        </w:rPr>
        <w:t>矿井废水经处理后可用于设备冷却水循环利用，实现变废为宝，保护环境，可持续发展，可谓一举多得。</w:t>
      </w:r>
    </w:p>
    <w:p>
      <w:pPr>
        <w:autoSpaceDE w:val="0"/>
        <w:autoSpaceDN w:val="0"/>
        <w:adjustRightInd w:val="0"/>
        <w:snapToGrid w:val="0"/>
        <w:spacing w:line="360" w:lineRule="auto"/>
        <w:ind w:firstLine="564" w:firstLineChars="269"/>
        <w:rPr>
          <w:rFonts w:hint="eastAsia" w:ascii="宋体" w:hAnsi="宋体"/>
        </w:rPr>
      </w:pPr>
      <w:r>
        <w:rPr>
          <w:rFonts w:ascii="宋体" w:hAnsi="宋体"/>
        </w:rPr>
        <w:t>同时，本</w:t>
      </w:r>
      <w:r>
        <w:rPr>
          <w:rFonts w:hint="eastAsia" w:ascii="宋体" w:hAnsi="宋体"/>
        </w:rPr>
        <w:t>技改</w:t>
      </w:r>
      <w:r>
        <w:rPr>
          <w:rFonts w:ascii="宋体" w:hAnsi="宋体"/>
        </w:rPr>
        <w:t>项目的</w:t>
      </w:r>
      <w:r>
        <w:rPr>
          <w:rFonts w:hint="eastAsia" w:ascii="宋体" w:hAnsi="宋体"/>
        </w:rPr>
        <w:t>实施</w:t>
      </w:r>
      <w:r>
        <w:rPr>
          <w:rFonts w:ascii="宋体" w:hAnsi="宋体"/>
        </w:rPr>
        <w:t>采用了新型干法技术，环保收尘技术先进可靠，水泥粉尘排放较原立窑工艺大大减少，对改善大气环境污染有显著作用。</w:t>
      </w:r>
    </w:p>
    <w:p>
      <w:pPr>
        <w:spacing w:line="360" w:lineRule="auto"/>
        <w:ind w:firstLine="420" w:firstLineChars="200"/>
        <w:rPr>
          <w:rFonts w:hint="eastAsia" w:ascii="宋体" w:hAnsi="宋体"/>
        </w:rPr>
      </w:pPr>
      <w:r>
        <w:rPr>
          <w:rFonts w:hint="eastAsia" w:ascii="宋体" w:hAnsi="宋体"/>
        </w:rPr>
        <w:t>（3）有利于社会稳定</w:t>
      </w:r>
    </w:p>
    <w:p>
      <w:pPr>
        <w:adjustRightInd w:val="0"/>
        <w:snapToGrid w:val="0"/>
        <w:spacing w:line="360" w:lineRule="auto"/>
        <w:ind w:firstLine="570"/>
        <w:rPr>
          <w:rFonts w:ascii="宋体" w:hAnsi="宋体"/>
        </w:rPr>
      </w:pPr>
      <w:r>
        <w:rPr>
          <w:rFonts w:hint="eastAsia" w:ascii="宋体" w:hAnsi="宋体"/>
        </w:rPr>
        <w:t>青鹏煤业公司是一家</w:t>
      </w:r>
      <w:r>
        <w:rPr>
          <w:rFonts w:ascii="宋体" w:hAnsi="宋体"/>
        </w:rPr>
        <w:t>以水泥、煤炭生产加工和销售为一体的“双主业”国有企业</w:t>
      </w:r>
      <w:r>
        <w:rPr>
          <w:rFonts w:hint="eastAsia" w:ascii="宋体" w:hAnsi="宋体"/>
        </w:rPr>
        <w:t>，</w:t>
      </w:r>
      <w:r>
        <w:rPr>
          <w:rFonts w:ascii="宋体" w:hAnsi="宋体"/>
        </w:rPr>
        <w:t>现有职工</w:t>
      </w:r>
      <w:r>
        <w:rPr>
          <w:rFonts w:hint="eastAsia" w:ascii="宋体" w:hAnsi="宋体"/>
        </w:rPr>
        <w:t>2</w:t>
      </w:r>
      <w:r>
        <w:rPr>
          <w:rFonts w:ascii="宋体" w:hAnsi="宋体"/>
        </w:rPr>
        <w:t>000</w:t>
      </w:r>
      <w:r>
        <w:rPr>
          <w:rFonts w:hint="eastAsia" w:ascii="宋体" w:hAnsi="宋体"/>
        </w:rPr>
        <w:t>余</w:t>
      </w:r>
      <w:r>
        <w:rPr>
          <w:rFonts w:ascii="宋体" w:hAnsi="宋体"/>
        </w:rPr>
        <w:t>人，</w:t>
      </w:r>
      <w:r>
        <w:rPr>
          <w:rFonts w:hint="eastAsia" w:ascii="宋体" w:hAnsi="宋体"/>
        </w:rPr>
        <w:t>但其</w:t>
      </w:r>
      <w:r>
        <w:rPr>
          <w:rFonts w:ascii="宋体" w:hAnsi="宋体"/>
        </w:rPr>
        <w:t>煤炭开采优质原煤煤层极薄，开采地质条件变化难控，随原煤开采夹带的煤矸石量越来越多，开采成本逐年升高。企业要生存发展，只有发挥优势，扬长避短。目前公司下属的水泥实业公司现已成为全公司经济支柱，但由于水泥实业公司现有4条水泥生产线均为立窑生产线，面临着被淘汰的局面，企业面临着较大的困难。</w:t>
      </w:r>
      <w:r>
        <w:rPr>
          <w:rFonts w:hint="eastAsia" w:ascii="宋体" w:hAnsi="宋体"/>
        </w:rPr>
        <w:t>技改项目</w:t>
      </w:r>
      <w:r>
        <w:rPr>
          <w:rFonts w:ascii="宋体" w:hAnsi="宋体"/>
        </w:rPr>
        <w:t>投产后不但可以解决现有企业人员分流安置问题，</w:t>
      </w:r>
      <w:r>
        <w:rPr>
          <w:rFonts w:hint="eastAsia" w:ascii="宋体" w:hAnsi="宋体"/>
        </w:rPr>
        <w:t>增加职工经济收入，促进社会安定，</w:t>
      </w:r>
      <w:r>
        <w:rPr>
          <w:rFonts w:ascii="宋体" w:hAnsi="宋体"/>
        </w:rPr>
        <w:t>而且可以成为企业新的经济增长点，真正使企业在激烈的市场竟争中处于不败之地，从而进一步发展壮大。</w:t>
      </w:r>
    </w:p>
    <w:p>
      <w:pPr>
        <w:spacing w:line="360" w:lineRule="auto"/>
        <w:ind w:firstLine="420" w:firstLineChars="200"/>
        <w:rPr>
          <w:rFonts w:ascii="宋体" w:hAnsi="宋体"/>
        </w:rPr>
      </w:pPr>
      <w:r>
        <w:rPr>
          <w:rFonts w:hint="eastAsia" w:ascii="宋体" w:hAnsi="宋体"/>
        </w:rPr>
        <w:t>综上所述，技改项目的环保投资所获得的效益明显，既有经济效益，又做到了污染物达标排放，减轻了对环境的污染影响，具有良好的环境效益和社会效益。</w:t>
      </w:r>
    </w:p>
    <w:p>
      <w:pPr>
        <w:pStyle w:val="13"/>
        <w:spacing w:line="480" w:lineRule="exact"/>
        <w:rPr>
          <w:rFonts w:hint="eastAsia"/>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Arial" w:hAnsi="Arial" w:cs="Arial"/>
        </w:rPr>
        <w:sectPr>
          <w:pgSz w:w="11906" w:h="16838"/>
          <w:pgMar w:top="1440" w:right="1418" w:bottom="1440" w:left="1418" w:header="851" w:footer="992" w:gutter="0"/>
          <w:paperSrc w:first="20070" w:other="20070"/>
          <w:cols w:space="425" w:num="1"/>
          <w:docGrid w:linePitch="312" w:charSpace="0"/>
        </w:sectPr>
      </w:pPr>
    </w:p>
    <w:p>
      <w:pPr>
        <w:spacing w:before="72" w:beforeLines="30" w:after="72" w:afterLines="30" w:line="460" w:lineRule="exact"/>
        <w:outlineLvl w:val="0"/>
        <w:rPr>
          <w:rFonts w:hint="eastAsia"/>
          <w:b/>
          <w:bCs/>
          <w:sz w:val="28"/>
          <w:szCs w:val="28"/>
        </w:rPr>
      </w:pPr>
      <w:bookmarkStart w:id="453" w:name="_Toc175479876"/>
      <w:bookmarkStart w:id="454" w:name="_Toc276372273"/>
      <w:bookmarkStart w:id="455" w:name="_Toc189814195"/>
      <w:bookmarkStart w:id="456" w:name="_Toc473281552"/>
      <w:bookmarkStart w:id="457" w:name="_Toc176686209"/>
      <w:bookmarkStart w:id="458" w:name="_Toc150759728"/>
      <w:bookmarkStart w:id="459" w:name="_Toc176784784"/>
      <w:bookmarkStart w:id="460" w:name="_Toc155859831"/>
      <w:r>
        <w:rPr>
          <w:rFonts w:hint="eastAsia"/>
          <w:b/>
          <w:bCs/>
          <w:sz w:val="28"/>
          <w:szCs w:val="28"/>
        </w:rPr>
        <w:t>12污染物排放总量控制分析</w:t>
      </w:r>
      <w:bookmarkEnd w:id="453"/>
      <w:bookmarkEnd w:id="454"/>
      <w:bookmarkEnd w:id="455"/>
      <w:bookmarkEnd w:id="456"/>
    </w:p>
    <w:p>
      <w:pPr>
        <w:tabs>
          <w:tab w:val="left" w:pos="3960"/>
          <w:tab w:val="left" w:pos="4500"/>
        </w:tabs>
        <w:spacing w:line="460" w:lineRule="atLeast"/>
        <w:outlineLvl w:val="1"/>
        <w:rPr>
          <w:b/>
        </w:rPr>
      </w:pPr>
      <w:bookmarkStart w:id="461" w:name="_Toc473281553"/>
      <w:bookmarkStart w:id="462" w:name="_Toc276372274"/>
      <w:bookmarkStart w:id="463" w:name="_Toc165607419"/>
      <w:bookmarkStart w:id="464" w:name="_Toc189814196"/>
      <w:bookmarkStart w:id="465" w:name="_Toc175479877"/>
      <w:r>
        <w:rPr>
          <w:b/>
        </w:rPr>
        <w:t>1</w:t>
      </w:r>
      <w:r>
        <w:rPr>
          <w:rFonts w:hint="eastAsia"/>
          <w:b/>
        </w:rPr>
        <w:t>2</w:t>
      </w:r>
      <w:r>
        <w:rPr>
          <w:b/>
        </w:rPr>
        <w:t>.1 污染物排放总量控制依据</w:t>
      </w:r>
      <w:bookmarkEnd w:id="461"/>
      <w:bookmarkEnd w:id="462"/>
      <w:bookmarkEnd w:id="463"/>
      <w:bookmarkEnd w:id="464"/>
      <w:bookmarkEnd w:id="465"/>
    </w:p>
    <w:p>
      <w:pPr>
        <w:spacing w:line="460" w:lineRule="atLeast"/>
        <w:ind w:firstLine="420" w:firstLineChars="200"/>
        <w:rPr>
          <w:rFonts w:ascii="宋体" w:hAnsi="宋体"/>
          <w:b/>
          <w:bCs/>
        </w:rPr>
      </w:pPr>
      <w:r>
        <w:rPr>
          <w:rFonts w:ascii="宋体" w:hAnsi="宋体"/>
        </w:rPr>
        <w:t>技改项目位于</w:t>
      </w:r>
      <w:r>
        <w:rPr>
          <w:rFonts w:hint="eastAsia"/>
          <w:spacing w:val="8"/>
        </w:rPr>
        <w:t>重庆市沙坪坝区青木关镇关口村</w:t>
      </w:r>
      <w:r>
        <w:rPr>
          <w:rFonts w:ascii="宋体" w:hAnsi="宋体"/>
        </w:rPr>
        <w:t>，属</w:t>
      </w:r>
      <w:r>
        <w:rPr>
          <w:rFonts w:hint="eastAsia" w:ascii="宋体" w:hAnsi="宋体"/>
        </w:rPr>
        <w:t>技改</w:t>
      </w:r>
      <w:r>
        <w:rPr>
          <w:rFonts w:ascii="宋体" w:hAnsi="宋体"/>
        </w:rPr>
        <w:t>项目，</w:t>
      </w:r>
      <w:r>
        <w:rPr>
          <w:rFonts w:hint="eastAsia" w:ascii="宋体" w:hAnsi="宋体"/>
        </w:rPr>
        <w:t>在</w:t>
      </w:r>
      <w:r>
        <w:rPr>
          <w:rFonts w:ascii="宋体" w:hAnsi="宋体"/>
        </w:rPr>
        <w:t>满足达标排放和环境功能区达标的</w:t>
      </w:r>
      <w:r>
        <w:rPr>
          <w:rFonts w:hint="eastAsia" w:ascii="宋体" w:hAnsi="宋体"/>
        </w:rPr>
        <w:t>前提下，污染物排放总量指标原则上应从</w:t>
      </w:r>
      <w:r>
        <w:rPr>
          <w:rFonts w:hint="eastAsia"/>
          <w:spacing w:val="8"/>
        </w:rPr>
        <w:t>沙坪坝区</w:t>
      </w:r>
      <w:r>
        <w:rPr>
          <w:rFonts w:hint="eastAsia" w:ascii="宋体" w:hAnsi="宋体"/>
        </w:rPr>
        <w:t>总量控制指标中调剂解决。</w:t>
      </w:r>
    </w:p>
    <w:p>
      <w:pPr>
        <w:tabs>
          <w:tab w:val="left" w:pos="3960"/>
          <w:tab w:val="left" w:pos="4500"/>
        </w:tabs>
        <w:spacing w:line="460" w:lineRule="atLeast"/>
        <w:outlineLvl w:val="1"/>
        <w:rPr>
          <w:b/>
        </w:rPr>
      </w:pPr>
      <w:bookmarkStart w:id="466" w:name="_Toc276372275"/>
      <w:bookmarkStart w:id="467" w:name="_Toc165607420"/>
      <w:bookmarkStart w:id="468" w:name="_Toc473281554"/>
      <w:bookmarkStart w:id="469" w:name="_Toc175479878"/>
      <w:bookmarkStart w:id="470" w:name="_Toc189814197"/>
      <w:r>
        <w:rPr>
          <w:b/>
        </w:rPr>
        <w:t>1</w:t>
      </w:r>
      <w:r>
        <w:rPr>
          <w:rFonts w:hint="eastAsia"/>
          <w:b/>
        </w:rPr>
        <w:t>2</w:t>
      </w:r>
      <w:r>
        <w:rPr>
          <w:b/>
        </w:rPr>
        <w:t>.2 总量控制因子</w:t>
      </w:r>
      <w:bookmarkEnd w:id="466"/>
      <w:bookmarkEnd w:id="467"/>
      <w:bookmarkEnd w:id="468"/>
      <w:bookmarkEnd w:id="469"/>
      <w:bookmarkEnd w:id="470"/>
    </w:p>
    <w:p>
      <w:pPr>
        <w:spacing w:line="460" w:lineRule="atLeast"/>
        <w:ind w:firstLine="420" w:firstLineChars="200"/>
        <w:rPr>
          <w:rFonts w:hint="eastAsia" w:ascii="宋体" w:hAnsi="宋体"/>
        </w:rPr>
      </w:pPr>
      <w:r>
        <w:t>根据“十</w:t>
      </w:r>
      <w:r>
        <w:rPr>
          <w:rFonts w:hint="eastAsia"/>
        </w:rPr>
        <w:t>一</w:t>
      </w:r>
      <w:r>
        <w:t>五”期间国家环保总局确定的</w:t>
      </w:r>
      <w:r>
        <w:rPr>
          <w:rFonts w:hint="eastAsia"/>
        </w:rPr>
        <w:t>2</w:t>
      </w:r>
      <w:r>
        <w:t>项污染物总量控制指标（SO</w:t>
      </w:r>
      <w:r>
        <w:rPr>
          <w:vertAlign w:val="subscript"/>
        </w:rPr>
        <w:t>2</w:t>
      </w:r>
      <w:r>
        <w:t>、COD），</w:t>
      </w:r>
      <w:r>
        <w:rPr>
          <w:rFonts w:hint="eastAsia"/>
        </w:rPr>
        <w:t>再考虑</w:t>
      </w:r>
      <w:r>
        <w:t>技改项目污染特征因子，确定总量控制因子共</w:t>
      </w:r>
      <w:r>
        <w:rPr>
          <w:rFonts w:hint="eastAsia"/>
        </w:rPr>
        <w:t>7</w:t>
      </w:r>
      <w:r>
        <w:t>项：</w:t>
      </w:r>
      <w:r>
        <w:rPr>
          <w:rFonts w:hint="eastAsia"/>
        </w:rPr>
        <w:t>SO</w:t>
      </w:r>
      <w:r>
        <w:rPr>
          <w:rFonts w:hint="eastAsia"/>
          <w:vertAlign w:val="subscript"/>
        </w:rPr>
        <w:t>2</w:t>
      </w:r>
      <w:r>
        <w:rPr>
          <w:rFonts w:hint="eastAsia"/>
        </w:rPr>
        <w:t>、NO</w:t>
      </w:r>
      <w:r>
        <w:rPr>
          <w:rFonts w:hint="eastAsia"/>
          <w:vertAlign w:val="subscript"/>
        </w:rPr>
        <w:t>2</w:t>
      </w:r>
      <w:r>
        <w:rPr>
          <w:rFonts w:hint="eastAsia"/>
        </w:rPr>
        <w:t>、烟粉尘、</w:t>
      </w:r>
      <w:r>
        <w:t>COD</w:t>
      </w:r>
      <w:r>
        <w:rPr>
          <w:rFonts w:hAnsi="宋体"/>
        </w:rPr>
        <w:t>、</w:t>
      </w:r>
      <w:r>
        <w:t>SS</w:t>
      </w:r>
      <w:r>
        <w:rPr>
          <w:rFonts w:hAnsi="宋体"/>
        </w:rPr>
        <w:t>、</w:t>
      </w:r>
      <w:r>
        <w:t>NH</w:t>
      </w:r>
      <w:r>
        <w:rPr>
          <w:vertAlign w:val="subscript"/>
        </w:rPr>
        <w:t>3</w:t>
      </w:r>
      <w:r>
        <w:t>-N</w:t>
      </w:r>
      <w:r>
        <w:rPr>
          <w:rFonts w:ascii="宋体" w:hAnsi="宋体"/>
        </w:rPr>
        <w:t>。</w:t>
      </w:r>
      <w:r>
        <w:rPr>
          <w:rFonts w:hint="eastAsia" w:ascii="宋体" w:hAnsi="宋体"/>
        </w:rPr>
        <w:t>工业固体废物均进行了有效的综合利用或按环保要求处置，</w:t>
      </w:r>
      <w:r>
        <w:rPr>
          <w:rFonts w:ascii="宋体" w:hAnsi="宋体"/>
        </w:rPr>
        <w:t>不外排，不进行总量控制。</w:t>
      </w:r>
    </w:p>
    <w:p>
      <w:pPr>
        <w:tabs>
          <w:tab w:val="left" w:pos="3960"/>
          <w:tab w:val="left" w:pos="4500"/>
        </w:tabs>
        <w:spacing w:line="460" w:lineRule="atLeast"/>
        <w:outlineLvl w:val="1"/>
        <w:rPr>
          <w:rFonts w:hint="eastAsia"/>
          <w:b/>
        </w:rPr>
      </w:pPr>
      <w:bookmarkStart w:id="471" w:name="_Toc473281555"/>
      <w:bookmarkStart w:id="472" w:name="_Toc189814198"/>
      <w:bookmarkStart w:id="473" w:name="_Toc175479879"/>
      <w:bookmarkStart w:id="474" w:name="_Toc276372276"/>
      <w:r>
        <w:rPr>
          <w:b/>
        </w:rPr>
        <w:t>1</w:t>
      </w:r>
      <w:r>
        <w:rPr>
          <w:rFonts w:hint="eastAsia"/>
          <w:b/>
        </w:rPr>
        <w:t>2</w:t>
      </w:r>
      <w:r>
        <w:rPr>
          <w:b/>
        </w:rPr>
        <w:t>.</w:t>
      </w:r>
      <w:r>
        <w:rPr>
          <w:rFonts w:hint="eastAsia"/>
          <w:b/>
        </w:rPr>
        <w:t>3</w:t>
      </w:r>
      <w:bookmarkEnd w:id="471"/>
      <w:bookmarkEnd w:id="472"/>
      <w:bookmarkEnd w:id="473"/>
      <w:bookmarkStart w:id="475" w:name="_Toc473281556"/>
      <w:bookmarkStart w:id="476" w:name="_Toc175479880"/>
      <w:bookmarkStart w:id="477" w:name="_Toc189814199"/>
      <w:bookmarkStart w:id="478" w:name="_Toc165607422"/>
      <w:r>
        <w:rPr>
          <w:rFonts w:hint="eastAsia"/>
          <w:b/>
        </w:rPr>
        <w:t>总量指标的</w:t>
      </w:r>
      <w:r>
        <w:rPr>
          <w:b/>
        </w:rPr>
        <w:t>解决途径</w:t>
      </w:r>
      <w:bookmarkEnd w:id="474"/>
      <w:bookmarkEnd w:id="475"/>
      <w:bookmarkEnd w:id="476"/>
      <w:bookmarkEnd w:id="477"/>
      <w:bookmarkEnd w:id="478"/>
    </w:p>
    <w:p>
      <w:pPr>
        <w:spacing w:line="460" w:lineRule="atLeast"/>
        <w:ind w:firstLine="420" w:firstLineChars="200"/>
        <w:rPr>
          <w:rFonts w:hint="eastAsia" w:ascii="宋体" w:hAnsi="宋体"/>
        </w:rPr>
      </w:pPr>
      <w:r>
        <w:rPr>
          <w:rFonts w:hint="eastAsia" w:ascii="宋体" w:hAnsi="宋体"/>
        </w:rPr>
        <w:t>技改项目建成后</w:t>
      </w:r>
      <w:r>
        <w:rPr>
          <w:rFonts w:hint="eastAsia"/>
        </w:rPr>
        <w:t>SO</w:t>
      </w:r>
      <w:r>
        <w:rPr>
          <w:rFonts w:hint="eastAsia"/>
          <w:vertAlign w:val="subscript"/>
        </w:rPr>
        <w:t>2</w:t>
      </w:r>
      <w:r>
        <w:rPr>
          <w:rFonts w:hint="eastAsia"/>
        </w:rPr>
        <w:t>和COD排放量分别为</w:t>
      </w:r>
      <w:r>
        <w:rPr>
          <w:rFonts w:hint="eastAsia"/>
        </w:rPr>
        <w:tab/>
      </w:r>
      <w:r>
        <w:rPr>
          <w:rFonts w:hint="eastAsia"/>
        </w:rPr>
        <w:t>216.44t/a和1.63t/a，公司立窑生产线SO</w:t>
      </w:r>
      <w:r>
        <w:rPr>
          <w:rFonts w:hint="eastAsia"/>
          <w:vertAlign w:val="subscript"/>
        </w:rPr>
        <w:t>2</w:t>
      </w:r>
      <w:r>
        <w:rPr>
          <w:rFonts w:hint="eastAsia"/>
        </w:rPr>
        <w:t>和COD总量为98t/a和10t/a，因此，COD总量指标公司可自行解决，而SO</w:t>
      </w:r>
      <w:r>
        <w:rPr>
          <w:rFonts w:hint="eastAsia"/>
          <w:vertAlign w:val="subscript"/>
        </w:rPr>
        <w:t>2</w:t>
      </w:r>
      <w:r>
        <w:rPr>
          <w:rFonts w:hint="eastAsia"/>
        </w:rPr>
        <w:t>总量指标尚差120t/a，沙坪坝区</w:t>
      </w:r>
      <w:r>
        <w:rPr>
          <w:rFonts w:hint="eastAsia" w:ascii="宋体" w:hAnsi="宋体"/>
        </w:rPr>
        <w:t>环保局通过关停重庆山洞水泥厂予以解决，该项目可腾出200</w:t>
      </w:r>
      <w:r>
        <w:rPr>
          <w:rFonts w:hint="eastAsia"/>
        </w:rPr>
        <w:t xml:space="preserve"> t/a SO</w:t>
      </w:r>
      <w:r>
        <w:rPr>
          <w:rFonts w:hint="eastAsia"/>
          <w:vertAlign w:val="subscript"/>
        </w:rPr>
        <w:t>2</w:t>
      </w:r>
      <w:r>
        <w:rPr>
          <w:rFonts w:hint="eastAsia"/>
        </w:rPr>
        <w:t>，沙坪坝区环保局将其中120 t/a调剂给本技改项目。</w:t>
      </w:r>
    </w:p>
    <w:p>
      <w:pPr>
        <w:spacing w:line="460" w:lineRule="atLeast"/>
        <w:ind w:firstLine="420" w:firstLineChars="200"/>
        <w:rPr>
          <w:rFonts w:hint="eastAsia" w:ascii="宋体" w:hAnsi="宋体"/>
        </w:rPr>
      </w:pPr>
      <w:r>
        <w:rPr>
          <w:rFonts w:hint="eastAsia" w:ascii="宋体" w:hAnsi="宋体"/>
        </w:rPr>
        <w:t>由于技改项目排放</w:t>
      </w:r>
      <w:r>
        <w:rPr>
          <w:rFonts w:hint="eastAsia"/>
        </w:rPr>
        <w:t>NO</w:t>
      </w:r>
      <w:r>
        <w:rPr>
          <w:rFonts w:hint="eastAsia"/>
          <w:vertAlign w:val="subscript"/>
        </w:rPr>
        <w:t>2</w:t>
      </w:r>
      <w:r>
        <w:rPr>
          <w:rFonts w:hint="eastAsia"/>
        </w:rPr>
        <w:t>、烟粉尘、</w:t>
      </w:r>
      <w:r>
        <w:t>SS</w:t>
      </w:r>
      <w:r>
        <w:rPr>
          <w:rFonts w:hAnsi="宋体"/>
        </w:rPr>
        <w:t>、</w:t>
      </w:r>
      <w:r>
        <w:t>NH</w:t>
      </w:r>
      <w:r>
        <w:rPr>
          <w:vertAlign w:val="subscript"/>
        </w:rPr>
        <w:t>3</w:t>
      </w:r>
      <w:r>
        <w:t>-N</w:t>
      </w:r>
      <w:r>
        <w:rPr>
          <w:rFonts w:hint="eastAsia" w:ascii="宋体" w:hAnsi="宋体"/>
        </w:rPr>
        <w:t>未纳入国家总量控制指标，所以不存在总量指标解决途径的问题。</w:t>
      </w:r>
    </w:p>
    <w:p>
      <w:pPr>
        <w:tabs>
          <w:tab w:val="left" w:pos="3960"/>
          <w:tab w:val="left" w:pos="4500"/>
        </w:tabs>
        <w:spacing w:line="460" w:lineRule="atLeast"/>
        <w:outlineLvl w:val="1"/>
        <w:rPr>
          <w:b/>
        </w:rPr>
      </w:pPr>
      <w:bookmarkStart w:id="479" w:name="_Toc189814200"/>
      <w:bookmarkStart w:id="480" w:name="_Toc175479881"/>
      <w:bookmarkStart w:id="481" w:name="_Toc473281557"/>
      <w:bookmarkStart w:id="482" w:name="_Toc276372277"/>
      <w:r>
        <w:rPr>
          <w:b/>
        </w:rPr>
        <w:t>1</w:t>
      </w:r>
      <w:r>
        <w:rPr>
          <w:rFonts w:hint="eastAsia"/>
          <w:b/>
        </w:rPr>
        <w:t>2</w:t>
      </w:r>
      <w:r>
        <w:rPr>
          <w:b/>
        </w:rPr>
        <w:t>.</w:t>
      </w:r>
      <w:r>
        <w:rPr>
          <w:rFonts w:hint="eastAsia"/>
          <w:b/>
        </w:rPr>
        <w:t>4</w:t>
      </w:r>
      <w:r>
        <w:rPr>
          <w:b/>
        </w:rPr>
        <w:t xml:space="preserve"> 污染物排放总量控制建议指标</w:t>
      </w:r>
      <w:bookmarkEnd w:id="479"/>
      <w:bookmarkEnd w:id="480"/>
      <w:bookmarkEnd w:id="481"/>
      <w:bookmarkEnd w:id="482"/>
    </w:p>
    <w:p>
      <w:pPr>
        <w:tabs>
          <w:tab w:val="left" w:pos="3960"/>
          <w:tab w:val="left" w:pos="4500"/>
        </w:tabs>
        <w:spacing w:line="460" w:lineRule="atLeast"/>
        <w:ind w:firstLine="420" w:firstLineChars="200"/>
        <w:rPr>
          <w:rFonts w:hint="eastAsia"/>
        </w:rPr>
      </w:pPr>
      <w:r>
        <w:rPr>
          <w:rFonts w:hint="eastAsia"/>
        </w:rPr>
        <w:t>根据以上分析，</w:t>
      </w:r>
      <w:r>
        <w:t>技改项目污染物排放总量按最终排放量控制是可行的，其总量控制建议指标为：</w:t>
      </w:r>
    </w:p>
    <w:p>
      <w:pPr>
        <w:spacing w:line="460" w:lineRule="exact"/>
        <w:ind w:firstLine="420" w:firstLineChars="200"/>
        <w:rPr>
          <w:rFonts w:hint="eastAsia"/>
        </w:rPr>
      </w:pPr>
      <w:r>
        <w:rPr>
          <w:rFonts w:hint="eastAsia"/>
        </w:rPr>
        <w:t>废气污染物总量控制指标：烟粉尘261.37</w:t>
      </w:r>
      <w:r>
        <w:t>t/a</w:t>
      </w:r>
      <w:r>
        <w:rPr>
          <w:rFonts w:hint="eastAsia"/>
        </w:rPr>
        <w:t>、SO</w:t>
      </w:r>
      <w:r>
        <w:rPr>
          <w:rFonts w:hint="eastAsia"/>
          <w:vertAlign w:val="subscript"/>
        </w:rPr>
        <w:t>2</w:t>
      </w:r>
      <w:r>
        <w:rPr>
          <w:rFonts w:hint="eastAsia"/>
        </w:rPr>
        <w:t>216.44</w:t>
      </w:r>
      <w:r>
        <w:t>t/a</w:t>
      </w:r>
      <w:r>
        <w:rPr>
          <w:rFonts w:hint="eastAsia"/>
        </w:rPr>
        <w:t>、NO</w:t>
      </w:r>
      <w:r>
        <w:rPr>
          <w:rFonts w:hint="eastAsia"/>
          <w:vertAlign w:val="subscript"/>
        </w:rPr>
        <w:t>2</w:t>
      </w:r>
      <w:r>
        <w:rPr>
          <w:rFonts w:hint="eastAsia"/>
        </w:rPr>
        <w:t>1799.88</w:t>
      </w:r>
      <w:r>
        <w:t>t/a</w:t>
      </w:r>
      <w:r>
        <w:rPr>
          <w:rFonts w:hint="eastAsia"/>
        </w:rPr>
        <w:t>。</w:t>
      </w:r>
    </w:p>
    <w:p>
      <w:pPr>
        <w:spacing w:line="460" w:lineRule="exact"/>
        <w:ind w:firstLine="420" w:firstLineChars="200"/>
        <w:rPr>
          <w:rFonts w:hint="eastAsia"/>
        </w:rPr>
      </w:pPr>
      <w:r>
        <w:rPr>
          <w:rFonts w:hint="eastAsia"/>
        </w:rPr>
        <w:t>废水污染物总量控制指标：</w:t>
      </w:r>
      <w:r>
        <w:t>COD</w:t>
      </w:r>
      <w:r>
        <w:rPr>
          <w:rFonts w:hint="eastAsia"/>
        </w:rPr>
        <w:t>1.63</w:t>
      </w:r>
      <w:r>
        <w:t>t/a</w:t>
      </w:r>
      <w:r>
        <w:rPr>
          <w:rFonts w:hAnsi="宋体"/>
        </w:rPr>
        <w:t>、</w:t>
      </w:r>
      <w:r>
        <w:t>SS</w:t>
      </w:r>
      <w:r>
        <w:rPr>
          <w:rFonts w:hint="eastAsia"/>
        </w:rPr>
        <w:t xml:space="preserve"> 0.92</w:t>
      </w:r>
      <w:r>
        <w:t>t/a</w:t>
      </w:r>
      <w:r>
        <w:rPr>
          <w:rFonts w:hAnsi="宋体"/>
        </w:rPr>
        <w:t>、</w:t>
      </w:r>
      <w:r>
        <w:t>NH</w:t>
      </w:r>
      <w:r>
        <w:rPr>
          <w:vertAlign w:val="subscript"/>
        </w:rPr>
        <w:t>3</w:t>
      </w:r>
      <w:r>
        <w:t>-N</w:t>
      </w:r>
      <w:r>
        <w:rPr>
          <w:rFonts w:hint="eastAsia"/>
        </w:rPr>
        <w:t xml:space="preserve"> 0.11</w:t>
      </w:r>
      <w:r>
        <w:t>t/a</w:t>
      </w:r>
      <w:r>
        <w:rPr>
          <w:rFonts w:ascii="宋体" w:hAnsi="宋体"/>
        </w:rPr>
        <w:t>。</w:t>
      </w:r>
    </w:p>
    <w:p>
      <w:pPr>
        <w:spacing w:line="480" w:lineRule="exact"/>
        <w:outlineLvl w:val="0"/>
        <w:rPr>
          <w:rFonts w:hint="eastAsia"/>
          <w:b/>
          <w:sz w:val="28"/>
          <w:szCs w:val="28"/>
        </w:rPr>
      </w:pPr>
      <w:bookmarkStart w:id="483" w:name="_Toc473281558"/>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rFonts w:hint="eastAsia"/>
          <w:b/>
          <w:sz w:val="28"/>
          <w:szCs w:val="28"/>
        </w:rPr>
      </w:pPr>
    </w:p>
    <w:p>
      <w:pPr>
        <w:spacing w:line="480" w:lineRule="exact"/>
        <w:outlineLvl w:val="0"/>
        <w:rPr>
          <w:b/>
          <w:sz w:val="28"/>
          <w:szCs w:val="28"/>
        </w:rPr>
        <w:sectPr>
          <w:type w:val="oddPage"/>
          <w:pgSz w:w="11907" w:h="16840"/>
          <w:pgMar w:top="1134" w:right="1418" w:bottom="1134" w:left="1418" w:header="1134" w:footer="851" w:gutter="0"/>
          <w:paperSrc w:first="20070" w:other="20070"/>
          <w:cols w:space="720" w:num="1"/>
        </w:sectPr>
      </w:pPr>
      <w:bookmarkStart w:id="484" w:name="_Toc189814201"/>
    </w:p>
    <w:p>
      <w:pPr>
        <w:spacing w:line="360" w:lineRule="auto"/>
        <w:outlineLvl w:val="0"/>
        <w:rPr>
          <w:rFonts w:hint="eastAsia"/>
          <w:b/>
          <w:sz w:val="28"/>
          <w:szCs w:val="28"/>
        </w:rPr>
      </w:pPr>
      <w:bookmarkStart w:id="485" w:name="_Toc276372278"/>
      <w:r>
        <w:rPr>
          <w:rFonts w:hint="eastAsia"/>
          <w:b/>
          <w:sz w:val="28"/>
          <w:szCs w:val="28"/>
        </w:rPr>
        <w:t>13 产业政策与规划符合性</w:t>
      </w:r>
      <w:bookmarkEnd w:id="457"/>
      <w:bookmarkEnd w:id="458"/>
      <w:bookmarkEnd w:id="459"/>
      <w:bookmarkEnd w:id="460"/>
      <w:bookmarkEnd w:id="483"/>
      <w:bookmarkEnd w:id="484"/>
      <w:r>
        <w:rPr>
          <w:rFonts w:hint="eastAsia"/>
          <w:b/>
          <w:sz w:val="28"/>
          <w:szCs w:val="28"/>
        </w:rPr>
        <w:t>分析</w:t>
      </w:r>
      <w:bookmarkEnd w:id="485"/>
    </w:p>
    <w:p>
      <w:pPr>
        <w:spacing w:line="360" w:lineRule="auto"/>
        <w:outlineLvl w:val="1"/>
        <w:rPr>
          <w:rFonts w:hint="eastAsia"/>
          <w:b/>
          <w:szCs w:val="20"/>
        </w:rPr>
      </w:pPr>
      <w:bookmarkStart w:id="486" w:name="_Toc176686161"/>
      <w:bookmarkStart w:id="487" w:name="_Toc155859714"/>
      <w:bookmarkStart w:id="488" w:name="_Toc150759612"/>
      <w:bookmarkStart w:id="489" w:name="_Toc189814202"/>
      <w:bookmarkStart w:id="490" w:name="_Toc473281559"/>
      <w:bookmarkStart w:id="491" w:name="_Toc176784785"/>
      <w:bookmarkStart w:id="492" w:name="_Toc276372279"/>
      <w:bookmarkStart w:id="493" w:name="_Toc150759729"/>
      <w:bookmarkStart w:id="494" w:name="_Toc176686210"/>
      <w:bookmarkStart w:id="495" w:name="_Toc155859832"/>
      <w:r>
        <w:rPr>
          <w:rFonts w:hint="eastAsia"/>
          <w:b/>
          <w:szCs w:val="20"/>
        </w:rPr>
        <w:t>13.1 产业政策符合性</w:t>
      </w:r>
      <w:bookmarkEnd w:id="486"/>
      <w:bookmarkEnd w:id="487"/>
      <w:bookmarkEnd w:id="488"/>
      <w:r>
        <w:rPr>
          <w:rFonts w:hint="eastAsia"/>
          <w:b/>
          <w:szCs w:val="20"/>
        </w:rPr>
        <w:t>分析</w:t>
      </w:r>
      <w:bookmarkEnd w:id="489"/>
      <w:bookmarkEnd w:id="490"/>
      <w:bookmarkEnd w:id="491"/>
      <w:bookmarkEnd w:id="492"/>
    </w:p>
    <w:p>
      <w:pPr>
        <w:adjustRightInd w:val="0"/>
        <w:snapToGrid w:val="0"/>
        <w:spacing w:line="360" w:lineRule="auto"/>
        <w:ind w:firstLine="420" w:firstLineChars="200"/>
        <w:rPr>
          <w:rFonts w:hint="eastAsia"/>
        </w:rPr>
      </w:pPr>
      <w:r>
        <w:t>水泥是国民经济建设的重要基础原材料，近几年国内水泥工业得到了快速发展。为落实科学发展观，构建和谐社会，实施节能减排，优化结构，合理布局，加快推进水泥工业结构调整，引导水泥工业持续健康发展，国家</w:t>
      </w:r>
      <w:r>
        <w:rPr>
          <w:rFonts w:hint="eastAsia"/>
        </w:rPr>
        <w:t>和重庆市</w:t>
      </w:r>
      <w:r>
        <w:t>相继出台了《关于加快水泥工业结构调整的若干意见》、《水泥工业产业发展政策》、《水泥工业发展专项规划》、《国务院关于印发节能减排综合性工作方案的通知》、</w:t>
      </w:r>
      <w:r>
        <w:rPr>
          <w:rFonts w:hint="eastAsia"/>
        </w:rPr>
        <w:t>《国务院批转发改委等部门关于抑制部分行业产能过剩和重复建设引导产业健康发展若干意见的通知》、《国务院关于进一步加强淘汰落后产能工作的通知》、</w:t>
      </w:r>
      <w:r>
        <w:t>《重庆市水泥工业</w:t>
      </w:r>
      <w:r>
        <w:rPr>
          <w:rFonts w:hint="eastAsia"/>
        </w:rPr>
        <w:t>“</w:t>
      </w:r>
      <w:r>
        <w:t>十一五</w:t>
      </w:r>
      <w:r>
        <w:rPr>
          <w:rFonts w:hint="eastAsia"/>
        </w:rPr>
        <w:t>”</w:t>
      </w:r>
      <w:r>
        <w:t>发展规划》等政策和规划，为水泥工业的健康发展指明了方向。</w:t>
      </w:r>
    </w:p>
    <w:p>
      <w:pPr>
        <w:spacing w:line="360" w:lineRule="auto"/>
        <w:rPr>
          <w:b/>
          <w:bCs/>
          <w:szCs w:val="20"/>
        </w:rPr>
      </w:pPr>
      <w:r>
        <w:rPr>
          <w:rFonts w:hint="eastAsia"/>
          <w:b/>
          <w:bCs/>
          <w:szCs w:val="20"/>
        </w:rPr>
        <w:t>13</w:t>
      </w:r>
      <w:r>
        <w:rPr>
          <w:b/>
          <w:bCs/>
          <w:szCs w:val="20"/>
        </w:rPr>
        <w:t>.1.1与《产业结构调整指导目录》</w:t>
      </w:r>
      <w:r>
        <w:rPr>
          <w:rFonts w:hint="eastAsia"/>
          <w:b/>
          <w:bCs/>
          <w:szCs w:val="20"/>
        </w:rPr>
        <w:t>（</w:t>
      </w:r>
      <w:r>
        <w:rPr>
          <w:b/>
          <w:bCs/>
          <w:szCs w:val="20"/>
        </w:rPr>
        <w:t>2005年本</w:t>
      </w:r>
      <w:r>
        <w:rPr>
          <w:rFonts w:hint="eastAsia"/>
          <w:b/>
          <w:bCs/>
          <w:szCs w:val="20"/>
        </w:rPr>
        <w:t>）</w:t>
      </w:r>
      <w:r>
        <w:rPr>
          <w:b/>
          <w:bCs/>
          <w:szCs w:val="20"/>
        </w:rPr>
        <w:t>的符合性分析</w:t>
      </w:r>
    </w:p>
    <w:p>
      <w:pPr>
        <w:adjustRightInd w:val="0"/>
        <w:snapToGrid w:val="0"/>
        <w:spacing w:line="360" w:lineRule="auto"/>
        <w:ind w:firstLine="420" w:firstLineChars="200"/>
      </w:pPr>
      <w:r>
        <w:t>根据《产业结构调整指导目录》</w:t>
      </w:r>
      <w:r>
        <w:rPr>
          <w:rFonts w:hint="eastAsia"/>
        </w:rPr>
        <w:t>（</w:t>
      </w:r>
      <w:r>
        <w:t>2005年本</w:t>
      </w:r>
      <w:r>
        <w:rPr>
          <w:rFonts w:hint="eastAsia"/>
        </w:rPr>
        <w:t>）</w:t>
      </w:r>
      <w:r>
        <w:t>，建材行业属于鼓励类的内容包括：日产4000吨及以上（西部地区日产2000吨及以上）熟料新型干法水泥生产及装备和配套材料开发；新型干法水泥和新型墙体材料等建材产品生产中消纳工业废弃物、城市垃圾和污泥的无害化与资源化关键技术及装备开发。</w:t>
      </w:r>
    </w:p>
    <w:p>
      <w:pPr>
        <w:adjustRightInd w:val="0"/>
        <w:snapToGrid w:val="0"/>
        <w:spacing w:line="360" w:lineRule="auto"/>
        <w:ind w:firstLine="420" w:firstLineChars="200"/>
      </w:pPr>
      <w:r>
        <w:rPr>
          <w:rFonts w:hint="eastAsia"/>
        </w:rPr>
        <w:t>本技改项目</w:t>
      </w:r>
      <w:r>
        <w:t>生产线规模为日产2500t</w:t>
      </w:r>
      <w:r>
        <w:rPr>
          <w:rFonts w:hint="eastAsia"/>
        </w:rPr>
        <w:t>水泥熟料</w:t>
      </w:r>
      <w:r>
        <w:t>，该新型干法水泥生产线积极利用煤</w:t>
      </w:r>
      <w:r>
        <w:rPr>
          <w:rFonts w:hint="eastAsia"/>
        </w:rPr>
        <w:t>矸石、硫酸渣</w:t>
      </w:r>
      <w:r>
        <w:t>等固体废物，消纳了社会中产生的工业废弃物，符合《产业结构调整指导目录》</w:t>
      </w:r>
      <w:r>
        <w:rPr>
          <w:rFonts w:hint="eastAsia"/>
        </w:rPr>
        <w:t>中</w:t>
      </w:r>
      <w:r>
        <w:t>鼓励类</w:t>
      </w:r>
      <w:r>
        <w:rPr>
          <w:rFonts w:hint="eastAsia"/>
        </w:rPr>
        <w:t>项目</w:t>
      </w:r>
      <w:r>
        <w:t>的内容。</w:t>
      </w:r>
    </w:p>
    <w:p>
      <w:pPr>
        <w:spacing w:line="360" w:lineRule="auto"/>
        <w:rPr>
          <w:b/>
          <w:bCs/>
          <w:szCs w:val="20"/>
        </w:rPr>
      </w:pPr>
      <w:r>
        <w:rPr>
          <w:rFonts w:hint="eastAsia"/>
          <w:b/>
          <w:bCs/>
          <w:szCs w:val="20"/>
        </w:rPr>
        <w:t>13</w:t>
      </w:r>
      <w:r>
        <w:rPr>
          <w:b/>
          <w:bCs/>
          <w:szCs w:val="20"/>
        </w:rPr>
        <w:t>.1.2  与加快水泥工业结构调整的符合性分析</w:t>
      </w:r>
    </w:p>
    <w:p>
      <w:pPr>
        <w:adjustRightInd w:val="0"/>
        <w:snapToGrid w:val="0"/>
        <w:spacing w:line="360" w:lineRule="auto"/>
        <w:ind w:firstLine="420" w:firstLineChars="200"/>
      </w:pPr>
      <w:r>
        <w:t>2006年4月，八部门发布了《印发关于加快水泥工业结构调整的若干意见的通知》，以加快推进产能过剩行业结构调整，其主要精神是：2010年水泥预期产量12.5亿吨，其中新型干法水泥比重提高到70%，水泥散装率达到60％；新型干法水泥吨熟料热耗由130kg下降到110kg标准煤，采用余热发电生产线达40%，水泥单位产品综合能耗下降25％。</w:t>
      </w:r>
    </w:p>
    <w:p>
      <w:pPr>
        <w:spacing w:line="360" w:lineRule="auto"/>
        <w:ind w:firstLine="315" w:firstLineChars="150"/>
        <w:rPr>
          <w:rFonts w:hint="eastAsia"/>
        </w:rPr>
      </w:pPr>
      <w:r>
        <w:rPr>
          <w:rFonts w:hint="eastAsia"/>
        </w:rPr>
        <w:t>本技改项目</w:t>
      </w:r>
      <w:r>
        <w:t>是按照水泥工业结构调整要求，在充分消化吸收现有干法水泥实际生产经验和国内外先进技术的基础上的有序发展。工程积极采用新型干法水泥生产技术，水泥散装率为70％，吨熟料综合能耗为1</w:t>
      </w:r>
      <w:r>
        <w:rPr>
          <w:rFonts w:hint="eastAsia"/>
        </w:rPr>
        <w:t>07</w:t>
      </w:r>
      <w:r>
        <w:t xml:space="preserve"> kg标准煤；积极配套建设余热发电设施，实现了节能减排。</w:t>
      </w:r>
    </w:p>
    <w:p>
      <w:pPr>
        <w:spacing w:line="360" w:lineRule="auto"/>
        <w:rPr>
          <w:rFonts w:hint="eastAsia"/>
          <w:b/>
          <w:bCs/>
          <w:szCs w:val="20"/>
        </w:rPr>
      </w:pPr>
      <w:r>
        <w:rPr>
          <w:rFonts w:hint="eastAsia"/>
          <w:b/>
          <w:bCs/>
          <w:szCs w:val="20"/>
        </w:rPr>
        <w:t>13</w:t>
      </w:r>
      <w:r>
        <w:rPr>
          <w:b/>
          <w:bCs/>
          <w:szCs w:val="20"/>
        </w:rPr>
        <w:t>.1.3  与水泥工业产业发展政策</w:t>
      </w:r>
      <w:r>
        <w:rPr>
          <w:rFonts w:hint="eastAsia"/>
          <w:b/>
          <w:bCs/>
          <w:szCs w:val="20"/>
        </w:rPr>
        <w:t>的符合性分析</w:t>
      </w:r>
    </w:p>
    <w:p>
      <w:pPr>
        <w:adjustRightInd w:val="0"/>
        <w:snapToGrid w:val="0"/>
        <w:spacing w:line="360" w:lineRule="auto"/>
        <w:ind w:firstLine="420" w:firstLineChars="200"/>
      </w:pPr>
      <w:r>
        <w:t>2006年10月，国家发改委发布</w:t>
      </w:r>
      <w:r>
        <w:rPr>
          <w:rFonts w:hint="eastAsia"/>
        </w:rPr>
        <w:t>的</w:t>
      </w:r>
      <w:r>
        <w:t>《水泥工业产业发展政策》中提到：国家鼓励地方和企业以淘汰落后生产能力方式发展新型干法水泥，重点支持在有资源的地区建设日产4000吨及以上规模新型干法水泥项目，建设大型熟料基地；国家鼓励和支持企业发展循环经济，新型干法窑系统废气余热要进行回收利用，鼓励采用纯低温废气余热发电。</w:t>
      </w:r>
    </w:p>
    <w:p>
      <w:pPr>
        <w:adjustRightInd w:val="0"/>
        <w:snapToGrid w:val="0"/>
        <w:spacing w:line="360" w:lineRule="auto"/>
        <w:ind w:firstLine="420" w:firstLineChars="200"/>
        <w:rPr>
          <w:rFonts w:hint="eastAsia"/>
        </w:rPr>
      </w:pPr>
      <w:r>
        <w:rPr>
          <w:rFonts w:hint="eastAsia"/>
        </w:rPr>
        <w:t>本技改项目</w:t>
      </w:r>
      <w:r>
        <w:t>以淘汰落后</w:t>
      </w:r>
      <w:r>
        <w:rPr>
          <w:rFonts w:hint="eastAsia"/>
        </w:rPr>
        <w:t>的机立窑的</w:t>
      </w:r>
      <w:r>
        <w:t>方式发展新型干法水泥，规模为日产2500吨；</w:t>
      </w:r>
      <w:r>
        <w:rPr>
          <w:rFonts w:hint="eastAsia"/>
        </w:rPr>
        <w:t>同时</w:t>
      </w:r>
      <w:r>
        <w:t>积极利用低品位原燃材料以及</w:t>
      </w:r>
      <w:r>
        <w:rPr>
          <w:rFonts w:hint="eastAsia"/>
        </w:rPr>
        <w:t>矿渣和</w:t>
      </w:r>
      <w:r>
        <w:t>煤</w:t>
      </w:r>
      <w:r>
        <w:rPr>
          <w:rFonts w:hint="eastAsia"/>
        </w:rPr>
        <w:t>渣</w:t>
      </w:r>
      <w:r>
        <w:t>等固体废物，</w:t>
      </w:r>
      <w:r>
        <w:rPr>
          <w:rFonts w:hint="eastAsia"/>
        </w:rPr>
        <w:t>并采</w:t>
      </w:r>
      <w:r>
        <w:t>用低温废气进行余热发电。</w:t>
      </w:r>
      <w:r>
        <w:rPr>
          <w:rFonts w:hint="eastAsia"/>
        </w:rPr>
        <w:t>因此，技改项目符合《水泥工业产业发展政策》。</w:t>
      </w:r>
    </w:p>
    <w:p>
      <w:pPr>
        <w:spacing w:line="360" w:lineRule="auto"/>
        <w:rPr>
          <w:b/>
          <w:bCs/>
          <w:szCs w:val="20"/>
        </w:rPr>
      </w:pPr>
      <w:r>
        <w:rPr>
          <w:rFonts w:hint="eastAsia"/>
          <w:b/>
          <w:bCs/>
          <w:szCs w:val="20"/>
        </w:rPr>
        <w:t>13</w:t>
      </w:r>
      <w:r>
        <w:rPr>
          <w:b/>
          <w:bCs/>
          <w:szCs w:val="20"/>
        </w:rPr>
        <w:t>.1.4  与节能减排综合性工作方案的符合性分析</w:t>
      </w:r>
    </w:p>
    <w:p>
      <w:pPr>
        <w:adjustRightInd w:val="0"/>
        <w:snapToGrid w:val="0"/>
        <w:spacing w:line="360" w:lineRule="auto"/>
        <w:ind w:firstLine="420" w:firstLineChars="200"/>
        <w:rPr>
          <w:rFonts w:hint="eastAsia"/>
        </w:rPr>
      </w:pPr>
      <w:r>
        <w:t>2007年6月，国务院发布了《节能减排综合性工作方案》，该方案提出了节能减排的重要性和紧迫性，并提出要组织制订和完善粗钢、水泥等22项高耗能产品能耗限额强制性国家标准。2009年7月1日环境保护部发布</w:t>
      </w:r>
      <w:r>
        <w:rPr>
          <w:rFonts w:hint="eastAsia"/>
        </w:rPr>
        <w:t>了</w:t>
      </w:r>
      <w:r>
        <w:t>《清洁生产标准 水泥工业》</w:t>
      </w:r>
      <w:r>
        <w:rPr>
          <w:rFonts w:hint="eastAsia"/>
        </w:rPr>
        <w:t xml:space="preserve"> </w:t>
      </w:r>
      <w:r>
        <w:t>HJ 467－2009</w:t>
      </w:r>
      <w:r>
        <w:rPr>
          <w:rFonts w:hint="eastAsia"/>
        </w:rPr>
        <w:t>，该标准从</w:t>
      </w:r>
      <w:r>
        <w:t>生产工艺装备</w:t>
      </w:r>
      <w:r>
        <w:rPr>
          <w:rFonts w:hint="eastAsia"/>
        </w:rPr>
        <w:t>、资源能源利用指标、</w:t>
      </w:r>
      <w:r>
        <w:t>产品指标</w:t>
      </w:r>
      <w:r>
        <w:rPr>
          <w:rFonts w:hint="eastAsia"/>
        </w:rPr>
        <w:t>、</w:t>
      </w:r>
      <w:r>
        <w:t>污染物产生指标</w:t>
      </w:r>
      <w:r>
        <w:rPr>
          <w:rFonts w:hint="eastAsia"/>
        </w:rPr>
        <w:t>、废物回收利用指标及环境管理要求等方面提出了水泥行业的清洁生产标准。</w:t>
      </w:r>
    </w:p>
    <w:p>
      <w:pPr>
        <w:autoSpaceDE w:val="0"/>
        <w:autoSpaceDN w:val="0"/>
        <w:adjustRightInd w:val="0"/>
        <w:snapToGrid w:val="0"/>
        <w:spacing w:line="360" w:lineRule="auto"/>
        <w:ind w:firstLine="420" w:firstLineChars="200"/>
        <w:jc w:val="left"/>
      </w:pPr>
      <w:r>
        <w:rPr>
          <w:rFonts w:hint="eastAsia"/>
        </w:rPr>
        <w:t>本技改</w:t>
      </w:r>
      <w:r>
        <w:t>项目积极采取先进的生产工艺装备，积极回收利用资源能源，产品指标、污染物产生指标及废物回收利用指标国内先进</w:t>
      </w:r>
      <w:r>
        <w:rPr>
          <w:rFonts w:hint="eastAsia"/>
        </w:rPr>
        <w:t>水平</w:t>
      </w:r>
      <w:r>
        <w:t>，生产线热损耗少，余热得到充分回收利用，符合国家节能减排的发展要求。</w:t>
      </w:r>
    </w:p>
    <w:p>
      <w:pPr>
        <w:spacing w:line="360" w:lineRule="auto"/>
        <w:rPr>
          <w:b/>
          <w:bCs/>
          <w:szCs w:val="20"/>
        </w:rPr>
      </w:pPr>
      <w:r>
        <w:rPr>
          <w:rFonts w:hint="eastAsia"/>
          <w:b/>
          <w:bCs/>
          <w:szCs w:val="20"/>
        </w:rPr>
        <w:t>13</w:t>
      </w:r>
      <w:r>
        <w:rPr>
          <w:b/>
          <w:bCs/>
          <w:szCs w:val="20"/>
        </w:rPr>
        <w:t>.1.5  与淘汰落后产能</w:t>
      </w:r>
      <w:r>
        <w:rPr>
          <w:rFonts w:hint="eastAsia"/>
          <w:b/>
          <w:bCs/>
          <w:szCs w:val="20"/>
        </w:rPr>
        <w:t>、抑制部分行业产能过剩和重复建设</w:t>
      </w:r>
      <w:r>
        <w:rPr>
          <w:b/>
          <w:bCs/>
          <w:szCs w:val="20"/>
        </w:rPr>
        <w:t>的符合性分析</w:t>
      </w:r>
    </w:p>
    <w:p>
      <w:pPr>
        <w:adjustRightInd w:val="0"/>
        <w:snapToGrid w:val="0"/>
        <w:spacing w:line="360" w:lineRule="auto"/>
        <w:ind w:firstLine="420" w:firstLineChars="200"/>
        <w:rPr>
          <w:rFonts w:hint="eastAsia"/>
        </w:rPr>
      </w:pPr>
      <w:r>
        <w:rPr>
          <w:rFonts w:hint="eastAsia"/>
        </w:rPr>
        <w:t>《国务院关于进一步加强淘汰落后产能工作的通知》（国发〔2010〕7号）文规定的：“坚持新增产能与淘汰产能‘等量置换’或‘减量置换’的原则”。“支持企业升级改造，充分发挥科技对产业升级的支撑作用，统筹安排技术改造资金，以质量品种、节能降耗、环境保护、改善装备、安全生产为重点，对落后产能进行改造”。</w:t>
      </w:r>
    </w:p>
    <w:p>
      <w:pPr>
        <w:adjustRightInd w:val="0"/>
        <w:snapToGrid w:val="0"/>
        <w:spacing w:line="360" w:lineRule="auto"/>
        <w:ind w:firstLine="420" w:firstLineChars="200"/>
        <w:rPr>
          <w:rFonts w:hint="eastAsia"/>
        </w:rPr>
      </w:pPr>
      <w:r>
        <w:rPr>
          <w:rFonts w:hint="eastAsia"/>
        </w:rPr>
        <w:t>2009年《国务院批转发改委等部门关于抑制部分行业产能过剩和重复建设引导产业健康发展若干意见的通知》（国发〔2009〕38号）文规定的：“严格控制新增水泥产能，执行等量淘汰落后产能的原则，各省（区、市）必须尽快制定三年内彻底淘汰落后产能时间表。”“落后水泥产能比较多的省份，要加大对企业联合重组的支持力度，通过等量置换落后产能建设新线，推动淘汰落后工作。”“</w:t>
      </w:r>
      <w:r>
        <w:t>新项目水泥熟料烧成热耗要低于105公斤标煤/吨熟料,水泥综合电耗小于90千瓦时/吨水泥</w:t>
      </w:r>
      <w:r>
        <w:rPr>
          <w:rFonts w:hint="eastAsia"/>
        </w:rPr>
        <w:t>；</w:t>
      </w:r>
      <w:r>
        <w:t>废气粉尘排放浓度小于50毫克/标准立方米</w:t>
      </w:r>
      <w:r>
        <w:rPr>
          <w:rFonts w:hint="eastAsia"/>
        </w:rPr>
        <w:t>”</w:t>
      </w:r>
      <w:r>
        <w:t>。</w:t>
      </w:r>
    </w:p>
    <w:p>
      <w:pPr>
        <w:adjustRightInd w:val="0"/>
        <w:snapToGrid w:val="0"/>
        <w:spacing w:line="360" w:lineRule="auto"/>
        <w:ind w:right="21" w:firstLine="420" w:firstLineChars="200"/>
        <w:rPr>
          <w:rFonts w:hint="eastAsia"/>
        </w:rPr>
      </w:pPr>
      <w:r>
        <w:rPr>
          <w:rFonts w:hint="eastAsia"/>
        </w:rPr>
        <w:t>沙坪坝区</w:t>
      </w:r>
      <w:r>
        <w:t>现有</w:t>
      </w:r>
      <w:r>
        <w:rPr>
          <w:rFonts w:hint="eastAsia"/>
        </w:rPr>
        <w:t>地王、泰琦、青木关、山洞、中梁、青鹏6</w:t>
      </w:r>
      <w:r>
        <w:t>家机立窑水泥厂</w:t>
      </w:r>
      <w:r>
        <w:rPr>
          <w:rFonts w:hint="eastAsia"/>
        </w:rPr>
        <w:t>，产能为180万吨，由于本技改项目的实施，沙坪坝区政府拟对上述6家落后水泥产能进行关闭，因此</w:t>
      </w:r>
      <w:r>
        <w:t>技改后，</w:t>
      </w:r>
      <w:r>
        <w:rPr>
          <w:rFonts w:hint="eastAsia"/>
        </w:rPr>
        <w:t>沙坪坝区</w:t>
      </w:r>
      <w:r>
        <w:t>减少立窑水泥</w:t>
      </w:r>
      <w:r>
        <w:rPr>
          <w:rFonts w:hint="eastAsia"/>
        </w:rPr>
        <w:t>180</w:t>
      </w:r>
      <w:r>
        <w:t>万吨</w:t>
      </w:r>
      <w:r>
        <w:rPr>
          <w:rFonts w:hint="eastAsia"/>
        </w:rPr>
        <w:t>/年</w:t>
      </w:r>
      <w:r>
        <w:t>，增加新型干法</w:t>
      </w:r>
      <w:r>
        <w:rPr>
          <w:rFonts w:hint="eastAsia"/>
        </w:rPr>
        <w:t>旋窑</w:t>
      </w:r>
      <w:r>
        <w:t>水泥100万吨，</w:t>
      </w:r>
      <w:r>
        <w:rPr>
          <w:rFonts w:hint="eastAsia"/>
        </w:rPr>
        <w:t>净减80万吨/年，</w:t>
      </w:r>
      <w:r>
        <w:t>对重庆市水泥工业的产业结构、产品结构、企业规模结构的调整具有积极的推动作用</w:t>
      </w:r>
      <w:r>
        <w:rPr>
          <w:rFonts w:hint="eastAsia"/>
        </w:rPr>
        <w:t>，符合新增产能与淘汰产能“减量置换”的原则。技改项目</w:t>
      </w:r>
      <w:r>
        <w:t>水泥熟料烧成热耗</w:t>
      </w:r>
      <w:r>
        <w:rPr>
          <w:rFonts w:hint="eastAsia"/>
        </w:rPr>
        <w:t>为</w:t>
      </w:r>
      <w:r>
        <w:t>10</w:t>
      </w:r>
      <w:r>
        <w:rPr>
          <w:rFonts w:hint="eastAsia"/>
        </w:rPr>
        <w:t>4</w:t>
      </w:r>
      <w:r>
        <w:t>公斤标煤/吨熟料,水泥综合电耗小于</w:t>
      </w:r>
      <w:r>
        <w:rPr>
          <w:rFonts w:hint="eastAsia"/>
        </w:rPr>
        <w:t>89</w:t>
      </w:r>
      <w:r>
        <w:t>千瓦时/吨水泥</w:t>
      </w:r>
      <w:r>
        <w:rPr>
          <w:rFonts w:hint="eastAsia"/>
        </w:rPr>
        <w:t>，</w:t>
      </w:r>
      <w:r>
        <w:t>废气粉尘排放浓度小于</w:t>
      </w:r>
      <w:r>
        <w:rPr>
          <w:rFonts w:hint="eastAsia"/>
        </w:rPr>
        <w:t>30</w:t>
      </w:r>
      <w:r>
        <w:t>毫克/标准立方米</w:t>
      </w:r>
      <w:r>
        <w:rPr>
          <w:rFonts w:hint="eastAsia"/>
        </w:rPr>
        <w:t>，符合其能耗和污染物排放指标的要求。</w:t>
      </w:r>
    </w:p>
    <w:p>
      <w:pPr>
        <w:spacing w:line="360" w:lineRule="auto"/>
        <w:outlineLvl w:val="1"/>
        <w:rPr>
          <w:b/>
          <w:bCs/>
          <w:szCs w:val="20"/>
        </w:rPr>
      </w:pPr>
      <w:bookmarkStart w:id="496" w:name="_Toc238263250"/>
      <w:bookmarkStart w:id="497" w:name="_Toc276372280"/>
      <w:r>
        <w:rPr>
          <w:rFonts w:hint="eastAsia"/>
          <w:b/>
          <w:bCs/>
          <w:szCs w:val="20"/>
        </w:rPr>
        <w:t>13</w:t>
      </w:r>
      <w:r>
        <w:rPr>
          <w:b/>
          <w:bCs/>
          <w:szCs w:val="20"/>
        </w:rPr>
        <w:t>.2  规划符合性分析</w:t>
      </w:r>
      <w:bookmarkEnd w:id="496"/>
      <w:bookmarkEnd w:id="497"/>
    </w:p>
    <w:p>
      <w:pPr>
        <w:spacing w:line="360" w:lineRule="auto"/>
        <w:rPr>
          <w:rFonts w:hint="eastAsia"/>
          <w:b/>
          <w:bCs/>
          <w:szCs w:val="20"/>
        </w:rPr>
      </w:pPr>
      <w:r>
        <w:rPr>
          <w:rFonts w:hint="eastAsia"/>
          <w:b/>
          <w:bCs/>
          <w:szCs w:val="20"/>
        </w:rPr>
        <w:t>13</w:t>
      </w:r>
      <w:r>
        <w:rPr>
          <w:b/>
          <w:bCs/>
          <w:szCs w:val="20"/>
        </w:rPr>
        <w:t xml:space="preserve">.2.1  </w:t>
      </w:r>
      <w:r>
        <w:rPr>
          <w:rFonts w:hint="eastAsia"/>
          <w:b/>
          <w:bCs/>
          <w:szCs w:val="20"/>
        </w:rPr>
        <w:t>与《水泥工业发展专项规划》的符合性分析</w:t>
      </w:r>
    </w:p>
    <w:p>
      <w:pPr>
        <w:adjustRightInd w:val="0"/>
        <w:snapToGrid w:val="0"/>
        <w:spacing w:line="360" w:lineRule="auto"/>
        <w:ind w:firstLine="420" w:firstLineChars="200"/>
      </w:pPr>
      <w:r>
        <w:t>《水泥工业发展专项规划》中提到：水泥工业的发展要坚持资源保护和综合利用，走循环经济道路，要重视资源综合利用，鼓励企业利用低品位原、燃材料以及砂岩、固体废弃物等替代粘土配料，支持采用工业废渣做原料和混合材；推广节能粉磨、余热发电、利用水泥窑处理工业废弃物及分类好的生活垃圾等技术，发展循环经济；坚持合理布局和发展西部，统筹地区发展，西部地区新型干法水泥发展薄弱，应重点支持，要以减少运输压力和满足本地区需求为原则，发展建设日产2000吨以上的新型干法水泥，加快淘汰落后，促进西部地区水泥工业结构升级。</w:t>
      </w:r>
    </w:p>
    <w:p>
      <w:pPr>
        <w:adjustRightInd w:val="0"/>
        <w:snapToGrid w:val="0"/>
        <w:spacing w:line="360" w:lineRule="auto"/>
        <w:ind w:firstLine="420" w:firstLineChars="200"/>
        <w:rPr>
          <w:rFonts w:hint="eastAsia"/>
        </w:rPr>
      </w:pPr>
      <w:r>
        <w:rPr>
          <w:rFonts w:hint="eastAsia"/>
        </w:rPr>
        <w:t>本技改项目注重资源的综合利用，以煤矸石、硫酸渣等为原料，生产用水全部循环使用，除尘灰全部回收利用，并利用余热发电，发展循环经济。本项目在西部地区建设新型干法水泥生产线，有利于西部地区的经济开发，能够促进西部地区水泥工业的产业结构调整，因此，本技改项目符合《水泥工业发展专项规划》。</w:t>
      </w:r>
    </w:p>
    <w:p>
      <w:pPr>
        <w:spacing w:line="360" w:lineRule="auto"/>
        <w:rPr>
          <w:b/>
          <w:bCs/>
          <w:szCs w:val="20"/>
        </w:rPr>
      </w:pPr>
      <w:r>
        <w:rPr>
          <w:rFonts w:hint="eastAsia"/>
          <w:b/>
          <w:bCs/>
          <w:szCs w:val="20"/>
        </w:rPr>
        <w:t>13</w:t>
      </w:r>
      <w:r>
        <w:rPr>
          <w:b/>
          <w:bCs/>
          <w:szCs w:val="20"/>
        </w:rPr>
        <w:t>.2.2  与重庆市水泥工业规划的符合性分析</w:t>
      </w:r>
    </w:p>
    <w:p>
      <w:pPr>
        <w:adjustRightInd w:val="0"/>
        <w:snapToGrid w:val="0"/>
        <w:spacing w:line="360" w:lineRule="auto"/>
        <w:ind w:firstLine="420" w:firstLineChars="200"/>
      </w:pPr>
      <w:r>
        <w:t>2006年12月，重庆市经济委员会印发了《重庆市水泥工业</w:t>
      </w:r>
      <w:r>
        <w:rPr>
          <w:rFonts w:hint="eastAsia"/>
        </w:rPr>
        <w:t>“</w:t>
      </w:r>
      <w:r>
        <w:t>十一五</w:t>
      </w:r>
      <w:r>
        <w:rPr>
          <w:rFonts w:hint="eastAsia"/>
        </w:rPr>
        <w:t>”</w:t>
      </w:r>
      <w:r>
        <w:t>发展规划》，该规划指出：</w:t>
      </w:r>
      <w:r>
        <w:rPr>
          <w:rFonts w:hint="eastAsia"/>
        </w:rPr>
        <w:t>“</w:t>
      </w:r>
      <w:r>
        <w:t>十一五</w:t>
      </w:r>
      <w:r>
        <w:rPr>
          <w:rFonts w:hint="eastAsia"/>
        </w:rPr>
        <w:t>”</w:t>
      </w:r>
      <w:r>
        <w:t>重庆市水泥工业布局主要沿长江、乌江、嘉陵江及石灰石资源丰富的地区布点，重点支持发展日产2500</w:t>
      </w:r>
      <w:r>
        <w:rPr>
          <w:rFonts w:hint="eastAsia"/>
        </w:rPr>
        <w:t>t</w:t>
      </w:r>
      <w:r>
        <w:t>及以上的新型干法水泥生产线；都市发达经济圈原则上不再新上水泥项目。</w:t>
      </w:r>
    </w:p>
    <w:p>
      <w:pPr>
        <w:adjustRightInd w:val="0"/>
        <w:snapToGrid w:val="0"/>
        <w:spacing w:line="360" w:lineRule="auto"/>
        <w:ind w:firstLine="420" w:firstLineChars="200"/>
      </w:pPr>
      <w:r>
        <w:t>2008年12月，重庆市人民政府发布了《关于促进水泥工业结构调整的实施意见》，该意见明确指出：优化区域布局，</w:t>
      </w:r>
      <w:r>
        <w:rPr>
          <w:rFonts w:hint="eastAsia"/>
        </w:rPr>
        <w:t>1</w:t>
      </w:r>
      <w:r>
        <w:t>小时经济圈内主城9区不再核准新型干法水泥项目，渝东南、渝东北产业基础弱，工业发展困难，可支持发展新型干法水泥；以淘汰落后产能的方式发展新型干法水泥，原则上淘汰落后产能规模应占新上项目规模的50%以上，达不到50%的不予核准；严格核准资料要求，项目业主需提供满足项目开采30年以上的石灰石及配料资源保证和开采许可证、淘汰落后水泥产能方案等资料。</w:t>
      </w:r>
    </w:p>
    <w:p>
      <w:pPr>
        <w:autoSpaceDE w:val="0"/>
        <w:autoSpaceDN w:val="0"/>
        <w:adjustRightInd w:val="0"/>
        <w:spacing w:line="360" w:lineRule="auto"/>
        <w:ind w:firstLine="420" w:firstLineChars="200"/>
        <w:jc w:val="left"/>
        <w:rPr>
          <w:rFonts w:hint="eastAsia"/>
        </w:rPr>
      </w:pPr>
      <w:r>
        <w:rPr>
          <w:rFonts w:hint="eastAsia"/>
        </w:rPr>
        <w:t>技改</w:t>
      </w:r>
      <w:r>
        <w:t>项目以淘汰落后产能的方式发展新型干法水泥</w:t>
      </w:r>
      <w:r>
        <w:rPr>
          <w:rFonts w:hint="eastAsia"/>
        </w:rPr>
        <w:t>（见附件）</w:t>
      </w:r>
      <w:r>
        <w:t>，</w:t>
      </w:r>
      <w:r>
        <w:rPr>
          <w:rFonts w:hint="eastAsia"/>
        </w:rPr>
        <w:t>且</w:t>
      </w:r>
      <w:r>
        <w:t>淘汰落后产能规模</w:t>
      </w:r>
      <w:r>
        <w:rPr>
          <w:rFonts w:hint="eastAsia"/>
        </w:rPr>
        <w:t>超过</w:t>
      </w:r>
      <w:r>
        <w:t>新上项目规模</w:t>
      </w:r>
      <w:r>
        <w:rPr>
          <w:rFonts w:hint="eastAsia"/>
        </w:rPr>
        <w:t>，符合</w:t>
      </w:r>
      <w:r>
        <w:t>淘汰落后产能规模应占新上项目规模的50%以上</w:t>
      </w:r>
      <w:r>
        <w:rPr>
          <w:rFonts w:hint="eastAsia"/>
        </w:rPr>
        <w:t>的要求。技改项目所需的石灰石由重庆璧山县富强矿业有限公司定点供应，该公司的石灰石矿山位于重庆市璧山县福禄镇浸河村一社，距技改项目约25km。经重庆市立地科技发展有限公司勘测计算，该矿山水泥灰岩储量为15707万吨，能够满足年产100万吨水泥厂石灰石资源消耗142.8年，重庆永荣青鹏煤业有限公司与重庆璧山县富强矿业有限公司签定了长期的供销合同，因此技改项目所需的石灰石是有保障的，矿山的储量也满足30年以上的要求，因此技改项目符合重庆市水泥工业相关规划。</w:t>
      </w:r>
    </w:p>
    <w:p>
      <w:pPr>
        <w:spacing w:line="360" w:lineRule="auto"/>
        <w:rPr>
          <w:rFonts w:hint="eastAsia"/>
          <w:b/>
          <w:bCs/>
          <w:szCs w:val="20"/>
        </w:rPr>
      </w:pPr>
      <w:r>
        <w:rPr>
          <w:rFonts w:hint="eastAsia"/>
          <w:b/>
          <w:bCs/>
          <w:szCs w:val="20"/>
        </w:rPr>
        <w:t>13.2.3 与重庆市大气污染联防联控方案的符合性</w:t>
      </w:r>
    </w:p>
    <w:p>
      <w:pPr>
        <w:spacing w:line="360" w:lineRule="auto"/>
        <w:ind w:firstLine="482"/>
        <w:rPr>
          <w:rFonts w:hint="eastAsia"/>
          <w:b/>
          <w:szCs w:val="20"/>
        </w:rPr>
      </w:pPr>
      <w:r>
        <w:rPr>
          <w:rFonts w:hint="eastAsia"/>
        </w:rPr>
        <w:t>按照《重庆市大气污染联防联控工作改善区域空气质量实施方案》</w:t>
      </w:r>
      <w:r>
        <w:t>我市大气污染联防联控工作的重点区域是渝中、江北、沙坪坝、九龙坡、大渡口、南岸、北碚、渝北、巴南</w:t>
      </w:r>
      <w:r>
        <w:rPr>
          <w:rFonts w:hint="eastAsia"/>
        </w:rPr>
        <w:t>等创建国家环保模范城市的</w:t>
      </w:r>
      <w:r>
        <w:t>主城</w:t>
      </w:r>
      <w:r>
        <w:rPr>
          <w:rFonts w:hint="eastAsia"/>
        </w:rPr>
        <w:t>九区（含</w:t>
      </w:r>
      <w:r>
        <w:t>北部新区</w:t>
      </w:r>
      <w:r>
        <w:rPr>
          <w:rFonts w:hint="eastAsia"/>
        </w:rPr>
        <w:t>）行政区域；全</w:t>
      </w:r>
      <w:r>
        <w:t>市大气污染联防联控的重点污染物是颗粒物、二氧化硫、氮氧化物、挥发性有机物等，重点行业是火电、钢铁、水泥、化工、</w:t>
      </w:r>
      <w:r>
        <w:rPr>
          <w:rFonts w:hint="eastAsia"/>
        </w:rPr>
        <w:t>采矿、</w:t>
      </w:r>
      <w:r>
        <w:t>有色</w:t>
      </w:r>
      <w:r>
        <w:rPr>
          <w:rFonts w:hint="eastAsia"/>
        </w:rPr>
        <w:t>、城市建筑施工工地</w:t>
      </w:r>
      <w:r>
        <w:t>等</w:t>
      </w:r>
      <w:r>
        <w:rPr>
          <w:rFonts w:hint="eastAsia"/>
        </w:rPr>
        <w:t>；主城区范围禁止新建和扩建钢铁、火电、水泥和工业燃煤设施。</w:t>
      </w:r>
      <w:r>
        <w:rPr>
          <w:rFonts w:hint="eastAsia"/>
          <w:b/>
          <w:szCs w:val="20"/>
        </w:rPr>
        <w:t xml:space="preserve">     </w:t>
      </w:r>
    </w:p>
    <w:p>
      <w:pPr>
        <w:spacing w:line="360" w:lineRule="auto"/>
        <w:ind w:firstLine="482"/>
        <w:rPr>
          <w:rFonts w:hint="eastAsia"/>
        </w:rPr>
      </w:pPr>
      <w:r>
        <w:rPr>
          <w:rFonts w:hint="eastAsia"/>
        </w:rPr>
        <w:t>本技改项目为2500t/d的熟料水泥生产线，且位于</w:t>
      </w:r>
      <w:r>
        <w:t>沙坪坝</w:t>
      </w:r>
      <w:r>
        <w:rPr>
          <w:rFonts w:hint="eastAsia"/>
        </w:rPr>
        <w:t>区青木关镇，属于重点控制区域内的重点控制行业，但由于本项目是在关闭包括本公司在内的立窑生产线（共180万吨产能）的基础上建设的，同时设计时充分考虑了环保的相关要求，如燃用低硫煤，所有产尘点均设置了除尘设施，并严格执行《重庆市水泥工业大气污染物排放标准》（DB50/251-2007）的相关要求，烟（粉）尘排放浓度均控制在30mg/m</w:t>
      </w:r>
      <w:r>
        <w:rPr>
          <w:rFonts w:hint="eastAsia"/>
          <w:vertAlign w:val="superscript"/>
        </w:rPr>
        <w:t>3</w:t>
      </w:r>
      <w:r>
        <w:rPr>
          <w:rFonts w:hint="eastAsia"/>
        </w:rPr>
        <w:t>以下，技改项目实施后，其排放的主要污染物较技改前有较大幅度的削减，对环境的影响也在不同程度下得到了减缓。 因此，技改项目的建设符合重庆市大气污染联防联控的相关要求。</w:t>
      </w:r>
    </w:p>
    <w:p>
      <w:pPr>
        <w:spacing w:line="360" w:lineRule="auto"/>
        <w:outlineLvl w:val="1"/>
        <w:rPr>
          <w:rFonts w:hint="eastAsia" w:ascii="宋体" w:hAnsi="宋体"/>
          <w:b/>
          <w:bCs/>
        </w:rPr>
      </w:pPr>
      <w:bookmarkStart w:id="498" w:name="_Toc198438514"/>
      <w:bookmarkStart w:id="499" w:name="_Toc196543404"/>
      <w:bookmarkStart w:id="500" w:name="_Toc276372281"/>
      <w:r>
        <w:rPr>
          <w:rFonts w:hint="eastAsia"/>
          <w:b/>
          <w:szCs w:val="20"/>
        </w:rPr>
        <w:t xml:space="preserve">13.3 </w:t>
      </w:r>
      <w:r>
        <w:rPr>
          <w:rFonts w:hint="eastAsia" w:ascii="宋体" w:hAnsi="宋体"/>
          <w:b/>
          <w:bCs/>
        </w:rPr>
        <w:t>重庆市工业项目环境准入规定符合性</w:t>
      </w:r>
      <w:bookmarkEnd w:id="498"/>
      <w:bookmarkEnd w:id="499"/>
      <w:r>
        <w:rPr>
          <w:rFonts w:hint="eastAsia" w:ascii="宋体" w:hAnsi="宋体"/>
          <w:b/>
          <w:bCs/>
        </w:rPr>
        <w:t>分析</w:t>
      </w:r>
      <w:bookmarkEnd w:id="500"/>
    </w:p>
    <w:p>
      <w:pPr>
        <w:adjustRightInd w:val="0"/>
        <w:snapToGrid w:val="0"/>
        <w:spacing w:line="360" w:lineRule="auto"/>
        <w:ind w:firstLine="420" w:firstLineChars="200"/>
      </w:pPr>
      <w:r>
        <w:t>重庆市政府于2008年4月发布了《重庆市工业项目环境准入规定》（渝办发[2008]62号），其主要目的是为了促进全市产业结构调整，统筹环境保护与经济发展。此规定中与</w:t>
      </w:r>
      <w:r>
        <w:rPr>
          <w:rFonts w:hint="eastAsia"/>
        </w:rPr>
        <w:t>技改</w:t>
      </w:r>
      <w:r>
        <w:t>项目有直接关系的主要内容如下：</w:t>
      </w:r>
    </w:p>
    <w:p>
      <w:pPr>
        <w:autoSpaceDE w:val="0"/>
        <w:autoSpaceDN w:val="0"/>
        <w:spacing w:line="360" w:lineRule="auto"/>
        <w:ind w:firstLine="420" w:firstLineChars="200"/>
        <w:rPr>
          <w:rFonts w:hint="eastAsia"/>
        </w:rPr>
      </w:pPr>
      <w:r>
        <w:t>工业项目应符合产业政策，不得采用国家和我市淘汰的或禁止使用的工艺、技术和设备；工业项目清洁生产水平不得低于国家清洁生产标准的国内基本水平；</w:t>
      </w:r>
      <w:r>
        <w:rPr>
          <w:rFonts w:hint="eastAsia"/>
        </w:rPr>
        <w:t>“一小时经济圈”内工业项目的清洁生产水平应达到国家清洁生产标准的国内先进水平。</w:t>
      </w:r>
      <w:r>
        <w:t>工业项目选址应符合产业发展规划、城乡总体规划、土地利用规划等相关规划，</w:t>
      </w:r>
      <w:r>
        <w:rPr>
          <w:rFonts w:hint="eastAsia"/>
        </w:rPr>
        <w:t>禁止在自然保护区、饮用水源保护区、风景名胜区、森林公园、文物古迹、居住文教区等环境敏感区内建设工业项目</w:t>
      </w:r>
      <w:r>
        <w:t>；</w:t>
      </w:r>
      <w:r>
        <w:rPr>
          <w:rFonts w:hint="eastAsia"/>
        </w:rPr>
        <w:t>工业项目排放污染物必须达到国家和地方规定的污染物排放标准；</w:t>
      </w:r>
      <w:r>
        <w:t>工业项目选址区域应有相应的环境容量，新增排污量的工业项目必须落实污染物排放总量指标来源。</w:t>
      </w:r>
      <w:r>
        <w:rPr>
          <w:rFonts w:hint="eastAsia"/>
        </w:rPr>
        <w:t>内环线以内禁止建设燃煤项目，内环线与绕城高速公路之间区域禁止建设大气污染严重的项目，都市区常年主导风上风向区域严格限制大气污染严重的项目。</w:t>
      </w:r>
    </w:p>
    <w:p>
      <w:pPr>
        <w:adjustRightInd w:val="0"/>
        <w:snapToGrid w:val="0"/>
        <w:spacing w:line="360" w:lineRule="auto"/>
        <w:ind w:firstLine="420" w:firstLineChars="200"/>
      </w:pPr>
      <w:r>
        <w:rPr>
          <w:rFonts w:hint="eastAsia"/>
        </w:rPr>
        <w:t>技改</w:t>
      </w:r>
      <w:r>
        <w:t>项目符合国家产业政策，选用国家鼓励的生产工艺和技术，设计积极采用国内先进的装备，采取一系列节能减排、循环经济等措施，项目实施后清洁生产将达到国内先进水平；</w:t>
      </w:r>
      <w:r>
        <w:rPr>
          <w:rFonts w:hint="eastAsia"/>
        </w:rPr>
        <w:t>技改</w:t>
      </w:r>
      <w:r>
        <w:t>项目</w:t>
      </w:r>
      <w:r>
        <w:rPr>
          <w:rFonts w:hint="eastAsia"/>
        </w:rPr>
        <w:t>位于沙坪坝区青木关镇，其厂址处于外环高速以外，都市区常年主导风的侧风向，且不在“四山”控制范围内，不在城市规划范围内，符合重庆市城市总体规划和“四山”控制规划。</w:t>
      </w:r>
      <w:r>
        <w:t>项目所在区域有一定的环境容量，</w:t>
      </w:r>
      <w:r>
        <w:rPr>
          <w:rFonts w:hint="eastAsia"/>
        </w:rPr>
        <w:t>技改</w:t>
      </w:r>
      <w:r>
        <w:t>项目新增的SO</w:t>
      </w:r>
      <w:r>
        <w:rPr>
          <w:vertAlign w:val="subscript"/>
        </w:rPr>
        <w:t>2</w:t>
      </w:r>
      <w:r>
        <w:t>排放量</w:t>
      </w:r>
      <w:r>
        <w:rPr>
          <w:rFonts w:hint="eastAsia"/>
        </w:rPr>
        <w:t>从</w:t>
      </w:r>
      <w:r>
        <w:t>关闭</w:t>
      </w:r>
      <w:r>
        <w:rPr>
          <w:rFonts w:hint="eastAsia"/>
        </w:rPr>
        <w:t>山洞水泥厂</w:t>
      </w:r>
      <w:r>
        <w:t>削减的SO</w:t>
      </w:r>
      <w:r>
        <w:rPr>
          <w:vertAlign w:val="subscript"/>
        </w:rPr>
        <w:t>2</w:t>
      </w:r>
      <w:r>
        <w:rPr>
          <w:rFonts w:hint="eastAsia"/>
        </w:rPr>
        <w:t>中</w:t>
      </w:r>
      <w:r>
        <w:t>解决。</w:t>
      </w:r>
    </w:p>
    <w:p>
      <w:pPr>
        <w:adjustRightInd w:val="0"/>
        <w:snapToGrid w:val="0"/>
        <w:spacing w:line="360" w:lineRule="auto"/>
        <w:ind w:firstLine="420" w:firstLineChars="200"/>
        <w:sectPr>
          <w:pgSz w:w="11907" w:h="16840"/>
          <w:pgMar w:top="1134" w:right="1418" w:bottom="1134" w:left="1418" w:header="1134" w:footer="851" w:gutter="0"/>
          <w:paperSrc w:first="20070" w:other="20070"/>
          <w:cols w:space="720" w:num="1"/>
        </w:sectPr>
      </w:pPr>
      <w:r>
        <w:t>由此可见，</w:t>
      </w:r>
      <w:r>
        <w:rPr>
          <w:rFonts w:hint="eastAsia"/>
        </w:rPr>
        <w:t>技改项目</w:t>
      </w:r>
      <w:r>
        <w:t>符合《重庆市工业项目环境准入规定》有关要求。</w:t>
      </w:r>
    </w:p>
    <w:p>
      <w:pPr>
        <w:spacing w:line="360" w:lineRule="auto"/>
        <w:outlineLvl w:val="0"/>
        <w:rPr>
          <w:b/>
          <w:sz w:val="28"/>
          <w:szCs w:val="28"/>
        </w:rPr>
      </w:pPr>
      <w:bookmarkStart w:id="501" w:name="_Toc238263252"/>
      <w:bookmarkStart w:id="502" w:name="_Toc276372282"/>
      <w:r>
        <w:rPr>
          <w:b/>
          <w:sz w:val="28"/>
          <w:szCs w:val="28"/>
        </w:rPr>
        <w:t>1</w:t>
      </w:r>
      <w:r>
        <w:rPr>
          <w:rFonts w:hint="eastAsia"/>
          <w:b/>
          <w:sz w:val="28"/>
          <w:szCs w:val="28"/>
        </w:rPr>
        <w:t>4</w:t>
      </w:r>
      <w:r>
        <w:rPr>
          <w:b/>
          <w:sz w:val="28"/>
          <w:szCs w:val="28"/>
        </w:rPr>
        <w:t xml:space="preserve">  </w:t>
      </w:r>
      <w:r>
        <w:rPr>
          <w:b/>
          <w:bCs/>
        </w:rPr>
        <w:t>厂址</w:t>
      </w:r>
      <w:r>
        <w:rPr>
          <w:rFonts w:hint="eastAsia"/>
          <w:b/>
          <w:sz w:val="28"/>
          <w:szCs w:val="28"/>
        </w:rPr>
        <w:t>选择</w:t>
      </w:r>
      <w:r>
        <w:rPr>
          <w:b/>
          <w:sz w:val="28"/>
          <w:szCs w:val="28"/>
        </w:rPr>
        <w:t>合理性分析</w:t>
      </w:r>
      <w:bookmarkEnd w:id="501"/>
      <w:bookmarkEnd w:id="502"/>
    </w:p>
    <w:p>
      <w:pPr>
        <w:spacing w:line="360" w:lineRule="auto"/>
        <w:outlineLvl w:val="1"/>
        <w:rPr>
          <w:rFonts w:hint="eastAsia"/>
          <w:b/>
          <w:szCs w:val="20"/>
        </w:rPr>
      </w:pPr>
      <w:bookmarkStart w:id="503" w:name="_Toc276372283"/>
      <w:r>
        <w:rPr>
          <w:rFonts w:hint="eastAsia"/>
          <w:b/>
          <w:szCs w:val="20"/>
        </w:rPr>
        <w:t>14.1与地方规划符合性</w:t>
      </w:r>
      <w:bookmarkEnd w:id="503"/>
    </w:p>
    <w:p>
      <w:pPr>
        <w:autoSpaceDE w:val="0"/>
        <w:autoSpaceDN w:val="0"/>
        <w:spacing w:line="360" w:lineRule="auto"/>
        <w:ind w:firstLine="420" w:firstLineChars="200"/>
        <w:rPr>
          <w:rFonts w:hint="eastAsia"/>
        </w:rPr>
      </w:pPr>
      <w:r>
        <w:rPr>
          <w:rFonts w:hint="eastAsia" w:hAnsi="宋体"/>
        </w:rPr>
        <w:t>技改项目在拆</w:t>
      </w:r>
      <w:r>
        <w:rPr>
          <w:rFonts w:hAnsi="宋体"/>
        </w:rPr>
        <w:t>原</w:t>
      </w:r>
      <w:r>
        <w:rPr>
          <w:rFonts w:hint="eastAsia" w:hAnsi="宋体"/>
        </w:rPr>
        <w:t>除立窑的基础上原址建设新型干法水泥生产线，</w:t>
      </w:r>
      <w:r>
        <w:rPr>
          <w:rFonts w:hAnsi="宋体"/>
          <w:kern w:val="28"/>
          <w:sz w:val="28"/>
          <w:szCs w:val="28"/>
        </w:rPr>
        <w:t>该址的土地</w:t>
      </w:r>
      <w:r>
        <w:rPr>
          <w:rFonts w:hint="eastAsia" w:hAnsi="宋体"/>
        </w:rPr>
        <w:t>属于工业用地，项目不需要新</w:t>
      </w:r>
      <w:r>
        <w:rPr>
          <w:rFonts w:hAnsi="宋体"/>
        </w:rPr>
        <w:t>征用土地，不占耕地和林木地。</w:t>
      </w:r>
      <w:r>
        <w:rPr>
          <w:rFonts w:hint="eastAsia" w:hAnsi="宋体"/>
        </w:rPr>
        <w:t>技改项目</w:t>
      </w:r>
      <w:r>
        <w:rPr>
          <w:rFonts w:hint="eastAsia" w:ascii="宋体" w:hAnsi="宋体"/>
        </w:rPr>
        <w:t>不在城市规划范围内，不属于城市发展组团范围，与重庆市城市总体规划不冲突，符合重庆市城市总体规划。按照“四山管制”要求，</w:t>
      </w:r>
      <w:r>
        <w:rPr>
          <w:rFonts w:ascii="宋体" w:hAnsi="宋体"/>
        </w:rPr>
        <w:t>缙云山</w:t>
      </w:r>
      <w:r>
        <w:rPr>
          <w:rFonts w:hint="eastAsia" w:ascii="宋体" w:hAnsi="宋体"/>
        </w:rPr>
        <w:t>管制区在青木关段按原始地面标高350米控制，技改项目在厂区布置时严格按照“四山管制”要求，所有装置及厂房均布置在350米以下，因此，技改项目不在“四山管制”范围内。</w:t>
      </w:r>
      <w:r>
        <w:rPr>
          <w:rFonts w:hint="eastAsia"/>
        </w:rPr>
        <w:t>按照重庆市主城区蓝天行动实施方案（2008-2012年），青木关镇为B类控制区，按照实施方案要求，在B类控制区内禁止新建和扩建火电机组、有色和冶炼企业及机立窑、湿法窑、立波尔窑、干法中空窑等水泥生产线以及其他严重污染大气环境的工业设施。本技改项目为新型干法水泥生产线，不属于禁止类的水泥生产线项目，因此，其建设与“蓝天行动方案”不冲突。重庆市规划局以选字第500106201000043号文的形式同意其建设选址。</w:t>
      </w:r>
    </w:p>
    <w:p>
      <w:pPr>
        <w:spacing w:line="360" w:lineRule="auto"/>
        <w:outlineLvl w:val="1"/>
        <w:rPr>
          <w:b/>
          <w:szCs w:val="20"/>
        </w:rPr>
      </w:pPr>
      <w:bookmarkStart w:id="504" w:name="_Toc150759730"/>
      <w:bookmarkStart w:id="505" w:name="_Toc276372284"/>
      <w:bookmarkStart w:id="506" w:name="_Toc155859833"/>
      <w:bookmarkStart w:id="507" w:name="_Toc176686211"/>
      <w:r>
        <w:rPr>
          <w:rFonts w:hint="eastAsia"/>
          <w:b/>
          <w:szCs w:val="20"/>
        </w:rPr>
        <w:t>14.2</w:t>
      </w:r>
      <w:r>
        <w:rPr>
          <w:b/>
          <w:szCs w:val="20"/>
        </w:rPr>
        <w:t xml:space="preserve"> </w:t>
      </w:r>
      <w:r>
        <w:rPr>
          <w:rFonts w:hint="eastAsia"/>
          <w:b/>
          <w:szCs w:val="20"/>
        </w:rPr>
        <w:t>厂址自然环境条件</w:t>
      </w:r>
      <w:bookmarkEnd w:id="504"/>
      <w:bookmarkEnd w:id="505"/>
      <w:bookmarkEnd w:id="506"/>
      <w:bookmarkEnd w:id="507"/>
    </w:p>
    <w:p>
      <w:pPr>
        <w:spacing w:line="360" w:lineRule="auto"/>
        <w:ind w:firstLine="420" w:firstLineChars="200"/>
      </w:pPr>
      <w:r>
        <w:rPr>
          <w:rFonts w:hint="eastAsia"/>
        </w:rPr>
        <w:t>（</w:t>
      </w:r>
      <w:r>
        <w:t>1</w:t>
      </w:r>
      <w:r>
        <w:rPr>
          <w:rFonts w:hint="eastAsia"/>
        </w:rPr>
        <w:t>）原燃材料来源有保证</w:t>
      </w:r>
    </w:p>
    <w:p>
      <w:pPr>
        <w:adjustRightInd w:val="0"/>
        <w:snapToGrid w:val="0"/>
        <w:spacing w:line="360" w:lineRule="auto"/>
        <w:ind w:right="21" w:firstLine="570"/>
      </w:pPr>
      <w:r>
        <w:t>本</w:t>
      </w:r>
      <w:r>
        <w:rPr>
          <w:rFonts w:hint="eastAsia"/>
        </w:rPr>
        <w:t>技改</w:t>
      </w:r>
      <w:r>
        <w:t>项目石灰石</w:t>
      </w:r>
      <w:r>
        <w:rPr>
          <w:rFonts w:hint="eastAsia"/>
        </w:rPr>
        <w:t>由重庆璧山县富强矿业有限公司定点供应，该公司的石灰石矿山位于重庆市璧山县福禄镇浸河村一社，该矿山</w:t>
      </w:r>
      <w:r>
        <w:t>石灰石资源丰富，CaO含量高，品位好，成份稳定，是生产回转窑水泥的优质原料，距离项目建设地25公里，交通运输方便。重庆永荣青鹏煤业有限公司生产煤炭可作为燃料，同时采煤过程中产生的大量的煤矸石也是生产水泥的原料之一，此外砂岩、粉煤灰、矿渣等其他原料在附近储量都非常丰富，</w:t>
      </w:r>
      <w:r>
        <w:rPr>
          <w:rFonts w:hint="eastAsia"/>
        </w:rPr>
        <w:t>尤其正在研究开发污泥掺合水泥的新技术，减少污泥污染的问题，</w:t>
      </w:r>
      <w:r>
        <w:t>所有原燃材料均能就地就近解决，</w:t>
      </w:r>
      <w:r>
        <w:rPr>
          <w:rFonts w:hint="eastAsia"/>
        </w:rPr>
        <w:t>技改</w:t>
      </w:r>
      <w:r>
        <w:t>项目</w:t>
      </w:r>
      <w:r>
        <w:rPr>
          <w:rFonts w:hint="eastAsia"/>
        </w:rPr>
        <w:t>实施</w:t>
      </w:r>
      <w:r>
        <w:t>地具备了发展水泥工业的得天独厚的条件。</w:t>
      </w:r>
    </w:p>
    <w:p>
      <w:pPr>
        <w:spacing w:line="360" w:lineRule="auto"/>
        <w:ind w:firstLine="420" w:firstLineChars="200"/>
      </w:pPr>
      <w:r>
        <w:rPr>
          <w:rFonts w:hint="eastAsia"/>
        </w:rPr>
        <w:t>（2）公用工程依托设施较好</w:t>
      </w:r>
    </w:p>
    <w:p>
      <w:pPr>
        <w:adjustRightInd w:val="0"/>
        <w:snapToGrid w:val="0"/>
        <w:spacing w:line="360" w:lineRule="auto"/>
        <w:ind w:firstLine="455" w:firstLineChars="217"/>
      </w:pPr>
      <w:r>
        <w:t>电源由重庆市沙坪坝区供电局供给，拟从距矿区3公里远的该局马铁线T接一回路35KV架空线路至本公司，新建35KV总降压站，（35KV总降压站拟由供电局设计及施工）。新建35KV降压站和矿井总降压站形成双回路供电线路，保障生产线用电，满足生产需要。根据重庆市电力供应状况，完全能满足本工程用电需要。</w:t>
      </w:r>
    </w:p>
    <w:p>
      <w:pPr>
        <w:adjustRightInd w:val="0"/>
        <w:snapToGrid w:val="0"/>
        <w:spacing w:line="360" w:lineRule="auto"/>
        <w:ind w:firstLine="555"/>
      </w:pPr>
      <w:r>
        <w:rPr>
          <w:rFonts w:hint="eastAsia"/>
        </w:rPr>
        <w:t>生产、生活及消防用水</w:t>
      </w:r>
      <w:r>
        <w:t>拟利用本公司煤矿井下排水，经净化后作为全厂的生产和消防用水水源。现矿井废水流量大（日均</w:t>
      </w:r>
      <w:r>
        <w:rPr>
          <w:rFonts w:hint="eastAsia"/>
        </w:rPr>
        <w:t>4</w:t>
      </w:r>
      <w:r>
        <w:t>000t以上），水量充足，完全能满足本项目生产及消防用水要求。</w:t>
      </w:r>
    </w:p>
    <w:p>
      <w:pPr>
        <w:spacing w:line="360" w:lineRule="auto"/>
        <w:ind w:firstLine="420" w:firstLineChars="200"/>
      </w:pPr>
      <w:r>
        <w:rPr>
          <w:rFonts w:hint="eastAsia"/>
        </w:rPr>
        <w:t>（3）具有较好的运输条件</w:t>
      </w:r>
    </w:p>
    <w:p>
      <w:pPr>
        <w:autoSpaceDE w:val="0"/>
        <w:autoSpaceDN w:val="0"/>
        <w:adjustRightInd w:val="0"/>
        <w:snapToGrid w:val="0"/>
        <w:spacing w:line="360" w:lineRule="auto"/>
        <w:ind w:firstLine="564" w:firstLineChars="269"/>
      </w:pPr>
      <w:r>
        <w:rPr>
          <w:rFonts w:hint="eastAsia"/>
        </w:rPr>
        <w:t>技改</w:t>
      </w:r>
      <w:r>
        <w:t>项目地点位于重庆市沙坪坝区青木关镇</w:t>
      </w:r>
      <w:r>
        <w:rPr>
          <w:rFonts w:hint="eastAsia"/>
        </w:rPr>
        <w:t>关口村境内</w:t>
      </w:r>
      <w:r>
        <w:t>，地处重庆市的西北郊二环路以外，是沙坪坝区与郊县璧山</w:t>
      </w:r>
      <w:r>
        <w:rPr>
          <w:rFonts w:hint="eastAsia"/>
        </w:rPr>
        <w:t>大路镇</w:t>
      </w:r>
      <w:r>
        <w:t>交界，直径百米即璧山县境</w:t>
      </w:r>
      <w:r>
        <w:rPr>
          <w:rFonts w:hint="eastAsia"/>
        </w:rPr>
        <w:t>地</w:t>
      </w:r>
      <w:r>
        <w:t>，距璧山县城1</w:t>
      </w:r>
      <w:r>
        <w:rPr>
          <w:rFonts w:hint="eastAsia"/>
        </w:rPr>
        <w:t>0</w:t>
      </w:r>
      <w:r>
        <w:t>公里，老成渝公路和遂渝高速公路从矿区穿过，公司驻地与成渝高速公路和襄渝铁路西永火车站有公路相连，距遂渝高速公路璧山站1.5公里，交通非常方便，十分适合发展对运输条件要求高的水泥产品，特别是距离水泥市场容量最大的重庆主城</w:t>
      </w:r>
      <w:r>
        <w:rPr>
          <w:rFonts w:hint="eastAsia"/>
        </w:rPr>
        <w:t>九</w:t>
      </w:r>
      <w:r>
        <w:t>区</w:t>
      </w:r>
      <w:r>
        <w:rPr>
          <w:rFonts w:hint="eastAsia"/>
        </w:rPr>
        <w:t>基本能辐射去</w:t>
      </w:r>
      <w:r>
        <w:t>，产品的销售具有较强的成本竞争优势。</w:t>
      </w:r>
    </w:p>
    <w:p>
      <w:pPr>
        <w:spacing w:line="360" w:lineRule="auto"/>
        <w:outlineLvl w:val="1"/>
        <w:rPr>
          <w:b/>
          <w:szCs w:val="20"/>
        </w:rPr>
      </w:pPr>
      <w:bookmarkStart w:id="508" w:name="_Toc276372285"/>
      <w:r>
        <w:rPr>
          <w:rFonts w:hint="eastAsia"/>
          <w:b/>
          <w:szCs w:val="20"/>
        </w:rPr>
        <w:t>14.3</w:t>
      </w:r>
      <w:r>
        <w:rPr>
          <w:b/>
          <w:szCs w:val="20"/>
        </w:rPr>
        <w:t>环境要素承载力分析</w:t>
      </w:r>
      <w:bookmarkEnd w:id="508"/>
    </w:p>
    <w:p>
      <w:pPr>
        <w:adjustRightInd w:val="0"/>
        <w:snapToGrid w:val="0"/>
        <w:spacing w:line="360" w:lineRule="auto"/>
        <w:ind w:firstLine="420" w:firstLineChars="200"/>
        <w:rPr>
          <w:rFonts w:hAnsi="宋体"/>
        </w:rPr>
      </w:pPr>
      <w:r>
        <w:rPr>
          <w:rFonts w:hAnsi="宋体"/>
        </w:rPr>
        <w:t>环境质量现状监测结果表明，</w:t>
      </w:r>
      <w:r>
        <w:rPr>
          <w:rFonts w:hint="eastAsia" w:hAnsi="宋体"/>
        </w:rPr>
        <w:t>青鹏煤业有限公司</w:t>
      </w:r>
      <w:r>
        <w:rPr>
          <w:rFonts w:hAnsi="宋体"/>
        </w:rPr>
        <w:t>所在区域环境空气中SO</w:t>
      </w:r>
      <w:r>
        <w:rPr>
          <w:rFonts w:hAnsi="宋体"/>
          <w:vertAlign w:val="subscript"/>
        </w:rPr>
        <w:t>2</w:t>
      </w:r>
      <w:r>
        <w:rPr>
          <w:rFonts w:hAnsi="宋体"/>
        </w:rPr>
        <w:t>、NO</w:t>
      </w:r>
      <w:r>
        <w:rPr>
          <w:rFonts w:hAnsi="宋体"/>
          <w:vertAlign w:val="subscript"/>
        </w:rPr>
        <w:t>2</w:t>
      </w:r>
      <w:r>
        <w:rPr>
          <w:rFonts w:hAnsi="宋体"/>
        </w:rPr>
        <w:t>、PM</w:t>
      </w:r>
      <w:r>
        <w:rPr>
          <w:rFonts w:hAnsi="宋体"/>
          <w:vertAlign w:val="subscript"/>
        </w:rPr>
        <w:t>10</w:t>
      </w:r>
      <w:r>
        <w:rPr>
          <w:rFonts w:hAnsi="宋体"/>
        </w:rPr>
        <w:t>均满足环境空气质量二级标准；声环境质量现状监测表明，项目所在区域</w:t>
      </w:r>
      <w:r>
        <w:rPr>
          <w:rFonts w:hint="eastAsia" w:hAnsi="宋体"/>
        </w:rPr>
        <w:t>监测点</w:t>
      </w:r>
      <w:r>
        <w:rPr>
          <w:rFonts w:hAnsi="宋体"/>
        </w:rPr>
        <w:t>昼</w:t>
      </w:r>
      <w:r>
        <w:rPr>
          <w:rFonts w:hint="eastAsia" w:hAnsi="宋体"/>
        </w:rPr>
        <w:t>夜</w:t>
      </w:r>
      <w:r>
        <w:rPr>
          <w:rFonts w:hAnsi="宋体"/>
        </w:rPr>
        <w:t>间噪声均满足标准要求；根据</w:t>
      </w:r>
      <w:r>
        <w:rPr>
          <w:rFonts w:hint="eastAsia" w:hAnsi="宋体"/>
        </w:rPr>
        <w:t>厂区北侧无名溪沟</w:t>
      </w:r>
      <w:r>
        <w:rPr>
          <w:rFonts w:hAnsi="宋体"/>
        </w:rPr>
        <w:t>断面例行监测结果，各项指标均满足</w:t>
      </w:r>
      <w:r>
        <w:rPr>
          <w:rFonts w:hint="eastAsia" w:hAnsi="宋体"/>
        </w:rPr>
        <w:t>Ⅲ</w:t>
      </w:r>
      <w:r>
        <w:rPr>
          <w:rFonts w:hAnsi="宋体"/>
        </w:rPr>
        <w:t>类水域标准。</w:t>
      </w:r>
    </w:p>
    <w:p>
      <w:pPr>
        <w:adjustRightInd w:val="0"/>
        <w:snapToGrid w:val="0"/>
        <w:spacing w:line="360" w:lineRule="auto"/>
        <w:ind w:firstLine="420" w:firstLineChars="200"/>
        <w:rPr>
          <w:rFonts w:hAnsi="宋体"/>
        </w:rPr>
      </w:pPr>
      <w:r>
        <w:rPr>
          <w:rFonts w:hAnsi="宋体"/>
        </w:rPr>
        <w:t>根据环境空气质量影响预测，</w:t>
      </w:r>
      <w:r>
        <w:rPr>
          <w:rFonts w:hint="eastAsia" w:hAnsi="宋体"/>
        </w:rPr>
        <w:t>技改</w:t>
      </w:r>
      <w:r>
        <w:rPr>
          <w:rFonts w:hAnsi="宋体"/>
        </w:rPr>
        <w:t>项目实施后外排的大气污染物对周边大气环境影响较小，各评价点的大气环境质量能满足功能区划要求；</w:t>
      </w:r>
      <w:r>
        <w:rPr>
          <w:rFonts w:hint="eastAsia" w:hAnsi="宋体"/>
        </w:rPr>
        <w:t>技改</w:t>
      </w:r>
      <w:r>
        <w:rPr>
          <w:rFonts w:hAnsi="宋体"/>
        </w:rPr>
        <w:t>项目对主要噪声源均采取有效的控制措施，项目实施后的</w:t>
      </w:r>
      <w:r>
        <w:rPr>
          <w:rFonts w:hint="eastAsia" w:hAnsi="宋体"/>
        </w:rPr>
        <w:t>昼间厂界噪声均能达标；夜间噪声西厂界超标，但由于西厂界外无声环境敏感点，因此不会造成噪声扰民现象的发生</w:t>
      </w:r>
      <w:r>
        <w:rPr>
          <w:rFonts w:hAnsi="宋体"/>
        </w:rPr>
        <w:t>；全厂设置完善的水处理设施，</w:t>
      </w:r>
      <w:r>
        <w:rPr>
          <w:rFonts w:hint="eastAsia" w:hAnsi="宋体"/>
        </w:rPr>
        <w:t>技改</w:t>
      </w:r>
      <w:r>
        <w:rPr>
          <w:rFonts w:hAnsi="宋体"/>
        </w:rPr>
        <w:t>项目实施后全厂</w:t>
      </w:r>
      <w:r>
        <w:rPr>
          <w:rFonts w:hint="eastAsia" w:hAnsi="宋体"/>
        </w:rPr>
        <w:t>生产</w:t>
      </w:r>
      <w:r>
        <w:rPr>
          <w:rFonts w:hAnsi="宋体"/>
        </w:rPr>
        <w:t>废水零排放，</w:t>
      </w:r>
      <w:r>
        <w:rPr>
          <w:rFonts w:hint="eastAsia" w:hAnsi="宋体"/>
        </w:rPr>
        <w:t>生活辅助设施污水经过二级生化处理达标后排入北侧</w:t>
      </w:r>
      <w:r>
        <w:rPr>
          <w:rFonts w:hint="eastAsia" w:ascii="宋体" w:hAnsi="宋体"/>
        </w:rPr>
        <w:t>无名溪沟经玉石桥河最终汇入梁滩河</w:t>
      </w:r>
      <w:r>
        <w:rPr>
          <w:rFonts w:hint="eastAsia" w:hAnsi="宋体"/>
        </w:rPr>
        <w:t>，</w:t>
      </w:r>
      <w:r>
        <w:rPr>
          <w:rFonts w:hAnsi="宋体"/>
        </w:rPr>
        <w:t>不会对地表水环境造成影响；加强固体废物的综合利用，生产过程产生的固体废物均回收利用。由此可见，</w:t>
      </w:r>
      <w:r>
        <w:rPr>
          <w:rFonts w:hint="eastAsia" w:hAnsi="宋体"/>
        </w:rPr>
        <w:t>技改项目</w:t>
      </w:r>
      <w:r>
        <w:rPr>
          <w:rFonts w:hAnsi="宋体"/>
        </w:rPr>
        <w:t>所在地环境质量状况较好，项目实施对周边环境影响较小，有利于</w:t>
      </w:r>
      <w:r>
        <w:rPr>
          <w:rFonts w:hint="eastAsia" w:hAnsi="宋体"/>
        </w:rPr>
        <w:t>技改项目</w:t>
      </w:r>
      <w:r>
        <w:rPr>
          <w:rFonts w:hAnsi="宋体"/>
        </w:rPr>
        <w:t>的建设。</w:t>
      </w:r>
    </w:p>
    <w:p>
      <w:pPr>
        <w:adjustRightInd w:val="0"/>
        <w:snapToGrid w:val="0"/>
        <w:spacing w:line="360" w:lineRule="auto"/>
        <w:ind w:firstLine="420" w:firstLineChars="200"/>
        <w:rPr>
          <w:sz w:val="28"/>
          <w:szCs w:val="28"/>
        </w:rPr>
        <w:sectPr>
          <w:pgSz w:w="11906" w:h="16838"/>
          <w:pgMar w:top="1701" w:right="1418" w:bottom="1418" w:left="1418" w:header="1134" w:footer="1134" w:gutter="0"/>
          <w:paperSrc w:first="20070" w:other="20070"/>
          <w:cols w:space="425" w:num="1"/>
          <w:docGrid w:linePitch="312" w:charSpace="0"/>
        </w:sectPr>
      </w:pPr>
      <w:r>
        <w:rPr>
          <w:rFonts w:hAnsi="宋体"/>
        </w:rPr>
        <w:t>由以上分析可知，</w:t>
      </w:r>
      <w:r>
        <w:rPr>
          <w:rFonts w:hint="eastAsia" w:hAnsi="宋体"/>
        </w:rPr>
        <w:t>技改项目</w:t>
      </w:r>
      <w:r>
        <w:rPr>
          <w:rFonts w:hAnsi="宋体"/>
        </w:rPr>
        <w:t>周边配套建设条件较好，具有较好的环境承载能力，</w:t>
      </w:r>
      <w:r>
        <w:rPr>
          <w:rFonts w:hint="eastAsia" w:hAnsi="宋体"/>
        </w:rPr>
        <w:t>技改项目</w:t>
      </w:r>
      <w:r>
        <w:rPr>
          <w:rFonts w:hAnsi="宋体"/>
        </w:rPr>
        <w:t>选址上总体可行。</w:t>
      </w:r>
    </w:p>
    <w:bookmarkEnd w:id="493"/>
    <w:bookmarkEnd w:id="494"/>
    <w:bookmarkEnd w:id="495"/>
    <w:p>
      <w:pPr>
        <w:spacing w:line="360" w:lineRule="auto"/>
        <w:outlineLvl w:val="0"/>
        <w:rPr>
          <w:b/>
          <w:sz w:val="28"/>
          <w:szCs w:val="28"/>
        </w:rPr>
      </w:pPr>
      <w:bookmarkStart w:id="509" w:name="_Toc276372286"/>
      <w:bookmarkStart w:id="510" w:name="_Toc473281561"/>
      <w:bookmarkStart w:id="511" w:name="_Toc176686218"/>
      <w:bookmarkStart w:id="512" w:name="_Toc176784791"/>
      <w:bookmarkStart w:id="513" w:name="_Toc150759738"/>
      <w:bookmarkStart w:id="514" w:name="_Toc155859842"/>
      <w:bookmarkStart w:id="515" w:name="_Toc189814205"/>
      <w:r>
        <w:rPr>
          <w:rFonts w:hint="eastAsia"/>
          <w:b/>
          <w:sz w:val="28"/>
          <w:szCs w:val="28"/>
        </w:rPr>
        <w:t>15 环境管理与监测计划</w:t>
      </w:r>
      <w:bookmarkEnd w:id="509"/>
      <w:bookmarkEnd w:id="510"/>
      <w:bookmarkEnd w:id="511"/>
      <w:bookmarkEnd w:id="512"/>
      <w:bookmarkEnd w:id="513"/>
      <w:bookmarkEnd w:id="514"/>
      <w:bookmarkEnd w:id="515"/>
    </w:p>
    <w:p>
      <w:pPr>
        <w:spacing w:line="360" w:lineRule="auto"/>
        <w:ind w:firstLine="420"/>
        <w:rPr>
          <w:rFonts w:hint="eastAsia" w:hAnsi="宋体"/>
        </w:rPr>
      </w:pPr>
      <w:r>
        <w:rPr>
          <w:rFonts w:hAnsi="宋体"/>
        </w:rPr>
        <w:t>本评价将按照ISO14000环境管理系列标准的要求，对技改项目的环境管理和监测以及环境管理体系的建立提出建设性的建议。</w:t>
      </w:r>
    </w:p>
    <w:p>
      <w:pPr>
        <w:spacing w:line="360" w:lineRule="auto"/>
        <w:outlineLvl w:val="1"/>
        <w:rPr>
          <w:b/>
          <w:szCs w:val="20"/>
        </w:rPr>
      </w:pPr>
      <w:bookmarkStart w:id="516" w:name="_Toc276372287"/>
      <w:bookmarkStart w:id="517" w:name="_Toc473281562"/>
      <w:bookmarkStart w:id="518" w:name="_Toc173557773"/>
      <w:bookmarkStart w:id="519" w:name="_Toc173557896"/>
      <w:bookmarkStart w:id="520" w:name="_Toc189814206"/>
      <w:bookmarkStart w:id="521" w:name="_Toc175479886"/>
      <w:bookmarkStart w:id="522" w:name="_Toc160867203"/>
      <w:r>
        <w:rPr>
          <w:b/>
          <w:szCs w:val="20"/>
        </w:rPr>
        <w:t>1</w:t>
      </w:r>
      <w:r>
        <w:rPr>
          <w:rFonts w:hint="eastAsia"/>
          <w:b/>
          <w:szCs w:val="20"/>
        </w:rPr>
        <w:t>5</w:t>
      </w:r>
      <w:r>
        <w:rPr>
          <w:b/>
          <w:szCs w:val="20"/>
        </w:rPr>
        <w:t>.</w:t>
      </w:r>
      <w:r>
        <w:rPr>
          <w:rFonts w:hint="eastAsia"/>
          <w:b/>
          <w:szCs w:val="20"/>
        </w:rPr>
        <w:t>1</w:t>
      </w:r>
      <w:r>
        <w:rPr>
          <w:b/>
          <w:szCs w:val="20"/>
        </w:rPr>
        <w:t xml:space="preserve"> ISO14000简介</w:t>
      </w:r>
      <w:bookmarkEnd w:id="516"/>
    </w:p>
    <w:p>
      <w:pPr>
        <w:spacing w:line="360" w:lineRule="auto"/>
        <w:ind w:firstLine="420"/>
        <w:rPr>
          <w:rFonts w:hAnsi="宋体"/>
        </w:rPr>
      </w:pPr>
      <w:bookmarkStart w:id="523" w:name="_Toc152222729"/>
      <w:bookmarkStart w:id="524" w:name="_Toc49002322"/>
      <w:bookmarkStart w:id="525" w:name="_Toc232520461"/>
      <w:bookmarkStart w:id="526" w:name="_Toc49053640"/>
      <w:bookmarkStart w:id="527" w:name="_Toc37649131"/>
      <w:bookmarkStart w:id="528" w:name="_Toc49053731"/>
      <w:bookmarkStart w:id="529" w:name="_Toc37649383"/>
      <w:bookmarkStart w:id="530" w:name="_Toc49005180"/>
      <w:r>
        <w:rPr>
          <w:rFonts w:hAnsi="宋体"/>
        </w:rPr>
        <w:t>ISO14000系列标准是国际标准组织制定的国际通用标准，属于环境管理的范畴，是环境保护领域的最新管理工具和手段，也是可持续发展理论指导思想下的积极成果。该系列主要由5个标准组成，即ISO14001～ISO14005，其中最主要的核心是ISO14001标准，即《环境管理体系——规范与指南》。该标准旨在通过规范的环境管理体系的建立和环境管理工作的开展，达到主动积极地开展环境保护工作。实践表明，我国的许多环境问题主要是由于管理不善造成的，虽然我国一直把强化环境管理作为环境保护工作的一项重要内容，但是在今后相当长的一段时间里，强化环境管理实现政府调控和市场经济相结合的完善管理体系，仍将是我国环境保护政策体系的中心环节。</w:t>
      </w:r>
    </w:p>
    <w:p>
      <w:pPr>
        <w:spacing w:line="360" w:lineRule="auto"/>
        <w:ind w:firstLine="420"/>
        <w:rPr>
          <w:rFonts w:hAnsi="宋体"/>
        </w:rPr>
      </w:pPr>
      <w:r>
        <w:rPr>
          <w:rFonts w:hAnsi="宋体"/>
        </w:rPr>
        <w:t>本</w:t>
      </w:r>
      <w:r>
        <w:rPr>
          <w:rFonts w:hint="eastAsia" w:hAnsi="宋体"/>
        </w:rPr>
        <w:t>技改项目</w:t>
      </w:r>
      <w:r>
        <w:rPr>
          <w:rFonts w:hAnsi="宋体"/>
        </w:rPr>
        <w:t>的建设贯彻执行ISO14000系列标准的要求，建立环境管理体系，开展环境管理工作。</w:t>
      </w:r>
    </w:p>
    <w:bookmarkEnd w:id="523"/>
    <w:bookmarkEnd w:id="524"/>
    <w:bookmarkEnd w:id="525"/>
    <w:bookmarkEnd w:id="526"/>
    <w:bookmarkEnd w:id="527"/>
    <w:bookmarkEnd w:id="528"/>
    <w:bookmarkEnd w:id="529"/>
    <w:bookmarkEnd w:id="530"/>
    <w:p>
      <w:pPr>
        <w:spacing w:line="360" w:lineRule="auto"/>
        <w:outlineLvl w:val="2"/>
        <w:rPr>
          <w:b/>
        </w:rPr>
      </w:pPr>
      <w:r>
        <w:rPr>
          <w:rFonts w:hint="eastAsia"/>
          <w:b/>
        </w:rPr>
        <w:t>15.1.1</w:t>
      </w:r>
      <w:r>
        <w:rPr>
          <w:b/>
        </w:rPr>
        <w:t>环境管理机构及职责</w:t>
      </w:r>
      <w:bookmarkEnd w:id="517"/>
      <w:bookmarkEnd w:id="518"/>
      <w:bookmarkEnd w:id="519"/>
      <w:bookmarkEnd w:id="520"/>
      <w:bookmarkEnd w:id="521"/>
      <w:bookmarkEnd w:id="522"/>
    </w:p>
    <w:p>
      <w:pPr>
        <w:spacing w:line="360" w:lineRule="auto"/>
        <w:ind w:firstLine="420"/>
        <w:rPr>
          <w:rFonts w:hAnsi="宋体"/>
        </w:rPr>
      </w:pPr>
      <w:bookmarkStart w:id="531" w:name="_Toc173557774"/>
      <w:bookmarkStart w:id="532" w:name="_Toc173557897"/>
      <w:bookmarkStart w:id="533" w:name="_Toc160867204"/>
      <w:r>
        <w:rPr>
          <w:rFonts w:hint="eastAsia" w:hAnsi="宋体"/>
        </w:rPr>
        <w:t>青鹏煤业公司目前已</w:t>
      </w:r>
      <w:r>
        <w:rPr>
          <w:rFonts w:hAnsi="宋体"/>
        </w:rPr>
        <w:t>设置</w:t>
      </w:r>
      <w:r>
        <w:rPr>
          <w:rFonts w:hint="eastAsia" w:hAnsi="宋体"/>
        </w:rPr>
        <w:t>了</w:t>
      </w:r>
      <w:r>
        <w:rPr>
          <w:rFonts w:hAnsi="宋体"/>
        </w:rPr>
        <w:t>生产安全环保部门和环境保护管理人员，负责全厂的日常环境保护管理、污染治理设施管理、环境保护宣传、教育及</w:t>
      </w:r>
      <w:r>
        <w:rPr>
          <w:rFonts w:hint="eastAsia" w:hAnsi="宋体"/>
        </w:rPr>
        <w:t>其</w:t>
      </w:r>
      <w:r>
        <w:rPr>
          <w:rFonts w:hAnsi="宋体"/>
        </w:rPr>
        <w:t>有关的环境保护对外协调工作。</w:t>
      </w:r>
    </w:p>
    <w:p>
      <w:pPr>
        <w:spacing w:line="360" w:lineRule="auto"/>
        <w:outlineLvl w:val="2"/>
        <w:rPr>
          <w:b/>
        </w:rPr>
      </w:pPr>
      <w:r>
        <w:rPr>
          <w:b/>
        </w:rPr>
        <w:t>15.1.</w:t>
      </w:r>
      <w:r>
        <w:rPr>
          <w:rFonts w:hint="eastAsia"/>
          <w:b/>
        </w:rPr>
        <w:t>2</w:t>
      </w:r>
      <w:r>
        <w:rPr>
          <w:b/>
        </w:rPr>
        <w:t xml:space="preserve">  施工期环境管理计划</w:t>
      </w:r>
    </w:p>
    <w:p>
      <w:pPr>
        <w:spacing w:line="360" w:lineRule="auto"/>
        <w:ind w:firstLine="420"/>
        <w:rPr>
          <w:rFonts w:hAnsi="宋体"/>
        </w:rPr>
      </w:pPr>
      <w:r>
        <w:rPr>
          <w:rFonts w:hAnsi="宋体"/>
        </w:rPr>
        <w:t>施工期环境管理的中心工作是：在抓好环境保护设施建设的同时，防止和控制施工活动对环境造成污染和破坏，具体内容是：</w:t>
      </w:r>
    </w:p>
    <w:p>
      <w:pPr>
        <w:spacing w:line="360" w:lineRule="auto"/>
        <w:ind w:firstLine="420"/>
        <w:rPr>
          <w:rFonts w:hAnsi="宋体"/>
          <w:spacing w:val="-4"/>
        </w:rPr>
      </w:pPr>
      <w:r>
        <w:rPr>
          <w:rFonts w:hint="eastAsia" w:hAnsi="宋体"/>
          <w:spacing w:val="-4"/>
        </w:rPr>
        <w:t>（1）</w:t>
      </w:r>
      <w:r>
        <w:rPr>
          <w:rFonts w:hAnsi="宋体"/>
          <w:spacing w:val="-4"/>
        </w:rPr>
        <w:t>确定</w:t>
      </w:r>
      <w:r>
        <w:rPr>
          <w:rFonts w:hint="eastAsia" w:hAnsi="宋体"/>
          <w:spacing w:val="-4"/>
        </w:rPr>
        <w:t>技改项目</w:t>
      </w:r>
      <w:r>
        <w:rPr>
          <w:rFonts w:hAnsi="宋体"/>
          <w:spacing w:val="-4"/>
        </w:rPr>
        <w:t>建设环境保护的管理制度和实施办法，指导施工过程的环境保护工作，并在</w:t>
      </w:r>
      <w:r>
        <w:rPr>
          <w:rFonts w:hint="eastAsia" w:hAnsi="宋体"/>
          <w:spacing w:val="-4"/>
        </w:rPr>
        <w:t>项目</w:t>
      </w:r>
      <w:r>
        <w:rPr>
          <w:rFonts w:hAnsi="宋体"/>
          <w:spacing w:val="-4"/>
        </w:rPr>
        <w:t>施工过程中督促执行，检查执行情况，及时发现问题，提出改进措施及建议。</w:t>
      </w:r>
    </w:p>
    <w:p>
      <w:pPr>
        <w:spacing w:line="360" w:lineRule="auto"/>
        <w:ind w:firstLine="420"/>
        <w:rPr>
          <w:rFonts w:hAnsi="宋体"/>
        </w:rPr>
      </w:pPr>
      <w:r>
        <w:rPr>
          <w:rFonts w:hint="eastAsia" w:hAnsi="宋体"/>
        </w:rPr>
        <w:t>（2）</w:t>
      </w:r>
      <w:r>
        <w:rPr>
          <w:rFonts w:hAnsi="宋体"/>
        </w:rPr>
        <w:t>贯彻落实建设项目的</w:t>
      </w:r>
      <w:r>
        <w:rPr>
          <w:rFonts w:hint="eastAsia" w:hAnsi="宋体"/>
        </w:rPr>
        <w:t>“</w:t>
      </w:r>
      <w:r>
        <w:rPr>
          <w:rFonts w:hAnsi="宋体"/>
        </w:rPr>
        <w:t>三同时</w:t>
      </w:r>
      <w:r>
        <w:rPr>
          <w:rFonts w:hint="eastAsia" w:hAnsi="宋体"/>
        </w:rPr>
        <w:t>”</w:t>
      </w:r>
      <w:r>
        <w:rPr>
          <w:rFonts w:hAnsi="宋体"/>
        </w:rPr>
        <w:t>原则，切实按照设计要求予以实施，以确保环保设施的建设，使项目达到预期效果。</w:t>
      </w:r>
    </w:p>
    <w:p>
      <w:pPr>
        <w:spacing w:line="360" w:lineRule="auto"/>
        <w:ind w:firstLine="420"/>
        <w:rPr>
          <w:rFonts w:hAnsi="宋体"/>
        </w:rPr>
      </w:pPr>
      <w:r>
        <w:rPr>
          <w:rFonts w:hint="eastAsia" w:hAnsi="宋体"/>
        </w:rPr>
        <w:t>（3）</w:t>
      </w:r>
      <w:r>
        <w:rPr>
          <w:rFonts w:hAnsi="宋体"/>
        </w:rPr>
        <w:t>负责对施工过程中的污染源管理，搞好施工过程的组织管理，合理安排和组织施工机械的运行及施工作业时间，最大限度地减少工程施工作业产生噪声、振动、扬尘等对环境的不利影响。</w:t>
      </w:r>
    </w:p>
    <w:p>
      <w:pPr>
        <w:spacing w:line="360" w:lineRule="auto"/>
        <w:ind w:firstLine="420"/>
        <w:rPr>
          <w:rFonts w:hAnsi="宋体"/>
        </w:rPr>
      </w:pPr>
      <w:r>
        <w:rPr>
          <w:rFonts w:hint="eastAsia" w:hAnsi="宋体"/>
        </w:rPr>
        <w:t>（4）</w:t>
      </w:r>
      <w:r>
        <w:rPr>
          <w:rFonts w:hAnsi="宋体"/>
        </w:rPr>
        <w:t>对施工过程中产生的废料、垃圾、施工车辆冲洗废水等进行集中统一管理和处置，防止其对环境造成不利影响。</w:t>
      </w:r>
    </w:p>
    <w:p>
      <w:pPr>
        <w:spacing w:line="360" w:lineRule="auto"/>
        <w:ind w:firstLine="420"/>
        <w:rPr>
          <w:rFonts w:hAnsi="宋体"/>
        </w:rPr>
      </w:pPr>
      <w:r>
        <w:rPr>
          <w:rFonts w:hint="eastAsia" w:hAnsi="宋体"/>
        </w:rPr>
        <w:t>（5）</w:t>
      </w:r>
      <w:r>
        <w:rPr>
          <w:rFonts w:hAnsi="宋体"/>
        </w:rPr>
        <w:t>合理组织施工，防止土石方开挖后雨水冲刷造成的水土流失。</w:t>
      </w:r>
    </w:p>
    <w:p>
      <w:pPr>
        <w:spacing w:line="360" w:lineRule="auto"/>
        <w:ind w:firstLine="420"/>
        <w:rPr>
          <w:rFonts w:hAnsi="宋体"/>
        </w:rPr>
      </w:pPr>
      <w:r>
        <w:rPr>
          <w:rFonts w:hint="eastAsia" w:hAnsi="宋体"/>
        </w:rPr>
        <w:t>（6）</w:t>
      </w:r>
      <w:r>
        <w:rPr>
          <w:rFonts w:hAnsi="宋体"/>
        </w:rPr>
        <w:t>参与施工运输作业的管理，防止运输过程中施工废物沿途洒落，影响</w:t>
      </w:r>
      <w:r>
        <w:rPr>
          <w:rFonts w:hint="eastAsia" w:hAnsi="宋体"/>
        </w:rPr>
        <w:t>周边</w:t>
      </w:r>
      <w:r>
        <w:rPr>
          <w:rFonts w:hAnsi="宋体"/>
        </w:rPr>
        <w:t>环境卫生及产生大量的二次扬尘。</w:t>
      </w:r>
    </w:p>
    <w:p>
      <w:pPr>
        <w:spacing w:line="360" w:lineRule="auto"/>
        <w:outlineLvl w:val="2"/>
        <w:rPr>
          <w:b/>
        </w:rPr>
      </w:pPr>
      <w:bookmarkStart w:id="534" w:name="_Toc231894576"/>
      <w:bookmarkStart w:id="535" w:name="_Toc232520464"/>
      <w:r>
        <w:rPr>
          <w:b/>
        </w:rPr>
        <w:t>15.1.</w:t>
      </w:r>
      <w:r>
        <w:rPr>
          <w:rFonts w:hint="eastAsia"/>
          <w:b/>
        </w:rPr>
        <w:t>3</w:t>
      </w:r>
      <w:r>
        <w:rPr>
          <w:b/>
        </w:rPr>
        <w:t xml:space="preserve">  营运期环境管理计划</w:t>
      </w:r>
      <w:bookmarkEnd w:id="534"/>
      <w:bookmarkEnd w:id="535"/>
    </w:p>
    <w:p>
      <w:pPr>
        <w:spacing w:line="360" w:lineRule="auto"/>
        <w:ind w:firstLine="420"/>
        <w:rPr>
          <w:rFonts w:hAnsi="宋体"/>
        </w:rPr>
      </w:pPr>
      <w:r>
        <w:rPr>
          <w:rFonts w:hAnsi="宋体"/>
        </w:rPr>
        <w:t>营运期环境管理的主要任务是：</w:t>
      </w:r>
    </w:p>
    <w:p>
      <w:pPr>
        <w:spacing w:line="360" w:lineRule="auto"/>
        <w:ind w:firstLine="420"/>
        <w:rPr>
          <w:rFonts w:hAnsi="宋体"/>
        </w:rPr>
      </w:pPr>
      <w:r>
        <w:rPr>
          <w:rFonts w:hint="eastAsia" w:hAnsi="宋体"/>
        </w:rPr>
        <w:t>（1）</w:t>
      </w:r>
      <w:r>
        <w:rPr>
          <w:rFonts w:hAnsi="宋体"/>
        </w:rPr>
        <w:t>结合公司的实际，制定明确的、符合自身特点的环境方针，承诺对自身污染的预防，并遵守执行国家、地方的有法律、法规以及其它的有关规定。环境方针</w:t>
      </w:r>
      <w:r>
        <w:rPr>
          <w:rFonts w:hint="eastAsia" w:hAnsi="宋体"/>
        </w:rPr>
        <w:t>尽可能</w:t>
      </w:r>
      <w:r>
        <w:rPr>
          <w:rFonts w:hAnsi="宋体"/>
        </w:rPr>
        <w:t>文件化，便于公众获取。</w:t>
      </w:r>
    </w:p>
    <w:p>
      <w:pPr>
        <w:spacing w:line="360" w:lineRule="auto"/>
        <w:ind w:firstLine="420"/>
        <w:rPr>
          <w:rFonts w:hAnsi="宋体"/>
        </w:rPr>
      </w:pPr>
      <w:r>
        <w:rPr>
          <w:rFonts w:hint="eastAsia" w:hAnsi="宋体"/>
        </w:rPr>
        <w:t>（2）</w:t>
      </w:r>
      <w:r>
        <w:rPr>
          <w:rFonts w:hAnsi="宋体"/>
        </w:rPr>
        <w:t>根据制定的环境方针，制定公司的环境管理规章制度，确定公司各个部门、各岗位的环境保护目标和可量化的指标，使全部员工都参与到环境保护工作之中。</w:t>
      </w:r>
    </w:p>
    <w:p>
      <w:pPr>
        <w:spacing w:line="360" w:lineRule="auto"/>
        <w:ind w:firstLine="420"/>
        <w:rPr>
          <w:rFonts w:hAnsi="宋体"/>
        </w:rPr>
      </w:pPr>
      <w:r>
        <w:rPr>
          <w:rFonts w:hint="eastAsia" w:hAnsi="宋体"/>
        </w:rPr>
        <w:t>（3）</w:t>
      </w:r>
      <w:r>
        <w:rPr>
          <w:rFonts w:hAnsi="宋体"/>
        </w:rPr>
        <w:t>建立健全</w:t>
      </w:r>
      <w:r>
        <w:rPr>
          <w:rFonts w:hint="eastAsia" w:hAnsi="宋体"/>
        </w:rPr>
        <w:t>技改项目</w:t>
      </w:r>
      <w:r>
        <w:rPr>
          <w:rFonts w:hAnsi="宋体"/>
        </w:rPr>
        <w:t>运行过程中的污染源档案、环境保护设施的处理工艺流程和设备档案，切实掌握环保设施的运行情况，保证其安全正常运行；掌握其运行过程中存在的潜在不利因素，及时提出改进措施及建议。</w:t>
      </w:r>
    </w:p>
    <w:p>
      <w:pPr>
        <w:spacing w:line="360" w:lineRule="auto"/>
        <w:ind w:firstLine="420"/>
        <w:rPr>
          <w:rFonts w:hAnsi="宋体"/>
        </w:rPr>
      </w:pPr>
      <w:r>
        <w:rPr>
          <w:rFonts w:hint="eastAsia" w:hAnsi="宋体"/>
        </w:rPr>
        <w:t>（4）</w:t>
      </w:r>
      <w:r>
        <w:rPr>
          <w:rFonts w:hAnsi="宋体"/>
        </w:rPr>
        <w:t>做好环境保护宣传教育和技术培训等工作，增强职工的环境保护意识。</w:t>
      </w:r>
    </w:p>
    <w:p>
      <w:pPr>
        <w:spacing w:line="360" w:lineRule="auto"/>
        <w:ind w:firstLine="420"/>
        <w:rPr>
          <w:rFonts w:hAnsi="宋体"/>
        </w:rPr>
      </w:pPr>
      <w:r>
        <w:rPr>
          <w:rFonts w:hint="eastAsia" w:hAnsi="宋体"/>
        </w:rPr>
        <w:t>（5）</w:t>
      </w:r>
      <w:r>
        <w:rPr>
          <w:rFonts w:hAnsi="宋体"/>
        </w:rPr>
        <w:t>为了掌握全厂环保工作情况，了解管理体系中可能存在的问题，工厂</w:t>
      </w:r>
      <w:r>
        <w:rPr>
          <w:rFonts w:hint="eastAsia" w:hAnsi="宋体"/>
        </w:rPr>
        <w:t>拟</w:t>
      </w:r>
      <w:r>
        <w:rPr>
          <w:rFonts w:hAnsi="宋体"/>
        </w:rPr>
        <w:t>每年进行一次内部评审，检查环境管理工作的问题和不足，及时提出改进意见。内部评审工作自</w:t>
      </w:r>
      <w:r>
        <w:rPr>
          <w:rFonts w:hint="eastAsia" w:hAnsi="宋体"/>
        </w:rPr>
        <w:t>行</w:t>
      </w:r>
      <w:r>
        <w:rPr>
          <w:rFonts w:hAnsi="宋体"/>
        </w:rPr>
        <w:t>进行</w:t>
      </w:r>
      <w:r>
        <w:rPr>
          <w:rFonts w:hint="eastAsia" w:hAnsi="宋体"/>
        </w:rPr>
        <w:t>或</w:t>
      </w:r>
      <w:r>
        <w:rPr>
          <w:rFonts w:hAnsi="宋体"/>
        </w:rPr>
        <w:t>请有关咨询机构帮助进行。时机和条件具备时，</w:t>
      </w:r>
      <w:r>
        <w:rPr>
          <w:rFonts w:hint="eastAsia" w:hAnsi="宋体"/>
        </w:rPr>
        <w:t>将</w:t>
      </w:r>
      <w:r>
        <w:rPr>
          <w:rFonts w:hAnsi="宋体"/>
        </w:rPr>
        <w:t>进行ISO14000的认证，使自己的环境管理工作得到公认。</w:t>
      </w:r>
    </w:p>
    <w:p>
      <w:pPr>
        <w:spacing w:line="360" w:lineRule="auto"/>
        <w:outlineLvl w:val="1"/>
        <w:rPr>
          <w:b/>
        </w:rPr>
      </w:pPr>
      <w:bookmarkStart w:id="536" w:name="_Toc276372288"/>
      <w:bookmarkStart w:id="537" w:name="_Toc238263275"/>
      <w:r>
        <w:rPr>
          <w:b/>
        </w:rPr>
        <w:t>15.2  环境监测</w:t>
      </w:r>
      <w:bookmarkEnd w:id="536"/>
      <w:bookmarkEnd w:id="537"/>
    </w:p>
    <w:p>
      <w:pPr>
        <w:spacing w:line="360" w:lineRule="auto"/>
        <w:outlineLvl w:val="2"/>
        <w:rPr>
          <w:b/>
        </w:rPr>
      </w:pPr>
      <w:r>
        <w:rPr>
          <w:b/>
        </w:rPr>
        <w:t>15.2.1  环境监测机构</w:t>
      </w:r>
    </w:p>
    <w:p>
      <w:pPr>
        <w:spacing w:line="360" w:lineRule="auto"/>
        <w:ind w:firstLine="420"/>
        <w:rPr>
          <w:rFonts w:hAnsi="宋体"/>
        </w:rPr>
      </w:pPr>
      <w:bookmarkStart w:id="538" w:name="_Toc158348244"/>
      <w:r>
        <w:rPr>
          <w:rFonts w:hAnsi="宋体"/>
        </w:rPr>
        <w:t>本</w:t>
      </w:r>
      <w:r>
        <w:rPr>
          <w:rFonts w:hint="eastAsia" w:hAnsi="宋体"/>
        </w:rPr>
        <w:t>技改项目</w:t>
      </w:r>
      <w:r>
        <w:rPr>
          <w:rFonts w:hAnsi="宋体"/>
        </w:rPr>
        <w:t>的环境监测工作</w:t>
      </w:r>
      <w:r>
        <w:rPr>
          <w:rFonts w:hint="eastAsia" w:hAnsi="宋体"/>
        </w:rPr>
        <w:t>将</w:t>
      </w:r>
      <w:r>
        <w:rPr>
          <w:rFonts w:hAnsi="宋体"/>
        </w:rPr>
        <w:t>委托当地有资质的环境监测单位承担。</w:t>
      </w:r>
    </w:p>
    <w:p>
      <w:pPr>
        <w:spacing w:line="360" w:lineRule="auto"/>
        <w:outlineLvl w:val="2"/>
        <w:rPr>
          <w:rFonts w:hint="eastAsia"/>
          <w:b/>
        </w:rPr>
      </w:pPr>
      <w:r>
        <w:rPr>
          <w:b/>
        </w:rPr>
        <w:t>15.2.2  环境监测计划</w:t>
      </w:r>
    </w:p>
    <w:p>
      <w:pPr>
        <w:spacing w:line="360" w:lineRule="auto"/>
        <w:ind w:firstLine="315" w:firstLineChars="150"/>
        <w:rPr>
          <w:rFonts w:hAnsi="宋体"/>
        </w:rPr>
      </w:pPr>
      <w:r>
        <w:rPr>
          <w:rFonts w:hint="eastAsia" w:hAnsi="宋体"/>
        </w:rPr>
        <w:t>（1）</w:t>
      </w:r>
      <w:r>
        <w:rPr>
          <w:rFonts w:hAnsi="宋体"/>
        </w:rPr>
        <w:t>施工期环境</w:t>
      </w:r>
      <w:bookmarkEnd w:id="538"/>
      <w:r>
        <w:rPr>
          <w:rFonts w:hAnsi="宋体"/>
        </w:rPr>
        <w:t>监测</w:t>
      </w:r>
    </w:p>
    <w:p>
      <w:pPr>
        <w:adjustRightInd w:val="0"/>
        <w:snapToGrid w:val="0"/>
        <w:spacing w:line="360" w:lineRule="auto"/>
        <w:ind w:firstLine="420" w:firstLineChars="200"/>
        <w:rPr>
          <w:rFonts w:hAnsi="宋体"/>
        </w:rPr>
      </w:pPr>
      <w:r>
        <w:rPr>
          <w:rFonts w:hint="eastAsia" w:hAnsi="宋体"/>
        </w:rPr>
        <w:t>①</w:t>
      </w:r>
      <w:r>
        <w:rPr>
          <w:rFonts w:hAnsi="宋体"/>
        </w:rPr>
        <w:t>环境空气质量监测：了解施工活动对空气环境质量的影响，作为本工程投入运行之前空气质量的环境背景资料。监测项目主要有：TSP、NO2、SO2、PM10。</w:t>
      </w:r>
    </w:p>
    <w:p>
      <w:pPr>
        <w:adjustRightInd w:val="0"/>
        <w:snapToGrid w:val="0"/>
        <w:spacing w:line="360" w:lineRule="auto"/>
        <w:ind w:firstLine="420" w:firstLineChars="200"/>
        <w:rPr>
          <w:rFonts w:hint="eastAsia" w:hAnsi="宋体"/>
        </w:rPr>
      </w:pPr>
      <w:r>
        <w:rPr>
          <w:rFonts w:hint="eastAsia" w:hAnsi="宋体"/>
        </w:rPr>
        <w:t>②</w:t>
      </w:r>
      <w:r>
        <w:rPr>
          <w:rFonts w:hAnsi="宋体"/>
        </w:rPr>
        <w:t>施工期噪声监测：了解施工机械设备噪声及其对周围环境的影响，制定切实可行的噪声控制措施。监测项目主要是施工场界噪声。噪声监测点设置根据施工区范围和周围环境特征确定。</w:t>
      </w:r>
      <w:bookmarkStart w:id="539" w:name="_Toc158348245"/>
    </w:p>
    <w:p>
      <w:pPr>
        <w:adjustRightInd w:val="0"/>
        <w:snapToGrid w:val="0"/>
        <w:spacing w:line="360" w:lineRule="auto"/>
        <w:ind w:firstLine="420" w:firstLineChars="200"/>
        <w:rPr>
          <w:rFonts w:hAnsi="宋体"/>
        </w:rPr>
      </w:pPr>
      <w:r>
        <w:rPr>
          <w:rFonts w:hint="eastAsia" w:hAnsi="宋体"/>
        </w:rPr>
        <w:t>（2）</w:t>
      </w:r>
      <w:r>
        <w:rPr>
          <w:rFonts w:hAnsi="宋体"/>
        </w:rPr>
        <w:t>营运期环境</w:t>
      </w:r>
      <w:bookmarkEnd w:id="539"/>
      <w:r>
        <w:rPr>
          <w:rFonts w:hAnsi="宋体"/>
        </w:rPr>
        <w:t>监测</w:t>
      </w:r>
    </w:p>
    <w:p>
      <w:pPr>
        <w:adjustRightInd w:val="0"/>
        <w:snapToGrid w:val="0"/>
        <w:spacing w:line="360" w:lineRule="auto"/>
        <w:ind w:firstLine="420" w:firstLineChars="200"/>
        <w:rPr>
          <w:rFonts w:hAnsi="宋体"/>
        </w:rPr>
      </w:pPr>
      <w:r>
        <w:rPr>
          <w:rFonts w:hAnsi="宋体"/>
        </w:rPr>
        <w:t>本</w:t>
      </w:r>
      <w:r>
        <w:rPr>
          <w:rFonts w:hint="eastAsia" w:hAnsi="宋体"/>
        </w:rPr>
        <w:t>技改项目</w:t>
      </w:r>
      <w:r>
        <w:rPr>
          <w:rFonts w:hAnsi="宋体"/>
        </w:rPr>
        <w:t>营运期环境监测的任务主要是厂区污染源监测和厂址所在区域环境质量监测。污染源监测包括废气、废水和噪声的污染源监测，以及环保设施的运行情况监测，了解环保设施的运行状况，发现超标等问题及时采取措施解决。区域环境质量监测主要是对厂址所在范围内的环境空气质量进行监测。根据监测结果，进行统计分析，建立污染源及治理设施档案，为环境保护管理提供科学依据。</w:t>
      </w:r>
    </w:p>
    <w:p>
      <w:pPr>
        <w:adjustRightInd w:val="0"/>
        <w:snapToGrid w:val="0"/>
        <w:spacing w:line="360" w:lineRule="auto"/>
        <w:ind w:firstLine="420" w:firstLineChars="200"/>
        <w:rPr>
          <w:rFonts w:hAnsi="宋体"/>
        </w:rPr>
      </w:pPr>
      <w:r>
        <w:rPr>
          <w:rFonts w:hAnsi="宋体"/>
        </w:rPr>
        <w:t>监测项目及制度如下：</w:t>
      </w:r>
    </w:p>
    <w:p>
      <w:pPr>
        <w:adjustRightInd w:val="0"/>
        <w:snapToGrid w:val="0"/>
        <w:spacing w:line="360" w:lineRule="auto"/>
        <w:ind w:firstLine="420" w:firstLineChars="200"/>
        <w:rPr>
          <w:rFonts w:hAnsi="宋体"/>
        </w:rPr>
      </w:pPr>
      <w:r>
        <w:rPr>
          <w:rFonts w:hint="eastAsia" w:hAnsi="宋体"/>
        </w:rPr>
        <w:t>①</w:t>
      </w:r>
      <w:r>
        <w:rPr>
          <w:rFonts w:hAnsi="宋体"/>
        </w:rPr>
        <w:t>废气</w:t>
      </w:r>
    </w:p>
    <w:p>
      <w:pPr>
        <w:adjustRightInd w:val="0"/>
        <w:snapToGrid w:val="0"/>
        <w:spacing w:line="360" w:lineRule="auto"/>
        <w:ind w:firstLine="420" w:firstLineChars="200"/>
        <w:rPr>
          <w:rFonts w:hAnsi="宋体"/>
        </w:rPr>
      </w:pPr>
      <w:r>
        <w:rPr>
          <w:rFonts w:hAnsi="宋体"/>
        </w:rPr>
        <w:t>监测项目：</w:t>
      </w:r>
    </w:p>
    <w:p>
      <w:pPr>
        <w:adjustRightInd w:val="0"/>
        <w:snapToGrid w:val="0"/>
        <w:spacing w:line="360" w:lineRule="auto"/>
        <w:ind w:firstLine="420" w:firstLineChars="200"/>
        <w:rPr>
          <w:rFonts w:hAnsi="宋体"/>
        </w:rPr>
      </w:pPr>
      <w:r>
        <w:rPr>
          <w:rFonts w:hAnsi="宋体"/>
        </w:rPr>
        <w:t>窑</w:t>
      </w:r>
      <w:r>
        <w:rPr>
          <w:rFonts w:hint="eastAsia" w:hAnsi="宋体"/>
        </w:rPr>
        <w:t>头、窑尾</w:t>
      </w:r>
      <w:r>
        <w:rPr>
          <w:rFonts w:hAnsi="宋体"/>
        </w:rPr>
        <w:t>废气处理系统的烟气量、烟气温度、颗粒物、SO</w:t>
      </w:r>
      <w:r>
        <w:rPr>
          <w:rFonts w:hAnsi="宋体"/>
          <w:vertAlign w:val="subscript"/>
        </w:rPr>
        <w:t>2</w:t>
      </w:r>
      <w:r>
        <w:rPr>
          <w:rFonts w:hAnsi="宋体"/>
        </w:rPr>
        <w:t>、NO</w:t>
      </w:r>
      <w:r>
        <w:rPr>
          <w:rFonts w:hAnsi="宋体"/>
          <w:vertAlign w:val="subscript"/>
        </w:rPr>
        <w:t>X</w:t>
      </w:r>
      <w:r>
        <w:rPr>
          <w:rFonts w:hAnsi="宋体"/>
        </w:rPr>
        <w:t>浓度以及除尘系统的除尘效率等，设置自动监测系统，对烟气中的烟尘、SO</w:t>
      </w:r>
      <w:r>
        <w:rPr>
          <w:rFonts w:hAnsi="宋体"/>
          <w:vertAlign w:val="subscript"/>
        </w:rPr>
        <w:t>2</w:t>
      </w:r>
      <w:r>
        <w:rPr>
          <w:rFonts w:hAnsi="宋体"/>
        </w:rPr>
        <w:t>、NO</w:t>
      </w:r>
      <w:r>
        <w:rPr>
          <w:rFonts w:hAnsi="宋体"/>
          <w:vertAlign w:val="subscript"/>
        </w:rPr>
        <w:t>X</w:t>
      </w:r>
      <w:r>
        <w:rPr>
          <w:rFonts w:hAnsi="宋体"/>
        </w:rPr>
        <w:t>排放浓度进行连续监测。</w:t>
      </w:r>
      <w:r>
        <w:rPr>
          <w:rFonts w:hint="eastAsia" w:hAnsi="宋体"/>
        </w:rPr>
        <w:t>技改项目</w:t>
      </w:r>
      <w:r>
        <w:rPr>
          <w:rFonts w:hAnsi="宋体"/>
        </w:rPr>
        <w:t>所有粉尘净化系统的废气量、排气温度、粉尘浓度及除尘系统的除尘效率等。</w:t>
      </w:r>
    </w:p>
    <w:p>
      <w:pPr>
        <w:adjustRightInd w:val="0"/>
        <w:snapToGrid w:val="0"/>
        <w:spacing w:line="360" w:lineRule="auto"/>
        <w:ind w:firstLine="420" w:firstLineChars="200"/>
        <w:rPr>
          <w:rFonts w:hAnsi="宋体"/>
        </w:rPr>
      </w:pPr>
      <w:r>
        <w:rPr>
          <w:rFonts w:hAnsi="宋体"/>
        </w:rPr>
        <w:t>监测点：在</w:t>
      </w:r>
      <w:r>
        <w:rPr>
          <w:rFonts w:hint="eastAsia" w:hAnsi="宋体"/>
        </w:rPr>
        <w:t>技改项目</w:t>
      </w:r>
      <w:r>
        <w:rPr>
          <w:rFonts w:hAnsi="宋体"/>
        </w:rPr>
        <w:t>设置的</w:t>
      </w:r>
      <w:r>
        <w:rPr>
          <w:rFonts w:hint="eastAsia" w:hAnsi="宋体"/>
        </w:rPr>
        <w:t>58座</w:t>
      </w:r>
      <w:r>
        <w:rPr>
          <w:rFonts w:hAnsi="宋体"/>
        </w:rPr>
        <w:t>排气筒上设置采样孔和采样监测平台，采样孔位置的设置按GB/T16157－1996执行。</w:t>
      </w:r>
    </w:p>
    <w:p>
      <w:pPr>
        <w:adjustRightInd w:val="0"/>
        <w:snapToGrid w:val="0"/>
        <w:spacing w:line="360" w:lineRule="auto"/>
        <w:ind w:firstLine="420" w:firstLineChars="200"/>
        <w:rPr>
          <w:rFonts w:hAnsi="宋体"/>
        </w:rPr>
      </w:pPr>
      <w:r>
        <w:rPr>
          <w:rFonts w:hAnsi="宋体"/>
        </w:rPr>
        <w:t>在厂界外当地主导风上、下风向20m处各设一个厂外环境空气质量（无组织面源）监测点。</w:t>
      </w:r>
    </w:p>
    <w:p>
      <w:pPr>
        <w:adjustRightInd w:val="0"/>
        <w:snapToGrid w:val="0"/>
        <w:spacing w:line="360" w:lineRule="auto"/>
        <w:ind w:firstLine="420" w:firstLineChars="200"/>
        <w:rPr>
          <w:rFonts w:hAnsi="宋体"/>
        </w:rPr>
      </w:pPr>
      <w:r>
        <w:rPr>
          <w:rFonts w:hAnsi="宋体"/>
        </w:rPr>
        <w:t>监测频率：项目调试阶段应加强各监测点的监测；正常生产时期每</w:t>
      </w:r>
      <w:r>
        <w:rPr>
          <w:rFonts w:hint="eastAsia" w:hAnsi="宋体"/>
        </w:rPr>
        <w:t>半年</w:t>
      </w:r>
      <w:r>
        <w:rPr>
          <w:rFonts w:hAnsi="宋体"/>
        </w:rPr>
        <w:t>监测</w:t>
      </w:r>
      <w:r>
        <w:rPr>
          <w:rFonts w:hint="eastAsia" w:hAnsi="宋体"/>
        </w:rPr>
        <w:t>1</w:t>
      </w:r>
      <w:r>
        <w:rPr>
          <w:rFonts w:hAnsi="宋体"/>
        </w:rPr>
        <w:t>次。</w:t>
      </w:r>
    </w:p>
    <w:p>
      <w:pPr>
        <w:snapToGrid w:val="0"/>
        <w:spacing w:line="360" w:lineRule="auto"/>
        <w:ind w:firstLine="420" w:firstLineChars="200"/>
        <w:rPr>
          <w:rFonts w:hAnsi="宋体"/>
        </w:rPr>
      </w:pPr>
      <w:r>
        <w:rPr>
          <w:rFonts w:hint="eastAsia" w:hAnsi="宋体"/>
        </w:rPr>
        <w:t>②</w:t>
      </w:r>
      <w:r>
        <w:rPr>
          <w:rFonts w:hAnsi="宋体"/>
        </w:rPr>
        <w:t>废水</w:t>
      </w:r>
    </w:p>
    <w:p>
      <w:pPr>
        <w:snapToGrid w:val="0"/>
        <w:spacing w:line="360" w:lineRule="auto"/>
        <w:ind w:firstLine="564"/>
        <w:rPr>
          <w:rFonts w:hAnsi="宋体"/>
        </w:rPr>
      </w:pPr>
      <w:r>
        <w:rPr>
          <w:rFonts w:hAnsi="宋体"/>
        </w:rPr>
        <w:t>监测项目：SS、COD、</w:t>
      </w:r>
      <w:r>
        <w:rPr>
          <w:rFonts w:hint="eastAsia" w:hAnsi="宋体"/>
        </w:rPr>
        <w:t>氨氮</w:t>
      </w:r>
      <w:r>
        <w:rPr>
          <w:rFonts w:hAnsi="宋体"/>
        </w:rPr>
        <w:t>、废水量。</w:t>
      </w:r>
    </w:p>
    <w:p>
      <w:pPr>
        <w:snapToGrid w:val="0"/>
        <w:spacing w:line="360" w:lineRule="auto"/>
        <w:ind w:firstLine="564"/>
        <w:rPr>
          <w:rFonts w:hAnsi="宋体"/>
        </w:rPr>
      </w:pPr>
      <w:r>
        <w:rPr>
          <w:rFonts w:hAnsi="宋体"/>
        </w:rPr>
        <w:t>采样位置：生活污水生化处理装置进口和出口。</w:t>
      </w:r>
    </w:p>
    <w:p>
      <w:pPr>
        <w:snapToGrid w:val="0"/>
        <w:spacing w:line="360" w:lineRule="auto"/>
        <w:ind w:firstLine="564"/>
        <w:rPr>
          <w:rFonts w:hAnsi="宋体"/>
        </w:rPr>
      </w:pPr>
      <w:r>
        <w:rPr>
          <w:rFonts w:hAnsi="宋体"/>
        </w:rPr>
        <w:t>监测频率：每年监测1次。</w:t>
      </w:r>
    </w:p>
    <w:p>
      <w:pPr>
        <w:adjustRightInd w:val="0"/>
        <w:snapToGrid w:val="0"/>
        <w:spacing w:line="360" w:lineRule="auto"/>
        <w:ind w:firstLine="420" w:firstLineChars="200"/>
        <w:rPr>
          <w:rFonts w:hAnsi="宋体"/>
        </w:rPr>
      </w:pPr>
      <w:r>
        <w:rPr>
          <w:rFonts w:hint="eastAsia" w:hAnsi="宋体"/>
        </w:rPr>
        <w:t>③</w:t>
      </w:r>
      <w:r>
        <w:rPr>
          <w:rFonts w:hAnsi="宋体"/>
        </w:rPr>
        <w:t>噪声</w:t>
      </w:r>
    </w:p>
    <w:p>
      <w:pPr>
        <w:adjustRightInd w:val="0"/>
        <w:snapToGrid w:val="0"/>
        <w:spacing w:line="360" w:lineRule="auto"/>
        <w:ind w:firstLine="420" w:firstLineChars="200"/>
        <w:rPr>
          <w:rFonts w:hAnsi="宋体"/>
        </w:rPr>
      </w:pPr>
      <w:r>
        <w:rPr>
          <w:rFonts w:hAnsi="宋体"/>
        </w:rPr>
        <w:t>监测项目：厂界噪声。</w:t>
      </w:r>
    </w:p>
    <w:p>
      <w:pPr>
        <w:adjustRightInd w:val="0"/>
        <w:snapToGrid w:val="0"/>
        <w:spacing w:line="360" w:lineRule="auto"/>
        <w:ind w:firstLine="420" w:firstLineChars="200"/>
        <w:rPr>
          <w:rFonts w:hAnsi="宋体"/>
        </w:rPr>
      </w:pPr>
      <w:r>
        <w:rPr>
          <w:rFonts w:hAnsi="宋体"/>
        </w:rPr>
        <w:t>监测点：厂界噪声测点。</w:t>
      </w:r>
    </w:p>
    <w:p>
      <w:pPr>
        <w:adjustRightInd w:val="0"/>
        <w:snapToGrid w:val="0"/>
        <w:spacing w:line="360" w:lineRule="auto"/>
        <w:ind w:firstLine="420" w:firstLineChars="200"/>
        <w:rPr>
          <w:rFonts w:hAnsi="宋体"/>
        </w:rPr>
      </w:pPr>
      <w:r>
        <w:rPr>
          <w:rFonts w:hAnsi="宋体"/>
        </w:rPr>
        <w:t>监测频率：</w:t>
      </w:r>
      <w:r>
        <w:rPr>
          <w:rFonts w:hint="eastAsia" w:hAnsi="宋体"/>
        </w:rPr>
        <w:t>项目</w:t>
      </w:r>
      <w:r>
        <w:rPr>
          <w:rFonts w:hAnsi="宋体"/>
        </w:rPr>
        <w:t>正常运行期厂界噪声每</w:t>
      </w:r>
      <w:r>
        <w:rPr>
          <w:rFonts w:hint="eastAsia" w:hAnsi="宋体"/>
        </w:rPr>
        <w:t>半年</w:t>
      </w:r>
      <w:r>
        <w:rPr>
          <w:rFonts w:hAnsi="宋体"/>
        </w:rPr>
        <w:t>监测</w:t>
      </w:r>
      <w:r>
        <w:rPr>
          <w:rFonts w:hint="eastAsia" w:hAnsi="宋体"/>
        </w:rPr>
        <w:t>1</w:t>
      </w:r>
      <w:r>
        <w:rPr>
          <w:rFonts w:hAnsi="宋体"/>
        </w:rPr>
        <w:t>次。</w:t>
      </w:r>
    </w:p>
    <w:p>
      <w:pPr>
        <w:spacing w:line="360" w:lineRule="auto"/>
        <w:outlineLvl w:val="1"/>
        <w:rPr>
          <w:b/>
        </w:rPr>
      </w:pPr>
      <w:bookmarkStart w:id="540" w:name="_Toc276372289"/>
      <w:bookmarkStart w:id="541" w:name="_Toc238263276"/>
      <w:r>
        <w:rPr>
          <w:b/>
        </w:rPr>
        <w:t>15.3  环保管理、监测人员的培训计划</w:t>
      </w:r>
      <w:bookmarkEnd w:id="540"/>
      <w:bookmarkEnd w:id="541"/>
    </w:p>
    <w:p>
      <w:pPr>
        <w:adjustRightInd w:val="0"/>
        <w:snapToGrid w:val="0"/>
        <w:spacing w:line="360" w:lineRule="auto"/>
        <w:ind w:firstLine="420" w:firstLineChars="200"/>
        <w:rPr>
          <w:rFonts w:hAnsi="宋体"/>
        </w:rPr>
      </w:pPr>
      <w:r>
        <w:rPr>
          <w:rFonts w:hint="eastAsia" w:hAnsi="宋体"/>
        </w:rPr>
        <w:t>青鹏公司</w:t>
      </w:r>
      <w:r>
        <w:rPr>
          <w:rFonts w:hAnsi="宋体"/>
        </w:rPr>
        <w:t>从事环保工作的专职人员</w:t>
      </w:r>
      <w:r>
        <w:rPr>
          <w:rFonts w:hint="eastAsia" w:hAnsi="宋体"/>
        </w:rPr>
        <w:t>应加强</w:t>
      </w:r>
      <w:r>
        <w:rPr>
          <w:rFonts w:hAnsi="宋体"/>
        </w:rPr>
        <w:t>专业培训，</w:t>
      </w:r>
      <w:r>
        <w:rPr>
          <w:rFonts w:hint="eastAsia" w:hAnsi="宋体"/>
        </w:rPr>
        <w:t>具备</w:t>
      </w:r>
      <w:r>
        <w:rPr>
          <w:rFonts w:hAnsi="宋体"/>
        </w:rPr>
        <w:t>一定的环境保护专业知识，了解公司的主要生产工艺和产生的废水、废气、噪声等污染的治理技术，确保废水、废气、噪声等污染物的达标排放和处理设备的正常运转。同时加强从事环保工作的专职人员的环境保护法律、法规教育，提高工作责任感，杜绝人为因素造成的环保事故发生。</w:t>
      </w:r>
    </w:p>
    <w:p>
      <w:pPr>
        <w:spacing w:line="360" w:lineRule="auto"/>
        <w:outlineLvl w:val="1"/>
        <w:rPr>
          <w:b/>
        </w:rPr>
      </w:pPr>
      <w:bookmarkStart w:id="542" w:name="_Toc238263277"/>
      <w:bookmarkStart w:id="543" w:name="_Toc276372290"/>
      <w:r>
        <w:rPr>
          <w:b/>
        </w:rPr>
        <w:t>15.4  环境保护竣工验收</w:t>
      </w:r>
      <w:bookmarkEnd w:id="542"/>
      <w:bookmarkEnd w:id="543"/>
    </w:p>
    <w:bookmarkEnd w:id="531"/>
    <w:bookmarkEnd w:id="532"/>
    <w:bookmarkEnd w:id="533"/>
    <w:p>
      <w:pPr>
        <w:spacing w:line="360" w:lineRule="auto"/>
        <w:rPr>
          <w:b/>
        </w:rPr>
      </w:pPr>
      <w:r>
        <w:rPr>
          <w:rFonts w:hint="eastAsia"/>
          <w:b/>
        </w:rPr>
        <w:t>15.4.1</w:t>
      </w:r>
      <w:r>
        <w:rPr>
          <w:b/>
        </w:rPr>
        <w:t>环保竣工验收要求</w:t>
      </w:r>
    </w:p>
    <w:p>
      <w:pPr>
        <w:spacing w:line="360" w:lineRule="auto"/>
        <w:ind w:firstLine="420" w:firstLineChars="200"/>
        <w:rPr>
          <w:rFonts w:ascii="宋体" w:hAnsi="宋体"/>
        </w:rPr>
      </w:pPr>
      <w:r>
        <w:rPr>
          <w:rFonts w:ascii="宋体" w:hAnsi="宋体"/>
        </w:rPr>
        <w:t>技改项目完工后，企业应向当地环保部门提出试生产申请，试生产申请经环境保护行政主管部门同意后，建设单位方可进行试生产。当自试生产之日起3个月内，向有审批权的环境保护行政主管部门申请该建设项目竣工环境保护验收，同时提交环境保护验收监测报告。项目竣工环境保护验收通过后，建设单位方可正式投产运行。</w:t>
      </w:r>
    </w:p>
    <w:p>
      <w:pPr>
        <w:spacing w:line="360" w:lineRule="auto"/>
        <w:ind w:firstLine="420" w:firstLineChars="200"/>
        <w:rPr>
          <w:rFonts w:hint="eastAsia" w:ascii="宋体" w:hAnsi="宋体"/>
          <w:b/>
        </w:rPr>
      </w:pPr>
      <w:r>
        <w:rPr>
          <w:rFonts w:ascii="宋体" w:hAnsi="宋体"/>
        </w:rPr>
        <w:t>技改项目环保设施验收内容及要求见表1</w:t>
      </w:r>
      <w:r>
        <w:rPr>
          <w:rFonts w:hint="eastAsia" w:ascii="宋体" w:hAnsi="宋体"/>
        </w:rPr>
        <w:t>5</w:t>
      </w:r>
      <w:r>
        <w:rPr>
          <w:rFonts w:ascii="宋体" w:hAnsi="宋体"/>
        </w:rPr>
        <w:t>-</w:t>
      </w:r>
      <w:r>
        <w:rPr>
          <w:rFonts w:hint="eastAsia" w:ascii="宋体" w:hAnsi="宋体"/>
        </w:rPr>
        <w:t>1</w:t>
      </w:r>
      <w:r>
        <w:rPr>
          <w:rFonts w:ascii="宋体" w:hAnsi="宋体"/>
        </w:rPr>
        <w:t>。</w:t>
      </w:r>
    </w:p>
    <w:p>
      <w:pPr>
        <w:spacing w:line="480" w:lineRule="exact"/>
        <w:jc w:val="center"/>
        <w:rPr>
          <w:rFonts w:ascii="宋体" w:hAnsi="宋体"/>
          <w:b/>
        </w:rPr>
      </w:pPr>
      <w:r>
        <w:rPr>
          <w:rFonts w:hint="eastAsia" w:ascii="宋体" w:hAnsi="宋体"/>
          <w:b/>
        </w:rPr>
        <w:t>表15</w:t>
      </w:r>
      <w:r>
        <w:rPr>
          <w:rFonts w:ascii="宋体" w:hAnsi="宋体"/>
          <w:b/>
        </w:rPr>
        <w:t>-</w:t>
      </w:r>
      <w:r>
        <w:rPr>
          <w:rFonts w:hint="eastAsia" w:ascii="宋体" w:hAnsi="宋体"/>
          <w:b/>
        </w:rPr>
        <w:t>1</w:t>
      </w:r>
      <w:r>
        <w:rPr>
          <w:rFonts w:ascii="宋体" w:hAnsi="宋体"/>
          <w:b/>
        </w:rPr>
        <w:t xml:space="preserve">  </w:t>
      </w:r>
      <w:r>
        <w:rPr>
          <w:rFonts w:hint="eastAsia" w:ascii="宋体" w:hAnsi="宋体"/>
          <w:b/>
        </w:rPr>
        <w:t>技改项目环保设施验收内容及要求一览表</w:t>
      </w:r>
    </w:p>
    <w:tbl>
      <w:tblPr>
        <w:tblStyle w:val="20"/>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521"/>
        <w:gridCol w:w="1638"/>
        <w:gridCol w:w="3527"/>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sz w:val="21"/>
                <w:szCs w:val="21"/>
              </w:rPr>
              <w:t>类别</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rFonts w:hint="eastAsia"/>
                <w:sz w:val="21"/>
                <w:szCs w:val="21"/>
              </w:rPr>
              <w:t>污染源</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rFonts w:hint="eastAsia"/>
                <w:sz w:val="21"/>
                <w:szCs w:val="21"/>
              </w:rPr>
              <w:t>监测位置</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rFonts w:hint="eastAsia"/>
                <w:sz w:val="21"/>
                <w:szCs w:val="21"/>
              </w:rPr>
              <w:t>治理措施</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rFonts w:hint="eastAsia"/>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505" w:type="dxa"/>
            <w:vMerge w:val="restart"/>
            <w:tcBorders>
              <w:top w:val="single" w:color="auto" w:sz="4" w:space="0"/>
              <w:left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废气</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18"/>
                <w:szCs w:val="18"/>
              </w:rPr>
              <w:t>石灰石破碎</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sz w:val="21"/>
                <w:szCs w:val="21"/>
              </w:rPr>
            </w:pPr>
            <w:r>
              <w:rPr>
                <w:rFonts w:hint="eastAsia"/>
                <w:sz w:val="21"/>
                <w:szCs w:val="21"/>
              </w:rPr>
              <w:t>石灰石化</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18"/>
                <w:szCs w:val="18"/>
              </w:rPr>
              <w:t>原煤均化及输送</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，3套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18"/>
                <w:szCs w:val="18"/>
              </w:rPr>
            </w:pPr>
            <w:r>
              <w:rPr>
                <w:rFonts w:hint="eastAsia"/>
                <w:sz w:val="18"/>
                <w:szCs w:val="18"/>
              </w:rPr>
              <w:t>辅料均化及输送</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，3套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原料配料库顶</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原料配料库底</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sz w:val="21"/>
                <w:szCs w:val="21"/>
              </w:rPr>
              <w:t>窑尾废气</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ind w:left="440"/>
              <w:jc w:val="both"/>
              <w:rPr>
                <w:rFonts w:hint="eastAsia"/>
                <w:color w:val="auto"/>
                <w:sz w:val="21"/>
                <w:szCs w:val="21"/>
              </w:rPr>
            </w:pPr>
            <w:r>
              <w:rPr>
                <w:color w:val="auto"/>
                <w:sz w:val="21"/>
                <w:szCs w:val="21"/>
              </w:rPr>
              <w:t>气箱脉冲袋收尘器</w:t>
            </w:r>
            <w:r>
              <w:rPr>
                <w:rFonts w:hint="eastAsia"/>
                <w:color w:val="auto"/>
                <w:sz w:val="21"/>
                <w:szCs w:val="21"/>
              </w:rPr>
              <w:t>，1套</w:t>
            </w:r>
          </w:p>
          <w:p>
            <w:pPr>
              <w:pStyle w:val="35"/>
              <w:spacing w:line="320" w:lineRule="exact"/>
              <w:rPr>
                <w:rFonts w:hint="eastAsia"/>
                <w:color w:val="auto"/>
                <w:sz w:val="21"/>
                <w:szCs w:val="21"/>
              </w:rPr>
            </w:pPr>
            <w:r>
              <w:rPr>
                <w:rFonts w:hint="eastAsia"/>
                <w:color w:val="auto"/>
                <w:sz w:val="21"/>
                <w:szCs w:val="21"/>
              </w:rPr>
              <w:t>在线监测装置，1套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烟气量、烟尘、SO</w:t>
            </w:r>
            <w:r>
              <w:rPr>
                <w:rFonts w:hint="eastAsia"/>
                <w:sz w:val="21"/>
                <w:szCs w:val="21"/>
                <w:vertAlign w:val="subscript"/>
              </w:rPr>
              <w:t>2</w:t>
            </w:r>
            <w:r>
              <w:rPr>
                <w:rFonts w:hint="eastAsia"/>
                <w:sz w:val="21"/>
                <w:szCs w:val="21"/>
              </w:rPr>
              <w:t>、</w:t>
            </w:r>
            <w:r>
              <w:rPr>
                <w:sz w:val="21"/>
                <w:szCs w:val="21"/>
              </w:rPr>
              <w:t>NO</w:t>
            </w:r>
            <w:r>
              <w:rPr>
                <w:rFonts w:hint="eastAsia"/>
                <w:sz w:val="21"/>
                <w:szCs w:val="21"/>
                <w:vertAlign w:val="subscript"/>
              </w:rPr>
              <w:t>2</w:t>
            </w:r>
            <w:r>
              <w:rPr>
                <w:rFonts w:hint="eastAsia"/>
                <w:sz w:val="21"/>
                <w:szCs w:val="21"/>
              </w:rPr>
              <w:t>、烟气温度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8"/>
              </w:rPr>
            </w:pPr>
            <w:r>
              <w:rPr>
                <w:rFonts w:hint="eastAsia"/>
                <w:sz w:val="18"/>
                <w:szCs w:val="18"/>
              </w:rPr>
              <w:t>生料均化库顶</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8"/>
              </w:rPr>
            </w:pPr>
            <w:r>
              <w:rPr>
                <w:rFonts w:hint="eastAsia"/>
                <w:sz w:val="18"/>
                <w:szCs w:val="18"/>
              </w:rPr>
              <w:t>生料均化库底</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sz w:val="21"/>
                <w:szCs w:val="21"/>
              </w:rPr>
              <w:t>窑头废气</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rFonts w:hint="eastAsia"/>
                <w:color w:val="auto"/>
                <w:sz w:val="21"/>
                <w:szCs w:val="21"/>
              </w:rPr>
            </w:pPr>
            <w:r>
              <w:rPr>
                <w:color w:val="auto"/>
                <w:sz w:val="21"/>
                <w:szCs w:val="21"/>
              </w:rPr>
              <w:t>气箱脉冲袋收尘器</w:t>
            </w:r>
            <w:r>
              <w:rPr>
                <w:rFonts w:hint="eastAsia"/>
                <w:color w:val="auto"/>
                <w:sz w:val="21"/>
                <w:szCs w:val="21"/>
              </w:rPr>
              <w:t>，1套</w:t>
            </w:r>
          </w:p>
          <w:p>
            <w:pPr>
              <w:pStyle w:val="35"/>
              <w:spacing w:line="320" w:lineRule="exact"/>
              <w:rPr>
                <w:rFonts w:hint="eastAsia"/>
                <w:color w:val="auto"/>
                <w:sz w:val="21"/>
                <w:szCs w:val="21"/>
              </w:rPr>
            </w:pPr>
            <w:r>
              <w:rPr>
                <w:rFonts w:hint="eastAsia"/>
                <w:color w:val="auto"/>
                <w:sz w:val="21"/>
                <w:szCs w:val="21"/>
              </w:rPr>
              <w:t>在线监测装置，1套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烟气量、烟气温度、粉尘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熟料库底</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熟料库顶</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8"/>
              </w:rPr>
            </w:pPr>
            <w:r>
              <w:rPr>
                <w:rFonts w:hint="eastAsia"/>
                <w:sz w:val="18"/>
                <w:szCs w:val="18"/>
              </w:rPr>
              <w:t>煤粉制备</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rFonts w:hint="eastAsia"/>
                <w:color w:val="auto"/>
              </w:rPr>
              <w:t>防爆型袋式除尘器，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8"/>
              </w:rPr>
            </w:pPr>
            <w:r>
              <w:rPr>
                <w:rFonts w:hint="eastAsia"/>
                <w:sz w:val="18"/>
                <w:szCs w:val="18"/>
              </w:rPr>
              <w:t>水泥配料</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，5套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sz w:val="18"/>
                <w:szCs w:val="18"/>
              </w:rPr>
            </w:pPr>
            <w:r>
              <w:rPr>
                <w:rFonts w:hint="eastAsia"/>
                <w:sz w:val="18"/>
                <w:szCs w:val="18"/>
              </w:rPr>
              <w:t>水泥配料</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，5套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水泥粉磨</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，1套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水泥库顶</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，6套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sz w:val="18"/>
                <w:szCs w:val="18"/>
              </w:rPr>
            </w:pPr>
            <w:r>
              <w:rPr>
                <w:rFonts w:hint="eastAsia"/>
                <w:sz w:val="18"/>
                <w:szCs w:val="18"/>
              </w:rPr>
              <w:t>水泥库底</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，6套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sz w:val="21"/>
                <w:szCs w:val="21"/>
              </w:rPr>
              <w:t>水泥</w:t>
            </w:r>
            <w:r>
              <w:rPr>
                <w:rFonts w:hint="eastAsia"/>
                <w:sz w:val="21"/>
                <w:szCs w:val="21"/>
              </w:rPr>
              <w:t>散装</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rFonts w:hint="eastAsia"/>
                <w:color w:val="auto"/>
                <w:sz w:val="21"/>
                <w:szCs w:val="21"/>
              </w:rPr>
            </w:pPr>
            <w:r>
              <w:rPr>
                <w:color w:val="auto"/>
                <w:sz w:val="21"/>
                <w:szCs w:val="21"/>
              </w:rPr>
              <w:t>气箱脉冲袋收尘器</w:t>
            </w:r>
            <w:r>
              <w:rPr>
                <w:rFonts w:hint="eastAsia"/>
                <w:color w:val="auto"/>
                <w:sz w:val="21"/>
                <w:szCs w:val="21"/>
              </w:rPr>
              <w:t>，2套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505" w:type="dxa"/>
            <w:vMerge w:val="continue"/>
            <w:tcBorders>
              <w:left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sz w:val="21"/>
                <w:szCs w:val="21"/>
              </w:rPr>
              <w:t>水泥包装</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排气筒出口</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pStyle w:val="35"/>
              <w:spacing w:line="320" w:lineRule="exact"/>
              <w:rPr>
                <w:color w:val="auto"/>
                <w:sz w:val="21"/>
                <w:szCs w:val="21"/>
              </w:rPr>
            </w:pPr>
            <w:r>
              <w:rPr>
                <w:color w:val="auto"/>
                <w:sz w:val="21"/>
                <w:szCs w:val="21"/>
              </w:rPr>
              <w:t>气箱脉冲袋收尘器</w:t>
            </w:r>
            <w:r>
              <w:rPr>
                <w:rFonts w:hint="eastAsia"/>
                <w:color w:val="auto"/>
                <w:sz w:val="21"/>
                <w:szCs w:val="21"/>
              </w:rPr>
              <w:t>，4套</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505" w:type="dxa"/>
            <w:vMerge w:val="continue"/>
            <w:tcBorders>
              <w:left w:val="single" w:color="auto" w:sz="4" w:space="0"/>
              <w:bottom w:val="single" w:color="auto" w:sz="4" w:space="0"/>
              <w:right w:val="single" w:color="auto" w:sz="4" w:space="0"/>
            </w:tcBorders>
            <w:shd w:val="clear" w:color="auto" w:fill="auto"/>
            <w:noWrap w:val="0"/>
            <w:vAlign w:val="center"/>
          </w:tcPr>
          <w:p>
            <w:pPr>
              <w:widowControl/>
              <w:spacing w:line="300" w:lineRule="exact"/>
              <w:jc w:val="center"/>
              <w:rPr>
                <w:rFonts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exact"/>
              <w:rPr>
                <w:sz w:val="21"/>
                <w:szCs w:val="21"/>
              </w:rPr>
            </w:pPr>
            <w:r>
              <w:rPr>
                <w:rFonts w:hint="eastAsia"/>
                <w:sz w:val="21"/>
                <w:szCs w:val="21"/>
              </w:rPr>
              <w:t>无组织排放气</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exact"/>
              <w:rPr>
                <w:sz w:val="21"/>
                <w:szCs w:val="21"/>
              </w:rPr>
            </w:pPr>
            <w:r>
              <w:rPr>
                <w:rFonts w:hint="eastAsia"/>
                <w:sz w:val="21"/>
                <w:szCs w:val="21"/>
              </w:rPr>
              <w:t>厂界（上风向</w:t>
            </w:r>
            <w:r>
              <w:rPr>
                <w:sz w:val="21"/>
                <w:szCs w:val="21"/>
              </w:rPr>
              <w:t>1</w:t>
            </w:r>
            <w:r>
              <w:rPr>
                <w:rFonts w:hint="eastAsia"/>
                <w:sz w:val="21"/>
                <w:szCs w:val="21"/>
              </w:rPr>
              <w:t>点、下风向</w:t>
            </w:r>
            <w:r>
              <w:rPr>
                <w:sz w:val="21"/>
                <w:szCs w:val="21"/>
              </w:rPr>
              <w:t>4</w:t>
            </w:r>
            <w:r>
              <w:rPr>
                <w:rFonts w:hint="eastAsia"/>
                <w:sz w:val="21"/>
                <w:szCs w:val="21"/>
              </w:rPr>
              <w:t>点）</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exact"/>
              <w:rPr>
                <w:sz w:val="21"/>
                <w:szCs w:val="21"/>
              </w:rPr>
            </w:pPr>
            <w:r>
              <w:rPr>
                <w:rFonts w:hint="eastAsia"/>
                <w:sz w:val="21"/>
                <w:szCs w:val="21"/>
              </w:rPr>
              <w:t>加强管理；堆场配置喷淋系统</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320" w:lineRule="exact"/>
              <w:jc w:val="center"/>
              <w:rPr>
                <w:sz w:val="21"/>
                <w:szCs w:val="21"/>
              </w:rPr>
            </w:pPr>
            <w:r>
              <w:rPr>
                <w:rFonts w:hint="eastAsia"/>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505" w:type="dxa"/>
            <w:tcBorders>
              <w:left w:val="single" w:color="auto" w:sz="4" w:space="0"/>
              <w:right w:val="single" w:color="auto" w:sz="4" w:space="0"/>
            </w:tcBorders>
            <w:shd w:val="clear" w:color="auto" w:fill="auto"/>
            <w:noWrap w:val="0"/>
            <w:vAlign w:val="center"/>
          </w:tcPr>
          <w:p>
            <w:pPr>
              <w:spacing w:line="300" w:lineRule="exact"/>
              <w:jc w:val="center"/>
              <w:rPr>
                <w:rFonts w:hint="eastAsia" w:ascii="宋体" w:hAnsi="宋体"/>
                <w:sz w:val="21"/>
                <w:szCs w:val="21"/>
              </w:rPr>
            </w:pPr>
            <w:r>
              <w:rPr>
                <w:rFonts w:hint="eastAsia" w:ascii="宋体" w:hAnsi="宋体"/>
                <w:sz w:val="21"/>
                <w:szCs w:val="21"/>
              </w:rPr>
              <w:t>废水</w:t>
            </w:r>
          </w:p>
        </w:tc>
        <w:tc>
          <w:tcPr>
            <w:tcW w:w="152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sz w:val="21"/>
                <w:szCs w:val="21"/>
              </w:rPr>
            </w:pPr>
            <w:r>
              <w:rPr>
                <w:rFonts w:hint="eastAsia"/>
                <w:sz w:val="21"/>
                <w:szCs w:val="21"/>
              </w:rPr>
              <w:t>辅助设施及生活污水</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center"/>
              <w:rPr>
                <w:rFonts w:hint="eastAsia" w:ascii="宋体" w:hAnsi="宋体"/>
                <w:sz w:val="21"/>
                <w:szCs w:val="21"/>
              </w:rPr>
            </w:pPr>
            <w:r>
              <w:rPr>
                <w:rFonts w:hint="eastAsia"/>
                <w:sz w:val="21"/>
                <w:szCs w:val="21"/>
              </w:rPr>
              <w:t>生活污水处理池</w:t>
            </w:r>
            <w:r>
              <w:rPr>
                <w:rFonts w:hint="eastAsia" w:ascii="宋体" w:hAnsi="宋体"/>
                <w:sz w:val="21"/>
                <w:szCs w:val="21"/>
              </w:rPr>
              <w:t>排放口</w:t>
            </w:r>
          </w:p>
        </w:tc>
        <w:tc>
          <w:tcPr>
            <w:tcW w:w="3527" w:type="dxa"/>
            <w:tcBorders>
              <w:left w:val="single" w:color="auto" w:sz="4" w:space="0"/>
              <w:right w:val="single" w:color="auto" w:sz="4" w:space="0"/>
            </w:tcBorders>
            <w:shd w:val="clear" w:color="auto" w:fill="auto"/>
            <w:noWrap w:val="0"/>
            <w:vAlign w:val="center"/>
          </w:tcPr>
          <w:p>
            <w:pPr>
              <w:spacing w:line="300" w:lineRule="exact"/>
              <w:jc w:val="center"/>
              <w:rPr>
                <w:rFonts w:hint="eastAsia" w:ascii="宋体" w:hAnsi="宋体"/>
                <w:sz w:val="21"/>
                <w:szCs w:val="21"/>
              </w:rPr>
            </w:pPr>
            <w:r>
              <w:rPr>
                <w:rFonts w:hint="eastAsia" w:ascii="宋体" w:hAnsi="宋体"/>
                <w:sz w:val="21"/>
                <w:szCs w:val="21"/>
              </w:rPr>
              <w:t>经处理达标后，</w:t>
            </w:r>
            <w:r>
              <w:rPr>
                <w:rFonts w:hint="eastAsia"/>
                <w:sz w:val="21"/>
                <w:szCs w:val="21"/>
              </w:rPr>
              <w:t>从厂区北侧</w:t>
            </w:r>
            <w:r>
              <w:rPr>
                <w:rFonts w:hint="eastAsia" w:ascii="宋体" w:hAnsi="宋体"/>
                <w:sz w:val="21"/>
                <w:szCs w:val="21"/>
              </w:rPr>
              <w:t>总废水排放口排入无名溪沟</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sz w:val="21"/>
                <w:szCs w:val="21"/>
              </w:rPr>
              <w:t>COD、SS、NH</w:t>
            </w:r>
            <w:r>
              <w:rPr>
                <w:rFonts w:hint="eastAsia"/>
                <w:sz w:val="21"/>
                <w:szCs w:val="21"/>
                <w:vertAlign w:val="subscript"/>
              </w:rPr>
              <w:t>3</w:t>
            </w:r>
            <w:r>
              <w:rPr>
                <w:rFonts w:hint="eastAsia"/>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50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噪声</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高噪声设施</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厂界</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隔声、消声、减振、绿化措施</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等效声级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50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ascii="宋体" w:hAnsi="宋体"/>
                <w:sz w:val="21"/>
                <w:szCs w:val="21"/>
              </w:rPr>
            </w:pPr>
            <w:r>
              <w:rPr>
                <w:rFonts w:hint="eastAsia" w:ascii="宋体" w:hAnsi="宋体"/>
                <w:sz w:val="21"/>
                <w:szCs w:val="21"/>
              </w:rPr>
              <w:t>固体</w:t>
            </w:r>
          </w:p>
          <w:p>
            <w:pPr>
              <w:spacing w:line="300" w:lineRule="exact"/>
              <w:jc w:val="center"/>
              <w:rPr>
                <w:rFonts w:ascii="宋体" w:hAnsi="宋体"/>
                <w:sz w:val="21"/>
                <w:szCs w:val="21"/>
              </w:rPr>
            </w:pPr>
            <w:r>
              <w:rPr>
                <w:rFonts w:hint="eastAsia" w:ascii="宋体" w:hAnsi="宋体"/>
                <w:sz w:val="21"/>
                <w:szCs w:val="21"/>
              </w:rPr>
              <w:t>废物</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sz w:val="21"/>
                <w:szCs w:val="21"/>
              </w:rPr>
            </w:pPr>
            <w:r>
              <w:rPr>
                <w:rFonts w:hint="eastAsia"/>
                <w:sz w:val="21"/>
                <w:szCs w:val="21"/>
              </w:rPr>
              <w:t>除尘灰</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sz w:val="21"/>
                <w:szCs w:val="21"/>
              </w:rPr>
            </w:pPr>
            <w:r>
              <w:rPr>
                <w:rFonts w:hint="eastAsia"/>
                <w:sz w:val="21"/>
                <w:szCs w:val="21"/>
              </w:rPr>
              <w:t>收集后作生产原料回用或产品外售利用，不排放</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pStyle w:val="35"/>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50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center"/>
              <w:rPr>
                <w:rFonts w:hint="eastAsia"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exact"/>
              <w:rPr>
                <w:rFonts w:hint="eastAsia"/>
                <w:sz w:val="21"/>
                <w:szCs w:val="21"/>
              </w:rPr>
            </w:pPr>
            <w:r>
              <w:rPr>
                <w:rFonts w:hint="eastAsia"/>
                <w:sz w:val="21"/>
                <w:szCs w:val="21"/>
              </w:rPr>
              <w:t>生活污水污泥</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left w:val="single" w:color="auto" w:sz="4" w:space="0"/>
              <w:bottom w:val="single" w:color="auto" w:sz="4" w:space="0"/>
              <w:right w:val="single" w:color="auto" w:sz="4" w:space="0"/>
            </w:tcBorders>
            <w:shd w:val="clear" w:color="auto" w:fill="auto"/>
            <w:noWrap w:val="0"/>
            <w:vAlign w:val="center"/>
          </w:tcPr>
          <w:p>
            <w:pPr>
              <w:spacing w:line="240" w:lineRule="exact"/>
              <w:jc w:val="center"/>
              <w:rPr>
                <w:rFonts w:hint="eastAsia"/>
                <w:sz w:val="21"/>
                <w:szCs w:val="21"/>
              </w:rPr>
            </w:pPr>
            <w:r>
              <w:rPr>
                <w:rFonts w:hint="eastAsia"/>
                <w:sz w:val="21"/>
                <w:szCs w:val="21"/>
              </w:rPr>
              <w:t>直接送水泥回转窑作水泥原料煅烧，不排放</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pStyle w:val="35"/>
              <w:rPr>
                <w:rFonts w:hint="eastAsia"/>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5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ascii="宋体" w:hAnsi="宋体"/>
                <w:sz w:val="21"/>
                <w:szCs w:val="21"/>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sz w:val="21"/>
                <w:szCs w:val="21"/>
              </w:rPr>
            </w:pPr>
            <w:r>
              <w:rPr>
                <w:rFonts w:hint="eastAsia"/>
                <w:sz w:val="21"/>
                <w:szCs w:val="21"/>
              </w:rPr>
              <w:t>生活垃圾</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宋体" w:hAnsi="宋体"/>
                <w:sz w:val="21"/>
                <w:szCs w:val="21"/>
              </w:rPr>
            </w:pPr>
            <w:r>
              <w:rPr>
                <w:rFonts w:hint="eastAsia" w:ascii="宋体" w:hAnsi="宋体"/>
                <w:sz w:val="21"/>
                <w:szCs w:val="21"/>
              </w:rPr>
              <w:t>/</w:t>
            </w:r>
          </w:p>
        </w:tc>
        <w:tc>
          <w:tcPr>
            <w:tcW w:w="352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ind w:firstLine="420"/>
              <w:jc w:val="center"/>
              <w:rPr>
                <w:rFonts w:hint="eastAsia"/>
                <w:sz w:val="21"/>
                <w:szCs w:val="21"/>
              </w:rPr>
            </w:pPr>
            <w:r>
              <w:rPr>
                <w:rFonts w:hint="eastAsia"/>
                <w:sz w:val="21"/>
                <w:szCs w:val="21"/>
              </w:rPr>
              <w:t>在厂区内设生活垃圾转运站，集中收集后，由青木关镇环卫部门送城市垃圾处理场卫生填埋，不排放</w:t>
            </w:r>
          </w:p>
        </w:tc>
        <w:tc>
          <w:tcPr>
            <w:tcW w:w="2096" w:type="dxa"/>
            <w:tcBorders>
              <w:top w:val="single" w:color="auto" w:sz="4" w:space="0"/>
              <w:left w:val="single" w:color="auto" w:sz="4" w:space="0"/>
              <w:bottom w:val="single" w:color="auto" w:sz="4" w:space="0"/>
              <w:right w:val="single" w:color="auto" w:sz="4" w:space="0"/>
            </w:tcBorders>
            <w:noWrap w:val="0"/>
            <w:vAlign w:val="center"/>
          </w:tcPr>
          <w:p>
            <w:pPr>
              <w:pStyle w:val="35"/>
              <w:rPr>
                <w:rFonts w:hint="eastAsia"/>
                <w:color w:val="auto"/>
                <w:sz w:val="21"/>
                <w:szCs w:val="21"/>
              </w:rPr>
            </w:pPr>
            <w:r>
              <w:rPr>
                <w:rFonts w:hint="eastAsia"/>
                <w:color w:val="auto"/>
                <w:sz w:val="21"/>
                <w:szCs w:val="21"/>
              </w:rPr>
              <w:t>/</w:t>
            </w:r>
          </w:p>
        </w:tc>
      </w:tr>
    </w:tbl>
    <w:p>
      <w:pPr>
        <w:spacing w:line="360" w:lineRule="auto"/>
        <w:rPr>
          <w:rFonts w:hint="eastAsia"/>
          <w:b/>
        </w:rPr>
      </w:pPr>
      <w:r>
        <w:rPr>
          <w:rFonts w:hint="eastAsia"/>
          <w:b/>
        </w:rPr>
        <w:t>15.4.2</w:t>
      </w:r>
      <w:r>
        <w:rPr>
          <w:b/>
        </w:rPr>
        <w:t>环保竣工验收标准</w:t>
      </w:r>
    </w:p>
    <w:p>
      <w:pPr>
        <w:spacing w:line="360" w:lineRule="auto"/>
        <w:ind w:firstLine="420" w:firstLineChars="200"/>
        <w:rPr>
          <w:rFonts w:hint="eastAsia" w:ascii="宋体" w:hAnsi="宋体"/>
        </w:rPr>
      </w:pPr>
      <w:r>
        <w:rPr>
          <w:rFonts w:ascii="宋体" w:hAnsi="宋体"/>
        </w:rPr>
        <w:t>技改项目环保设施验收</w:t>
      </w:r>
      <w:r>
        <w:rPr>
          <w:rFonts w:hint="eastAsia" w:ascii="宋体" w:hAnsi="宋体"/>
        </w:rPr>
        <w:t>标准见表15-2-1——15-2-4。</w:t>
      </w:r>
    </w:p>
    <w:p>
      <w:pPr>
        <w:spacing w:line="460" w:lineRule="exact"/>
        <w:ind w:firstLine="1343" w:firstLineChars="637"/>
        <w:rPr>
          <w:rFonts w:hint="eastAsia" w:ascii="宋体" w:hAnsi="宋体"/>
          <w:b/>
        </w:rPr>
      </w:pPr>
      <w:r>
        <w:rPr>
          <w:rFonts w:hint="eastAsia" w:ascii="宋体" w:hAnsi="宋体"/>
          <w:b/>
        </w:rPr>
        <w:t>表15-2-1      技改项目废气治理</w:t>
      </w:r>
      <w:r>
        <w:rPr>
          <w:rFonts w:ascii="宋体" w:hAnsi="宋体"/>
          <w:b/>
        </w:rPr>
        <w:t>设施验收</w:t>
      </w:r>
      <w:r>
        <w:rPr>
          <w:rFonts w:hint="eastAsia" w:ascii="宋体" w:hAnsi="宋体"/>
          <w:b/>
        </w:rPr>
        <w:t>标准</w:t>
      </w:r>
    </w:p>
    <w:tbl>
      <w:tblPr>
        <w:tblStyle w:val="20"/>
        <w:tblW w:w="91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318"/>
        <w:gridCol w:w="1937"/>
        <w:gridCol w:w="1417"/>
        <w:gridCol w:w="1155"/>
        <w:gridCol w:w="20"/>
        <w:gridCol w:w="1176"/>
        <w:gridCol w:w="7"/>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vMerge w:val="restart"/>
            <w:noWrap w:val="0"/>
            <w:vAlign w:val="center"/>
          </w:tcPr>
          <w:p>
            <w:pPr>
              <w:spacing w:line="320" w:lineRule="exact"/>
              <w:jc w:val="center"/>
              <w:rPr>
                <w:sz w:val="18"/>
                <w:szCs w:val="18"/>
              </w:rPr>
            </w:pPr>
            <w:r>
              <w:rPr>
                <w:rFonts w:hint="eastAsia"/>
                <w:sz w:val="18"/>
                <w:szCs w:val="18"/>
              </w:rPr>
              <w:t>污染源</w:t>
            </w:r>
          </w:p>
        </w:tc>
        <w:tc>
          <w:tcPr>
            <w:tcW w:w="1937" w:type="dxa"/>
            <w:vMerge w:val="restart"/>
            <w:noWrap w:val="0"/>
            <w:vAlign w:val="center"/>
          </w:tcPr>
          <w:p>
            <w:pPr>
              <w:spacing w:line="320" w:lineRule="exact"/>
              <w:jc w:val="center"/>
              <w:rPr>
                <w:sz w:val="18"/>
                <w:szCs w:val="18"/>
              </w:rPr>
            </w:pPr>
            <w:r>
              <w:rPr>
                <w:rFonts w:hint="eastAsia" w:ascii="宋体" w:hAnsi="宋体"/>
                <w:sz w:val="18"/>
                <w:szCs w:val="18"/>
              </w:rPr>
              <w:t>排放标准及标准号</w:t>
            </w:r>
          </w:p>
        </w:tc>
        <w:tc>
          <w:tcPr>
            <w:tcW w:w="1417" w:type="dxa"/>
            <w:vMerge w:val="restart"/>
            <w:noWrap w:val="0"/>
            <w:vAlign w:val="center"/>
          </w:tcPr>
          <w:p>
            <w:pPr>
              <w:spacing w:line="320" w:lineRule="exact"/>
              <w:jc w:val="center"/>
              <w:rPr>
                <w:sz w:val="18"/>
                <w:szCs w:val="18"/>
              </w:rPr>
            </w:pPr>
            <w:r>
              <w:rPr>
                <w:rFonts w:hint="eastAsia"/>
                <w:sz w:val="18"/>
                <w:szCs w:val="18"/>
              </w:rPr>
              <w:t>污染因子</w:t>
            </w:r>
          </w:p>
        </w:tc>
        <w:tc>
          <w:tcPr>
            <w:tcW w:w="2351" w:type="dxa"/>
            <w:gridSpan w:val="3"/>
            <w:noWrap w:val="0"/>
            <w:vAlign w:val="center"/>
          </w:tcPr>
          <w:p>
            <w:pPr>
              <w:spacing w:line="240" w:lineRule="exact"/>
              <w:jc w:val="center"/>
              <w:rPr>
                <w:rFonts w:ascii="宋体" w:hAnsi="宋体"/>
                <w:sz w:val="18"/>
                <w:szCs w:val="18"/>
              </w:rPr>
            </w:pPr>
            <w:r>
              <w:rPr>
                <w:rFonts w:hint="eastAsia" w:ascii="宋体" w:hAnsi="宋体"/>
                <w:sz w:val="18"/>
                <w:szCs w:val="18"/>
              </w:rPr>
              <w:t>有组织排放</w:t>
            </w:r>
          </w:p>
        </w:tc>
        <w:tc>
          <w:tcPr>
            <w:tcW w:w="1104" w:type="dxa"/>
            <w:gridSpan w:val="2"/>
            <w:noWrap w:val="0"/>
            <w:vAlign w:val="top"/>
          </w:tcPr>
          <w:p>
            <w:pPr>
              <w:spacing w:line="320" w:lineRule="exact"/>
              <w:jc w:val="center"/>
              <w:rPr>
                <w:rFonts w:hint="eastAsia"/>
                <w:sz w:val="18"/>
                <w:szCs w:val="18"/>
              </w:rPr>
            </w:pPr>
            <w:r>
              <w:rPr>
                <w:rFonts w:hint="eastAsia"/>
                <w:sz w:val="18"/>
                <w:szCs w:val="18"/>
              </w:rPr>
              <w:t>总量指标</w:t>
            </w:r>
          </w:p>
          <w:p>
            <w:pPr>
              <w:spacing w:line="320" w:lineRule="exact"/>
              <w:jc w:val="center"/>
              <w:rPr>
                <w:rFonts w:hint="eastAsia"/>
                <w:sz w:val="18"/>
                <w:szCs w:val="18"/>
              </w:rPr>
            </w:pPr>
            <w:r>
              <w:rPr>
                <w:rFonts w:hint="eastAsia"/>
                <w:sz w:val="18"/>
                <w:szCs w:val="18"/>
              </w:rPr>
              <w:t>（</w:t>
            </w:r>
            <w:r>
              <w:rPr>
                <w:rFonts w:hint="eastAsia" w:ascii="宋体" w:hAnsi="宋体"/>
                <w:sz w:val="18"/>
                <w:szCs w:val="18"/>
              </w:rPr>
              <w:t>t/a</w:t>
            </w: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vMerge w:val="continue"/>
            <w:shd w:val="clear" w:color="auto" w:fill="auto"/>
            <w:noWrap w:val="0"/>
            <w:vAlign w:val="center"/>
          </w:tcPr>
          <w:p>
            <w:pPr>
              <w:spacing w:line="320" w:lineRule="exact"/>
              <w:jc w:val="center"/>
              <w:rPr>
                <w:rFonts w:hint="eastAsia"/>
                <w:sz w:val="18"/>
                <w:szCs w:val="18"/>
              </w:rPr>
            </w:pP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vMerge w:val="continue"/>
            <w:shd w:val="clear" w:color="auto" w:fill="auto"/>
            <w:noWrap w:val="0"/>
            <w:vAlign w:val="center"/>
          </w:tcPr>
          <w:p>
            <w:pPr>
              <w:spacing w:line="320" w:lineRule="exact"/>
              <w:jc w:val="center"/>
              <w:rPr>
                <w:rFonts w:hint="eastAsia"/>
                <w:sz w:val="18"/>
                <w:szCs w:val="18"/>
              </w:rPr>
            </w:pPr>
          </w:p>
        </w:tc>
        <w:tc>
          <w:tcPr>
            <w:tcW w:w="1155" w:type="dxa"/>
            <w:shd w:val="clear" w:color="auto" w:fill="auto"/>
            <w:noWrap w:val="0"/>
            <w:vAlign w:val="center"/>
          </w:tcPr>
          <w:p>
            <w:pPr>
              <w:spacing w:line="240" w:lineRule="exact"/>
              <w:jc w:val="center"/>
              <w:rPr>
                <w:rFonts w:ascii="宋体" w:hAnsi="宋体"/>
                <w:sz w:val="18"/>
                <w:szCs w:val="18"/>
              </w:rPr>
            </w:pPr>
            <w:r>
              <w:rPr>
                <w:rFonts w:hint="eastAsia" w:ascii="宋体" w:hAnsi="宋体"/>
                <w:sz w:val="18"/>
                <w:szCs w:val="18"/>
              </w:rPr>
              <w:t>排放口</w:t>
            </w:r>
          </w:p>
          <w:p>
            <w:pPr>
              <w:spacing w:line="240" w:lineRule="exact"/>
              <w:jc w:val="center"/>
              <w:rPr>
                <w:rFonts w:ascii="宋体" w:hAnsi="宋体"/>
                <w:sz w:val="18"/>
                <w:szCs w:val="18"/>
              </w:rPr>
            </w:pPr>
            <w:r>
              <w:rPr>
                <w:rFonts w:hint="eastAsia" w:ascii="宋体" w:hAnsi="宋体"/>
                <w:sz w:val="18"/>
                <w:szCs w:val="18"/>
              </w:rPr>
              <w:t>高度（m）</w:t>
            </w:r>
          </w:p>
        </w:tc>
        <w:tc>
          <w:tcPr>
            <w:tcW w:w="1203" w:type="dxa"/>
            <w:gridSpan w:val="3"/>
            <w:shd w:val="clear" w:color="auto" w:fill="auto"/>
            <w:noWrap w:val="0"/>
            <w:vAlign w:val="center"/>
          </w:tcPr>
          <w:p>
            <w:pPr>
              <w:spacing w:line="240" w:lineRule="exact"/>
              <w:jc w:val="center"/>
              <w:rPr>
                <w:rFonts w:ascii="宋体" w:hAnsi="宋体"/>
                <w:sz w:val="18"/>
                <w:szCs w:val="18"/>
              </w:rPr>
            </w:pPr>
            <w:r>
              <w:rPr>
                <w:rFonts w:hint="eastAsia" w:ascii="宋体" w:hAnsi="宋体"/>
                <w:sz w:val="18"/>
                <w:szCs w:val="18"/>
              </w:rPr>
              <w:t>排放浓度（mg/m</w:t>
            </w:r>
            <w:r>
              <w:rPr>
                <w:rFonts w:hint="eastAsia" w:ascii="宋体" w:hAnsi="宋体"/>
                <w:sz w:val="18"/>
                <w:szCs w:val="18"/>
                <w:vertAlign w:val="superscript"/>
              </w:rPr>
              <w:t>3</w:t>
            </w:r>
            <w:r>
              <w:rPr>
                <w:rFonts w:hint="eastAsia" w:ascii="宋体" w:hAnsi="宋体"/>
                <w:sz w:val="18"/>
                <w:szCs w:val="18"/>
              </w:rPr>
              <w:t>）</w:t>
            </w:r>
          </w:p>
        </w:tc>
        <w:tc>
          <w:tcPr>
            <w:tcW w:w="1097" w:type="dxa"/>
            <w:noWrap w:val="0"/>
            <w:vAlign w:val="top"/>
          </w:tcPr>
          <w:p>
            <w:pPr>
              <w:spacing w:line="32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spacing w:line="320" w:lineRule="exact"/>
              <w:jc w:val="center"/>
              <w:rPr>
                <w:rFonts w:hint="eastAsia"/>
                <w:sz w:val="18"/>
                <w:szCs w:val="18"/>
              </w:rPr>
            </w:pPr>
            <w:r>
              <w:rPr>
                <w:rFonts w:hint="eastAsia"/>
                <w:sz w:val="18"/>
                <w:szCs w:val="18"/>
              </w:rPr>
              <w:t>石灰石破碎</w:t>
            </w:r>
          </w:p>
        </w:tc>
        <w:tc>
          <w:tcPr>
            <w:tcW w:w="1937" w:type="dxa"/>
            <w:vMerge w:val="restart"/>
            <w:shd w:val="clear" w:color="auto" w:fill="auto"/>
            <w:noWrap w:val="0"/>
            <w:vAlign w:val="center"/>
          </w:tcPr>
          <w:p>
            <w:pPr>
              <w:spacing w:line="320" w:lineRule="exact"/>
              <w:rPr>
                <w:rFonts w:hint="eastAsia" w:ascii="宋体" w:hAnsi="宋体"/>
                <w:sz w:val="18"/>
                <w:szCs w:val="18"/>
              </w:rPr>
            </w:pPr>
            <w:r>
              <w:rPr>
                <w:rFonts w:hint="eastAsia"/>
                <w:sz w:val="18"/>
                <w:szCs w:val="18"/>
              </w:rPr>
              <w:t>执行《重庆市水泥工业大气污染物排放标准》（DB50/251-2007）表1规定的</w:t>
            </w:r>
            <w:r>
              <w:rPr>
                <w:sz w:val="18"/>
                <w:szCs w:val="18"/>
              </w:rPr>
              <w:t>Ⅱ</w:t>
            </w:r>
            <w:r>
              <w:rPr>
                <w:rFonts w:hint="eastAsia"/>
                <w:sz w:val="18"/>
                <w:szCs w:val="18"/>
              </w:rPr>
              <w:t>时段限值</w:t>
            </w:r>
          </w:p>
        </w:tc>
        <w:tc>
          <w:tcPr>
            <w:tcW w:w="1417" w:type="dxa"/>
            <w:shd w:val="clear" w:color="auto" w:fill="auto"/>
            <w:noWrap w:val="0"/>
            <w:vAlign w:val="center"/>
          </w:tcPr>
          <w:p>
            <w:pPr>
              <w:spacing w:line="320" w:lineRule="exact"/>
              <w:jc w:val="center"/>
              <w:rPr>
                <w:rFonts w:hint="eastAsia"/>
                <w:sz w:val="18"/>
                <w:szCs w:val="18"/>
              </w:rPr>
            </w:pPr>
            <w:r>
              <w:rPr>
                <w:rFonts w:hint="eastAsia"/>
                <w:sz w:val="18"/>
                <w:szCs w:val="18"/>
                <w:lang w:val="de-DE"/>
              </w:rPr>
              <w:t>粉尘</w:t>
            </w:r>
          </w:p>
        </w:tc>
        <w:tc>
          <w:tcPr>
            <w:tcW w:w="1155" w:type="dxa"/>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35</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top"/>
          </w:tcPr>
          <w:p>
            <w:pPr>
              <w:spacing w:line="320" w:lineRule="exact"/>
              <w:jc w:val="center"/>
              <w:rPr>
                <w:rFonts w:hint="eastAsia"/>
                <w:sz w:val="18"/>
                <w:szCs w:val="18"/>
              </w:rPr>
            </w:pPr>
            <w:r>
              <w:rPr>
                <w:rFonts w:hint="eastAsia"/>
                <w:sz w:val="18"/>
                <w:szCs w:val="18"/>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spacing w:line="320" w:lineRule="exact"/>
              <w:jc w:val="center"/>
              <w:rPr>
                <w:rFonts w:hint="eastAsia"/>
                <w:sz w:val="18"/>
                <w:szCs w:val="18"/>
              </w:rPr>
            </w:pPr>
            <w:r>
              <w:rPr>
                <w:rFonts w:hint="eastAsia"/>
                <w:sz w:val="18"/>
                <w:szCs w:val="18"/>
              </w:rPr>
              <w:t>石灰石均化</w:t>
            </w: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spacing w:line="240" w:lineRule="exact"/>
              <w:jc w:val="center"/>
              <w:rPr>
                <w:rFonts w:hint="eastAsia" w:ascii="宋体" w:hAnsi="宋体"/>
                <w:sz w:val="18"/>
                <w:szCs w:val="18"/>
              </w:rPr>
            </w:pPr>
            <w:r>
              <w:rPr>
                <w:rFonts w:hint="eastAsia"/>
                <w:sz w:val="18"/>
                <w:szCs w:val="18"/>
              </w:rPr>
              <w:t>15</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top"/>
          </w:tcPr>
          <w:p>
            <w:pPr>
              <w:spacing w:line="320" w:lineRule="exact"/>
              <w:jc w:val="center"/>
              <w:rPr>
                <w:rFonts w:hint="eastAsia"/>
                <w:sz w:val="18"/>
                <w:szCs w:val="18"/>
              </w:rPr>
            </w:pPr>
            <w:r>
              <w:rPr>
                <w:rFonts w:hint="eastAsia"/>
                <w:snapToGrid w:val="0"/>
                <w:kern w:val="0"/>
                <w:sz w:val="18"/>
                <w:szCs w:val="18"/>
              </w:rPr>
              <w:t>0.79</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ascii="宋体" w:hAnsi="宋体" w:cs="宋体"/>
                <w:sz w:val="18"/>
                <w:szCs w:val="18"/>
              </w:rPr>
            </w:pPr>
            <w:r>
              <w:rPr>
                <w:rFonts w:hint="eastAsia"/>
                <w:sz w:val="18"/>
                <w:szCs w:val="18"/>
              </w:rPr>
              <w:t>原煤均化及输送</w:t>
            </w: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spacing w:line="240" w:lineRule="exact"/>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top"/>
          </w:tcPr>
          <w:p>
            <w:pPr>
              <w:spacing w:line="320" w:lineRule="exact"/>
              <w:jc w:val="center"/>
              <w:rPr>
                <w:rFonts w:hint="eastAsia"/>
                <w:snapToGrid w:val="0"/>
                <w:kern w:val="0"/>
                <w:sz w:val="18"/>
                <w:szCs w:val="18"/>
              </w:rPr>
            </w:pPr>
            <w:r>
              <w:rPr>
                <w:rFonts w:hint="eastAsia"/>
                <w:snapToGrid w:val="0"/>
                <w:kern w:val="0"/>
                <w:sz w:val="18"/>
                <w:szCs w:val="18"/>
              </w:rPr>
              <w:t>0.42</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辅料均化及输送</w:t>
            </w: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spacing w:line="240" w:lineRule="exact"/>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napToGrid w:val="0"/>
              <w:spacing w:line="360" w:lineRule="exact"/>
              <w:jc w:val="center"/>
              <w:rPr>
                <w:rFonts w:hint="eastAsia"/>
                <w:snapToGrid w:val="0"/>
                <w:kern w:val="0"/>
                <w:sz w:val="18"/>
                <w:szCs w:val="18"/>
              </w:rPr>
            </w:pPr>
            <w:r>
              <w:rPr>
                <w:rFonts w:hint="eastAsia"/>
                <w:snapToGrid w:val="0"/>
                <w:kern w:val="0"/>
                <w:sz w:val="18"/>
                <w:szCs w:val="18"/>
              </w:rPr>
              <w:t>0.43</w:t>
            </w:r>
            <w:r>
              <w:rPr>
                <w:rFonts w:hint="eastAsia" w:ascii="宋体" w:hAnsi="宋体"/>
                <w:snapToGrid w:val="0"/>
                <w:kern w:val="0"/>
                <w:sz w:val="18"/>
                <w:szCs w:val="18"/>
              </w:rPr>
              <w:t>×</w:t>
            </w:r>
            <w:r>
              <w:rPr>
                <w:rFonts w:hint="eastAsia"/>
                <w:snapToGrid w:val="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原料配料库顶</w:t>
            </w: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sz w:val="18"/>
                <w:szCs w:val="18"/>
              </w:rPr>
            </w:pPr>
            <w:r>
              <w:rPr>
                <w:rFonts w:hint="eastAsia"/>
                <w:sz w:val="18"/>
                <w:szCs w:val="18"/>
              </w:rPr>
              <w:t>30</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原料配料库底</w:t>
            </w:r>
          </w:p>
        </w:tc>
        <w:tc>
          <w:tcPr>
            <w:tcW w:w="1937" w:type="dxa"/>
            <w:vMerge w:val="continue"/>
            <w:shd w:val="clear" w:color="auto" w:fill="auto"/>
            <w:noWrap w:val="0"/>
            <w:vAlign w:val="center"/>
          </w:tcPr>
          <w:p>
            <w:pPr>
              <w:spacing w:line="320" w:lineRule="exact"/>
              <w:jc w:val="center"/>
              <w:rPr>
                <w:rFonts w:hint="eastAsia" w:ascii="宋体" w:hAnsi="宋体"/>
                <w:sz w:val="18"/>
                <w:szCs w:val="18"/>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24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napToGrid w:val="0"/>
              <w:spacing w:line="360" w:lineRule="exact"/>
              <w:jc w:val="center"/>
              <w:rPr>
                <w:rFonts w:hint="eastAsia"/>
                <w:sz w:val="18"/>
                <w:szCs w:val="18"/>
              </w:rPr>
            </w:pPr>
            <w:r>
              <w:rPr>
                <w:rFonts w:hint="eastAsia"/>
                <w:sz w:val="18"/>
                <w:szCs w:val="18"/>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18" w:type="dxa"/>
            <w:vMerge w:val="restart"/>
            <w:shd w:val="clear" w:color="auto" w:fill="auto"/>
            <w:noWrap w:val="0"/>
            <w:vAlign w:val="center"/>
          </w:tcPr>
          <w:p>
            <w:pPr>
              <w:spacing w:line="320" w:lineRule="exact"/>
              <w:jc w:val="center"/>
              <w:rPr>
                <w:rFonts w:hint="eastAsia"/>
                <w:sz w:val="18"/>
                <w:szCs w:val="18"/>
                <w:lang w:val="de-DE"/>
              </w:rPr>
            </w:pPr>
            <w:r>
              <w:rPr>
                <w:sz w:val="18"/>
                <w:szCs w:val="18"/>
              </w:rPr>
              <w:t>窑尾废气</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烟尘</w:t>
            </w:r>
          </w:p>
        </w:tc>
        <w:tc>
          <w:tcPr>
            <w:tcW w:w="1155" w:type="dxa"/>
            <w:vMerge w:val="restart"/>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110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napToGrid w:val="0"/>
              <w:spacing w:line="360" w:lineRule="exact"/>
              <w:jc w:val="center"/>
              <w:rPr>
                <w:rFonts w:hint="eastAsia"/>
                <w:sz w:val="18"/>
                <w:szCs w:val="18"/>
              </w:rPr>
            </w:pPr>
            <w:r>
              <w:rPr>
                <w:rFonts w:hint="eastAsia"/>
                <w:sz w:val="18"/>
                <w:szCs w:val="18"/>
              </w:rPr>
              <w:t>77.15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vMerge w:val="continue"/>
            <w:shd w:val="clear" w:color="auto" w:fill="auto"/>
            <w:noWrap w:val="0"/>
            <w:vAlign w:val="center"/>
          </w:tcPr>
          <w:p>
            <w:pPr>
              <w:spacing w:line="320" w:lineRule="exact"/>
              <w:jc w:val="center"/>
              <w:rPr>
                <w:sz w:val="18"/>
                <w:szCs w:val="18"/>
              </w:rPr>
            </w:pP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SO</w:t>
            </w:r>
            <w:r>
              <w:rPr>
                <w:rFonts w:hint="eastAsia"/>
                <w:sz w:val="18"/>
                <w:szCs w:val="18"/>
                <w:vertAlign w:val="subscript"/>
                <w:lang w:val="de-DE"/>
              </w:rPr>
              <w:t>2</w:t>
            </w:r>
          </w:p>
        </w:tc>
        <w:tc>
          <w:tcPr>
            <w:tcW w:w="1155" w:type="dxa"/>
            <w:vMerge w:val="continue"/>
            <w:shd w:val="clear" w:color="auto" w:fill="auto"/>
            <w:noWrap w:val="0"/>
            <w:vAlign w:val="center"/>
          </w:tcPr>
          <w:p>
            <w:pPr>
              <w:spacing w:line="320" w:lineRule="exact"/>
              <w:jc w:val="center"/>
              <w:rPr>
                <w:rFonts w:hint="eastAsia"/>
                <w:sz w:val="18"/>
                <w:szCs w:val="18"/>
                <w:lang w:val="de-DE"/>
              </w:rPr>
            </w:pPr>
          </w:p>
        </w:tc>
        <w:tc>
          <w:tcPr>
            <w:tcW w:w="1203" w:type="dxa"/>
            <w:gridSpan w:val="3"/>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200</w:t>
            </w:r>
          </w:p>
        </w:tc>
        <w:tc>
          <w:tcPr>
            <w:tcW w:w="1097" w:type="dxa"/>
            <w:noWrap w:val="0"/>
            <w:vAlign w:val="center"/>
          </w:tcPr>
          <w:p>
            <w:pPr>
              <w:jc w:val="center"/>
              <w:rPr>
                <w:rFonts w:hint="eastAsia"/>
                <w:sz w:val="18"/>
                <w:szCs w:val="18"/>
              </w:rPr>
            </w:pPr>
            <w:r>
              <w:rPr>
                <w:rFonts w:hint="eastAsia"/>
                <w:sz w:val="18"/>
                <w:szCs w:val="18"/>
              </w:rPr>
              <w:t>216.44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vMerge w:val="continue"/>
            <w:shd w:val="clear" w:color="auto" w:fill="auto"/>
            <w:noWrap w:val="0"/>
            <w:vAlign w:val="center"/>
          </w:tcPr>
          <w:p>
            <w:pPr>
              <w:spacing w:line="320" w:lineRule="exact"/>
              <w:jc w:val="center"/>
              <w:rPr>
                <w:sz w:val="18"/>
                <w:szCs w:val="18"/>
              </w:rPr>
            </w:pP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NO</w:t>
            </w:r>
            <w:r>
              <w:rPr>
                <w:rFonts w:hint="eastAsia"/>
                <w:sz w:val="18"/>
                <w:szCs w:val="18"/>
                <w:vertAlign w:val="subscript"/>
                <w:lang w:val="de-DE"/>
              </w:rPr>
              <w:t>2</w:t>
            </w:r>
          </w:p>
        </w:tc>
        <w:tc>
          <w:tcPr>
            <w:tcW w:w="1155" w:type="dxa"/>
            <w:vMerge w:val="continue"/>
            <w:shd w:val="clear" w:color="auto" w:fill="auto"/>
            <w:noWrap w:val="0"/>
            <w:vAlign w:val="center"/>
          </w:tcPr>
          <w:p>
            <w:pPr>
              <w:spacing w:line="320" w:lineRule="exact"/>
              <w:jc w:val="center"/>
              <w:rPr>
                <w:rFonts w:hint="eastAsia"/>
                <w:sz w:val="18"/>
                <w:szCs w:val="18"/>
                <w:lang w:val="de-DE"/>
              </w:rPr>
            </w:pPr>
          </w:p>
        </w:tc>
        <w:tc>
          <w:tcPr>
            <w:tcW w:w="1203" w:type="dxa"/>
            <w:gridSpan w:val="3"/>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800</w:t>
            </w:r>
          </w:p>
        </w:tc>
        <w:tc>
          <w:tcPr>
            <w:tcW w:w="1097" w:type="dxa"/>
            <w:noWrap w:val="0"/>
            <w:vAlign w:val="center"/>
          </w:tcPr>
          <w:p>
            <w:pPr>
              <w:jc w:val="center"/>
              <w:rPr>
                <w:rFonts w:hint="eastAsia"/>
                <w:sz w:val="18"/>
                <w:szCs w:val="18"/>
              </w:rPr>
            </w:pPr>
            <w:r>
              <w:rPr>
                <w:rFonts w:hint="eastAsia"/>
                <w:sz w:val="18"/>
                <w:szCs w:val="18"/>
              </w:rPr>
              <w:t>1799.88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生料均化库顶</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65</w:t>
            </w:r>
          </w:p>
        </w:tc>
        <w:tc>
          <w:tcPr>
            <w:tcW w:w="1203" w:type="dxa"/>
            <w:gridSpan w:val="3"/>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noWrap w:val="0"/>
            <w:vAlign w:val="center"/>
          </w:tcPr>
          <w:p>
            <w:pPr>
              <w:jc w:val="center"/>
              <w:rPr>
                <w:rFonts w:hint="eastAsia"/>
                <w:sz w:val="18"/>
                <w:szCs w:val="18"/>
              </w:rPr>
            </w:pPr>
            <w:r>
              <w:rPr>
                <w:rFonts w:hint="eastAsia"/>
                <w:sz w:val="18"/>
                <w:szCs w:val="18"/>
              </w:rPr>
              <w:t>2.46</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生料均化库底</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noWrap w:val="0"/>
            <w:vAlign w:val="center"/>
          </w:tcPr>
          <w:p>
            <w:pPr>
              <w:jc w:val="center"/>
              <w:rPr>
                <w:rFonts w:hint="eastAsia"/>
                <w:sz w:val="18"/>
                <w:szCs w:val="18"/>
              </w:rPr>
            </w:pPr>
            <w:r>
              <w:rPr>
                <w:rFonts w:hint="eastAsia"/>
                <w:sz w:val="18"/>
                <w:szCs w:val="18"/>
              </w:rPr>
              <w:t>1.49</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spacing w:line="320" w:lineRule="exact"/>
              <w:jc w:val="center"/>
              <w:rPr>
                <w:rFonts w:hint="eastAsia"/>
                <w:sz w:val="18"/>
                <w:szCs w:val="18"/>
                <w:lang w:val="de-DE"/>
              </w:rPr>
            </w:pPr>
            <w:r>
              <w:rPr>
                <w:sz w:val="18"/>
                <w:szCs w:val="18"/>
              </w:rPr>
              <w:t>窑头废气</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40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20" w:lineRule="exact"/>
              <w:jc w:val="center"/>
              <w:rPr>
                <w:rFonts w:hint="eastAsia" w:ascii="宋体" w:hAnsi="宋体"/>
                <w:sz w:val="18"/>
                <w:szCs w:val="18"/>
              </w:rPr>
            </w:pPr>
            <w:r>
              <w:rPr>
                <w:rFonts w:hint="eastAsia" w:ascii="宋体" w:hAnsi="宋体" w:cs="宋体"/>
                <w:sz w:val="18"/>
                <w:szCs w:val="18"/>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sz w:val="18"/>
                <w:szCs w:val="18"/>
              </w:rPr>
            </w:pPr>
            <w:r>
              <w:rPr>
                <w:rFonts w:hint="eastAsia"/>
                <w:sz w:val="18"/>
                <w:szCs w:val="18"/>
              </w:rPr>
              <w:t>熟料库底</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30</w:t>
            </w:r>
          </w:p>
        </w:tc>
        <w:tc>
          <w:tcPr>
            <w:tcW w:w="1097" w:type="dxa"/>
            <w:noWrap w:val="0"/>
            <w:vAlign w:val="center"/>
          </w:tcPr>
          <w:p>
            <w:pPr>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sz w:val="18"/>
                <w:szCs w:val="18"/>
              </w:rPr>
            </w:pPr>
            <w:r>
              <w:rPr>
                <w:rFonts w:hint="eastAsia"/>
                <w:sz w:val="18"/>
                <w:szCs w:val="18"/>
              </w:rPr>
              <w:t>熟料库顶</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sz w:val="18"/>
                <w:szCs w:val="18"/>
              </w:rPr>
            </w:pPr>
            <w:r>
              <w:rPr>
                <w:rFonts w:hint="eastAsia"/>
                <w:sz w:val="18"/>
                <w:szCs w:val="18"/>
              </w:rPr>
              <w:t>50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60" w:lineRule="exact"/>
              <w:jc w:val="center"/>
              <w:rPr>
                <w:rFonts w:hint="eastAsia"/>
                <w:sz w:val="18"/>
                <w:szCs w:val="18"/>
              </w:rPr>
            </w:pPr>
            <w:r>
              <w:rPr>
                <w:rFonts w:hint="eastAsia"/>
                <w:sz w:val="18"/>
                <w:szCs w:val="18"/>
              </w:rPr>
              <w:t>2.68</w:t>
            </w:r>
            <w:r>
              <w:rPr>
                <w:rFonts w:hint="eastAsia" w:ascii="宋体" w:hAnsi="宋体"/>
                <w:snapToGrid w:val="0"/>
                <w:kern w:val="0"/>
                <w:sz w:val="18"/>
                <w:szCs w:val="18"/>
              </w:rPr>
              <w:t>×</w:t>
            </w:r>
            <w:r>
              <w:rPr>
                <w:rFonts w:hint="eastAsia"/>
                <w:snapToGrid w:val="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煤粉制备</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40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60" w:lineRule="exact"/>
              <w:jc w:val="center"/>
              <w:rPr>
                <w:rFonts w:hint="eastAsia"/>
                <w:sz w:val="18"/>
                <w:szCs w:val="18"/>
              </w:rPr>
            </w:pPr>
            <w:r>
              <w:rPr>
                <w:rFonts w:hint="eastAsia"/>
                <w:sz w:val="18"/>
                <w:szCs w:val="18"/>
              </w:rPr>
              <w:t>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水泥配料</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30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水泥配料</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60" w:lineRule="exact"/>
              <w:jc w:val="center"/>
              <w:rPr>
                <w:rFonts w:hint="eastAsia"/>
                <w:sz w:val="18"/>
                <w:szCs w:val="18"/>
              </w:rPr>
            </w:pPr>
            <w:r>
              <w:rPr>
                <w:rFonts w:hint="eastAsia"/>
                <w:sz w:val="18"/>
                <w:szCs w:val="18"/>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水泥粉磨</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40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spacing w:line="360" w:lineRule="exact"/>
              <w:jc w:val="center"/>
              <w:rPr>
                <w:rFonts w:hint="eastAsia"/>
                <w:sz w:val="18"/>
                <w:szCs w:val="18"/>
              </w:rPr>
            </w:pPr>
            <w:r>
              <w:rPr>
                <w:rFonts w:hint="eastAsia"/>
                <w:sz w:val="18"/>
                <w:szCs w:val="18"/>
              </w:rPr>
              <w:t>42.68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sz w:val="18"/>
                <w:szCs w:val="18"/>
              </w:rPr>
            </w:pPr>
            <w:r>
              <w:rPr>
                <w:rFonts w:hint="eastAsia"/>
                <w:sz w:val="18"/>
                <w:szCs w:val="18"/>
              </w:rPr>
              <w:t>水泥库顶</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50</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jc w:val="center"/>
              <w:rPr>
                <w:rFonts w:ascii="宋体" w:hAnsi="宋体" w:cs="宋体"/>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sz w:val="18"/>
                <w:szCs w:val="18"/>
              </w:rPr>
            </w:pPr>
            <w:r>
              <w:rPr>
                <w:rFonts w:hint="eastAsia"/>
                <w:sz w:val="18"/>
                <w:szCs w:val="18"/>
              </w:rPr>
              <w:t>水泥库底</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jc w:val="center"/>
              <w:rPr>
                <w:rFonts w:hint="eastAsia"/>
                <w:sz w:val="18"/>
                <w:szCs w:val="18"/>
              </w:rPr>
            </w:pPr>
            <w:r>
              <w:rPr>
                <w:rFonts w:hint="eastAsia"/>
                <w:sz w:val="18"/>
                <w:szCs w:val="18"/>
              </w:rPr>
              <w:t>1.79×6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水泥散装</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jc w:val="center"/>
              <w:rPr>
                <w:rFonts w:hint="eastAsia"/>
                <w:sz w:val="18"/>
                <w:szCs w:val="18"/>
              </w:rPr>
            </w:pPr>
            <w:r>
              <w:rPr>
                <w:rFonts w:hint="eastAsia"/>
                <w:sz w:val="18"/>
                <w:szCs w:val="18"/>
              </w:rPr>
              <w:t>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shd w:val="clear" w:color="auto" w:fill="auto"/>
            <w:noWrap w:val="0"/>
            <w:vAlign w:val="center"/>
          </w:tcPr>
          <w:p>
            <w:pPr>
              <w:jc w:val="center"/>
              <w:rPr>
                <w:rFonts w:hint="eastAsia"/>
                <w:sz w:val="18"/>
                <w:szCs w:val="18"/>
              </w:rPr>
            </w:pPr>
            <w:r>
              <w:rPr>
                <w:rFonts w:hint="eastAsia"/>
                <w:sz w:val="18"/>
                <w:szCs w:val="18"/>
              </w:rPr>
              <w:t>水泥包装</w:t>
            </w:r>
          </w:p>
        </w:tc>
        <w:tc>
          <w:tcPr>
            <w:tcW w:w="1937" w:type="dxa"/>
            <w:vMerge w:val="continue"/>
            <w:shd w:val="clear" w:color="auto" w:fill="auto"/>
            <w:noWrap w:val="0"/>
            <w:vAlign w:val="center"/>
          </w:tcPr>
          <w:p>
            <w:pPr>
              <w:spacing w:line="320" w:lineRule="exact"/>
              <w:jc w:val="center"/>
              <w:rPr>
                <w:sz w:val="18"/>
                <w:szCs w:val="18"/>
                <w:lang w:val="de-DE"/>
              </w:rPr>
            </w:pPr>
          </w:p>
        </w:tc>
        <w:tc>
          <w:tcPr>
            <w:tcW w:w="1417" w:type="dxa"/>
            <w:shd w:val="clear" w:color="auto" w:fill="auto"/>
            <w:noWrap w:val="0"/>
            <w:vAlign w:val="center"/>
          </w:tcPr>
          <w:p>
            <w:pPr>
              <w:spacing w:line="320" w:lineRule="exact"/>
              <w:jc w:val="center"/>
              <w:rPr>
                <w:rFonts w:hint="eastAsia"/>
                <w:sz w:val="18"/>
                <w:szCs w:val="18"/>
                <w:lang w:val="de-DE"/>
              </w:rPr>
            </w:pPr>
            <w:r>
              <w:rPr>
                <w:rFonts w:hint="eastAsia"/>
                <w:sz w:val="18"/>
                <w:szCs w:val="18"/>
                <w:lang w:val="de-DE"/>
              </w:rPr>
              <w:t>粉尘</w:t>
            </w:r>
          </w:p>
        </w:tc>
        <w:tc>
          <w:tcPr>
            <w:tcW w:w="1155" w:type="dxa"/>
            <w:shd w:val="clear" w:color="auto" w:fill="auto"/>
            <w:noWrap w:val="0"/>
            <w:vAlign w:val="center"/>
          </w:tcPr>
          <w:p>
            <w:pPr>
              <w:jc w:val="center"/>
              <w:rPr>
                <w:rFonts w:hint="eastAsia"/>
                <w:sz w:val="18"/>
                <w:szCs w:val="18"/>
              </w:rPr>
            </w:pPr>
            <w:r>
              <w:rPr>
                <w:rFonts w:hint="eastAsia"/>
                <w:sz w:val="18"/>
                <w:szCs w:val="18"/>
              </w:rPr>
              <w:t>15</w:t>
            </w:r>
          </w:p>
        </w:tc>
        <w:tc>
          <w:tcPr>
            <w:tcW w:w="1203" w:type="dxa"/>
            <w:gridSpan w:val="3"/>
            <w:shd w:val="clear" w:color="auto" w:fill="auto"/>
            <w:noWrap w:val="0"/>
            <w:vAlign w:val="center"/>
          </w:tcPr>
          <w:p>
            <w:pPr>
              <w:spacing w:line="320" w:lineRule="exact"/>
              <w:jc w:val="center"/>
              <w:rPr>
                <w:rFonts w:hint="eastAsia" w:ascii="宋体" w:hAnsi="宋体"/>
                <w:sz w:val="18"/>
                <w:szCs w:val="18"/>
              </w:rPr>
            </w:pPr>
            <w:r>
              <w:rPr>
                <w:rFonts w:hint="eastAsia" w:ascii="宋体" w:hAnsi="宋体"/>
                <w:sz w:val="18"/>
                <w:szCs w:val="18"/>
              </w:rPr>
              <w:t>30</w:t>
            </w:r>
          </w:p>
        </w:tc>
        <w:tc>
          <w:tcPr>
            <w:tcW w:w="1097" w:type="dxa"/>
            <w:noWrap w:val="0"/>
            <w:vAlign w:val="center"/>
          </w:tcPr>
          <w:p>
            <w:pPr>
              <w:jc w:val="center"/>
              <w:rPr>
                <w:rFonts w:hint="eastAsia"/>
                <w:sz w:val="18"/>
                <w:szCs w:val="18"/>
              </w:rPr>
            </w:pPr>
            <w:r>
              <w:rPr>
                <w:rFonts w:hint="eastAsia"/>
                <w:sz w:val="18"/>
                <w:szCs w:val="18"/>
              </w:rPr>
              <w:t>0.85×4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18" w:type="dxa"/>
            <w:noWrap w:val="0"/>
            <w:vAlign w:val="center"/>
          </w:tcPr>
          <w:p>
            <w:pPr>
              <w:spacing w:line="320" w:lineRule="exact"/>
              <w:jc w:val="center"/>
              <w:rPr>
                <w:rFonts w:hint="eastAsia"/>
                <w:sz w:val="18"/>
                <w:szCs w:val="18"/>
              </w:rPr>
            </w:pPr>
            <w:r>
              <w:rPr>
                <w:rFonts w:hint="eastAsia"/>
                <w:sz w:val="18"/>
                <w:szCs w:val="18"/>
              </w:rPr>
              <w:t>无组织排放废气</w:t>
            </w:r>
          </w:p>
        </w:tc>
        <w:tc>
          <w:tcPr>
            <w:tcW w:w="1937" w:type="dxa"/>
            <w:vMerge w:val="continue"/>
            <w:noWrap w:val="0"/>
            <w:vAlign w:val="center"/>
          </w:tcPr>
          <w:p>
            <w:pPr>
              <w:spacing w:line="320" w:lineRule="exact"/>
              <w:jc w:val="center"/>
              <w:rPr>
                <w:sz w:val="18"/>
                <w:szCs w:val="18"/>
              </w:rPr>
            </w:pPr>
          </w:p>
        </w:tc>
        <w:tc>
          <w:tcPr>
            <w:tcW w:w="1417" w:type="dxa"/>
            <w:noWrap w:val="0"/>
            <w:vAlign w:val="center"/>
          </w:tcPr>
          <w:p>
            <w:pPr>
              <w:spacing w:line="320" w:lineRule="exact"/>
              <w:jc w:val="center"/>
              <w:rPr>
                <w:sz w:val="18"/>
                <w:szCs w:val="18"/>
              </w:rPr>
            </w:pPr>
            <w:r>
              <w:rPr>
                <w:rFonts w:hint="eastAsia"/>
                <w:sz w:val="18"/>
                <w:szCs w:val="18"/>
              </w:rPr>
              <w:t>粉尘</w:t>
            </w:r>
          </w:p>
        </w:tc>
        <w:tc>
          <w:tcPr>
            <w:tcW w:w="1175" w:type="dxa"/>
            <w:gridSpan w:val="2"/>
            <w:noWrap w:val="0"/>
            <w:vAlign w:val="center"/>
          </w:tcPr>
          <w:p>
            <w:pPr>
              <w:spacing w:line="320" w:lineRule="exact"/>
              <w:jc w:val="center"/>
              <w:rPr>
                <w:rFonts w:hint="eastAsia"/>
                <w:sz w:val="18"/>
                <w:szCs w:val="18"/>
              </w:rPr>
            </w:pPr>
            <w:r>
              <w:rPr>
                <w:rFonts w:hint="eastAsia"/>
                <w:sz w:val="18"/>
                <w:szCs w:val="18"/>
              </w:rPr>
              <w:t>/</w:t>
            </w:r>
          </w:p>
        </w:tc>
        <w:tc>
          <w:tcPr>
            <w:tcW w:w="1183" w:type="dxa"/>
            <w:gridSpan w:val="2"/>
            <w:noWrap w:val="0"/>
            <w:vAlign w:val="center"/>
          </w:tcPr>
          <w:p>
            <w:pPr>
              <w:spacing w:line="320" w:lineRule="exact"/>
              <w:jc w:val="center"/>
              <w:rPr>
                <w:sz w:val="18"/>
                <w:szCs w:val="18"/>
              </w:rPr>
            </w:pPr>
            <w:r>
              <w:rPr>
                <w:rFonts w:hint="eastAsia"/>
                <w:sz w:val="18"/>
              </w:rPr>
              <w:t>粉尘≤</w:t>
            </w:r>
            <w:r>
              <w:rPr>
                <w:sz w:val="18"/>
              </w:rPr>
              <w:t>1 mg/m</w:t>
            </w:r>
            <w:r>
              <w:rPr>
                <w:sz w:val="18"/>
                <w:vertAlign w:val="superscript"/>
              </w:rPr>
              <w:t>3</w:t>
            </w:r>
          </w:p>
        </w:tc>
        <w:tc>
          <w:tcPr>
            <w:tcW w:w="1097" w:type="dxa"/>
            <w:noWrap w:val="0"/>
            <w:vAlign w:val="top"/>
          </w:tcPr>
          <w:p>
            <w:pPr>
              <w:spacing w:line="320" w:lineRule="exact"/>
              <w:jc w:val="center"/>
              <w:rPr>
                <w:rFonts w:hint="eastAsia"/>
                <w:sz w:val="18"/>
                <w:szCs w:val="18"/>
              </w:rPr>
            </w:pPr>
            <w:r>
              <w:rPr>
                <w:rFonts w:hint="eastAsia"/>
                <w:sz w:val="18"/>
                <w:szCs w:val="18"/>
              </w:rPr>
              <w:t>28.73</w:t>
            </w:r>
          </w:p>
        </w:tc>
      </w:tr>
    </w:tbl>
    <w:p>
      <w:pPr>
        <w:spacing w:line="400" w:lineRule="exact"/>
        <w:ind w:firstLine="1343" w:firstLineChars="637"/>
        <w:rPr>
          <w:rFonts w:hint="eastAsia" w:ascii="宋体" w:hAnsi="宋体"/>
          <w:b/>
        </w:rPr>
      </w:pPr>
    </w:p>
    <w:p>
      <w:pPr>
        <w:spacing w:line="460" w:lineRule="exact"/>
        <w:ind w:firstLine="1343" w:firstLineChars="637"/>
        <w:rPr>
          <w:rFonts w:hint="eastAsia" w:ascii="宋体" w:hAnsi="宋体"/>
          <w:b/>
        </w:rPr>
      </w:pPr>
      <w:r>
        <w:rPr>
          <w:rFonts w:hint="eastAsia" w:ascii="宋体" w:hAnsi="宋体"/>
          <w:b/>
        </w:rPr>
        <w:t>表15-2-2      技改项目废水治理</w:t>
      </w:r>
      <w:r>
        <w:rPr>
          <w:rFonts w:ascii="宋体" w:hAnsi="宋体"/>
          <w:b/>
        </w:rPr>
        <w:t>设施验收</w:t>
      </w:r>
      <w:r>
        <w:rPr>
          <w:rFonts w:hint="eastAsia" w:ascii="宋体" w:hAnsi="宋体"/>
          <w:b/>
        </w:rPr>
        <w:t>标准</w:t>
      </w:r>
    </w:p>
    <w:tbl>
      <w:tblPr>
        <w:tblStyle w:val="20"/>
        <w:tblW w:w="846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539"/>
        <w:gridCol w:w="2242"/>
        <w:gridCol w:w="840"/>
        <w:gridCol w:w="1374"/>
        <w:gridCol w:w="1454"/>
        <w:gridCol w:w="10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92" w:hRule="atLeast"/>
          <w:jc w:val="center"/>
        </w:trPr>
        <w:tc>
          <w:tcPr>
            <w:tcW w:w="1539" w:type="dxa"/>
            <w:tcBorders>
              <w:top w:val="single" w:color="000000" w:sz="6" w:space="0"/>
              <w:left w:val="single" w:color="000000" w:sz="6" w:space="0"/>
              <w:bottom w:val="single" w:color="auto" w:sz="4" w:space="0"/>
              <w:right w:val="single" w:color="000000" w:sz="6" w:space="0"/>
            </w:tcBorders>
            <w:noWrap w:val="0"/>
            <w:vAlign w:val="center"/>
          </w:tcPr>
          <w:p>
            <w:pPr>
              <w:pStyle w:val="15"/>
              <w:pBdr>
                <w:bottom w:val="none" w:color="auto" w:sz="0" w:space="0"/>
              </w:pBdr>
              <w:tabs>
                <w:tab w:val="left" w:pos="420"/>
              </w:tabs>
              <w:snapToGrid/>
              <w:spacing w:line="360" w:lineRule="auto"/>
              <w:ind w:left="440"/>
              <w:rPr>
                <w:rFonts w:ascii="宋体" w:hAnsi="宋体"/>
                <w:sz w:val="21"/>
                <w:szCs w:val="21"/>
              </w:rPr>
            </w:pPr>
            <w:r>
              <w:rPr>
                <w:sz w:val="21"/>
                <w:szCs w:val="21"/>
              </w:rPr>
              <mc:AlternateContent>
                <mc:Choice Requires="wps">
                  <w:drawing>
                    <wp:anchor distT="0" distB="0" distL="114300" distR="114300" simplePos="0" relativeHeight="251761664" behindDoc="0" locked="0" layoutInCell="1" allowOverlap="1">
                      <wp:simplePos x="0" y="0"/>
                      <wp:positionH relativeFrom="column">
                        <wp:posOffset>-15240</wp:posOffset>
                      </wp:positionH>
                      <wp:positionV relativeFrom="paragraph">
                        <wp:posOffset>-26670</wp:posOffset>
                      </wp:positionV>
                      <wp:extent cx="635" cy="0"/>
                      <wp:effectExtent l="0" t="0" r="0" b="0"/>
                      <wp:wrapNone/>
                      <wp:docPr id="381" name="直接连接符 38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pt;margin-top:-2.1pt;height:0pt;width:0.05pt;z-index:251761664;mso-width-relative:page;mso-height-relative:page;" filled="f" stroked="t" coordsize="21600,21600" o:gfxdata="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DrbLNQAAAAHAQAADwAAAAAAAAABACAA&#10;AAAiAAAAZHJzL2Rvd25yZXYueG1sUEsBAhQAFAAAAAgAh07iQGpQkq/YAQAAlgMAAA4AAAAAAAAA&#10;AQAgAAAAIwEAAGRycy9lMm9Eb2MueG1sUEsFBgAAAAAGAAYAWQEAAG0FAAAAAA==&#10;">
                      <v:fill on="f" focussize="0,0"/>
                      <v:stroke color="#000000" joinstyle="round"/>
                      <v:imagedata o:title=""/>
                      <o:lock v:ext="edit" aspectratio="f"/>
                    </v:line>
                  </w:pict>
                </mc:Fallback>
              </mc:AlternateContent>
            </w:r>
            <w:r>
              <w:rPr>
                <w:rFonts w:hint="eastAsia" w:ascii="宋体" w:hAnsi="宋体"/>
                <w:sz w:val="21"/>
                <w:szCs w:val="21"/>
              </w:rPr>
              <w:t>污染源</w:t>
            </w:r>
          </w:p>
        </w:tc>
        <w:tc>
          <w:tcPr>
            <w:tcW w:w="2242"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ascii="宋体" w:hAnsi="宋体"/>
                <w:sz w:val="21"/>
                <w:szCs w:val="21"/>
              </w:rPr>
            </w:pPr>
            <w:r>
              <w:rPr>
                <w:rFonts w:hint="eastAsia" w:ascii="宋体" w:hAnsi="宋体"/>
                <w:sz w:val="21"/>
                <w:szCs w:val="21"/>
              </w:rPr>
              <w:t>排放标准及标准号</w:t>
            </w:r>
          </w:p>
        </w:tc>
        <w:tc>
          <w:tcPr>
            <w:tcW w:w="840"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ascii="宋体" w:hAnsi="宋体"/>
                <w:sz w:val="21"/>
                <w:szCs w:val="21"/>
              </w:rPr>
            </w:pPr>
            <w:r>
              <w:rPr>
                <w:rFonts w:hint="eastAsia" w:ascii="宋体" w:hAnsi="宋体"/>
                <w:sz w:val="21"/>
                <w:szCs w:val="21"/>
              </w:rPr>
              <w:t>污染因子</w:t>
            </w:r>
          </w:p>
        </w:tc>
        <w:tc>
          <w:tcPr>
            <w:tcW w:w="1374"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ascii="宋体" w:hAnsi="宋体"/>
                <w:sz w:val="21"/>
                <w:szCs w:val="21"/>
              </w:rPr>
            </w:pPr>
            <w:r>
              <w:rPr>
                <w:rFonts w:hint="eastAsia" w:ascii="宋体" w:hAnsi="宋体"/>
                <w:sz w:val="21"/>
                <w:szCs w:val="21"/>
              </w:rPr>
              <w:t>浓度限值</w:t>
            </w:r>
          </w:p>
          <w:p>
            <w:pPr>
              <w:spacing w:line="360" w:lineRule="auto"/>
              <w:jc w:val="center"/>
              <w:rPr>
                <w:rFonts w:ascii="宋体" w:hAnsi="宋体"/>
                <w:sz w:val="21"/>
                <w:szCs w:val="21"/>
              </w:rPr>
            </w:pPr>
            <w:r>
              <w:rPr>
                <w:rFonts w:hint="eastAsia" w:ascii="宋体" w:hAnsi="宋体"/>
                <w:sz w:val="21"/>
                <w:szCs w:val="21"/>
              </w:rPr>
              <w:t>（mg/l）</w:t>
            </w:r>
          </w:p>
        </w:tc>
        <w:tc>
          <w:tcPr>
            <w:tcW w:w="1454"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ascii="宋体" w:hAnsi="宋体"/>
                <w:sz w:val="21"/>
                <w:szCs w:val="21"/>
              </w:rPr>
            </w:pPr>
            <w:r>
              <w:rPr>
                <w:rFonts w:hint="eastAsia" w:ascii="宋体" w:hAnsi="宋体"/>
                <w:sz w:val="21"/>
                <w:szCs w:val="21"/>
              </w:rPr>
              <w:t>排放量</w:t>
            </w:r>
          </w:p>
          <w:p>
            <w:pPr>
              <w:spacing w:line="360" w:lineRule="auto"/>
              <w:jc w:val="center"/>
              <w:rPr>
                <w:rFonts w:ascii="宋体" w:hAnsi="宋体"/>
                <w:sz w:val="21"/>
                <w:szCs w:val="21"/>
              </w:rPr>
            </w:pPr>
            <w:r>
              <w:rPr>
                <w:rFonts w:hint="eastAsia" w:ascii="宋体" w:hAnsi="宋体"/>
                <w:sz w:val="21"/>
                <w:szCs w:val="21"/>
              </w:rPr>
              <w:t>（kg/d）</w:t>
            </w:r>
          </w:p>
        </w:tc>
        <w:tc>
          <w:tcPr>
            <w:tcW w:w="1013" w:type="dxa"/>
            <w:tcBorders>
              <w:top w:val="single" w:color="000000" w:sz="6" w:space="0"/>
              <w:left w:val="single" w:color="000000" w:sz="6" w:space="0"/>
              <w:bottom w:val="single" w:color="000000" w:sz="6" w:space="0"/>
              <w:right w:val="single" w:color="000000" w:sz="6" w:space="0"/>
            </w:tcBorders>
            <w:noWrap w:val="0"/>
            <w:vAlign w:val="center"/>
          </w:tcPr>
          <w:p>
            <w:pPr>
              <w:spacing w:line="360" w:lineRule="auto"/>
              <w:jc w:val="center"/>
              <w:rPr>
                <w:rFonts w:ascii="宋体" w:hAnsi="宋体"/>
                <w:sz w:val="21"/>
                <w:szCs w:val="21"/>
              </w:rPr>
            </w:pPr>
            <w:r>
              <w:rPr>
                <w:rFonts w:hint="eastAsia" w:ascii="宋体" w:hAnsi="宋体"/>
                <w:sz w:val="21"/>
                <w:szCs w:val="21"/>
              </w:rPr>
              <w:t>总量指标</w:t>
            </w:r>
          </w:p>
          <w:p>
            <w:pPr>
              <w:spacing w:line="360" w:lineRule="auto"/>
              <w:jc w:val="center"/>
              <w:rPr>
                <w:rFonts w:ascii="宋体" w:hAnsi="宋体"/>
                <w:sz w:val="21"/>
                <w:szCs w:val="21"/>
              </w:rPr>
            </w:pPr>
            <w:r>
              <w:rPr>
                <w:rFonts w:hint="eastAsia" w:ascii="宋体" w:hAnsi="宋体"/>
                <w:sz w:val="21"/>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52" w:hRule="atLeast"/>
          <w:jc w:val="center"/>
        </w:trPr>
        <w:tc>
          <w:tcPr>
            <w:tcW w:w="1539" w:type="dxa"/>
            <w:tcBorders>
              <w:top w:val="single" w:color="auto" w:sz="4" w:space="0"/>
              <w:left w:val="single" w:color="000000" w:sz="6" w:space="0"/>
              <w:bottom w:val="single" w:color="auto" w:sz="4" w:space="0"/>
              <w:right w:val="single" w:color="000000" w:sz="6" w:space="0"/>
            </w:tcBorders>
            <w:shd w:val="clear" w:color="auto" w:fill="auto"/>
            <w:noWrap w:val="0"/>
            <w:vAlign w:val="center"/>
          </w:tcPr>
          <w:p>
            <w:pPr>
              <w:spacing w:line="360" w:lineRule="auto"/>
              <w:jc w:val="center"/>
              <w:rPr>
                <w:rFonts w:hint="eastAsia"/>
                <w:sz w:val="21"/>
                <w:szCs w:val="21"/>
              </w:rPr>
            </w:pPr>
            <w:r>
              <w:rPr>
                <w:rFonts w:hint="eastAsia"/>
                <w:sz w:val="21"/>
                <w:szCs w:val="21"/>
              </w:rPr>
              <w:t>生活及辅助设施污水</w:t>
            </w:r>
          </w:p>
        </w:tc>
        <w:tc>
          <w:tcPr>
            <w:tcW w:w="2242" w:type="dxa"/>
            <w:tcBorders>
              <w:left w:val="single" w:color="000000" w:sz="6" w:space="0"/>
              <w:bottom w:val="single" w:color="auto" w:sz="4" w:space="0"/>
              <w:right w:val="single" w:color="000000" w:sz="6" w:space="0"/>
            </w:tcBorders>
            <w:shd w:val="clear" w:color="auto" w:fill="auto"/>
            <w:noWrap w:val="0"/>
            <w:vAlign w:val="center"/>
          </w:tcPr>
          <w:p>
            <w:pPr>
              <w:spacing w:line="360" w:lineRule="auto"/>
              <w:jc w:val="center"/>
              <w:rPr>
                <w:rFonts w:ascii="宋体" w:hAnsi="宋体"/>
                <w:iCs/>
                <w:sz w:val="21"/>
                <w:szCs w:val="21"/>
              </w:rPr>
            </w:pPr>
            <w:r>
              <w:rPr>
                <w:rFonts w:hint="eastAsia" w:ascii="宋体" w:hAnsi="宋体"/>
                <w:iCs/>
                <w:sz w:val="21"/>
                <w:szCs w:val="21"/>
              </w:rPr>
              <w:t>《污水综合排放标准》（GB</w:t>
            </w:r>
            <w:r>
              <w:rPr>
                <w:iCs/>
                <w:sz w:val="21"/>
                <w:szCs w:val="21"/>
              </w:rPr>
              <w:t>8978</w:t>
            </w:r>
            <w:r>
              <w:rPr>
                <w:rFonts w:hAnsi="宋体"/>
                <w:iCs/>
                <w:sz w:val="21"/>
                <w:szCs w:val="21"/>
              </w:rPr>
              <w:t>－</w:t>
            </w:r>
            <w:r>
              <w:rPr>
                <w:iCs/>
                <w:sz w:val="21"/>
                <w:szCs w:val="21"/>
              </w:rPr>
              <w:t>1996</w:t>
            </w:r>
            <w:r>
              <w:rPr>
                <w:rFonts w:hint="eastAsia" w:ascii="宋体" w:hAnsi="宋体"/>
                <w:iCs/>
                <w:sz w:val="21"/>
                <w:szCs w:val="21"/>
              </w:rPr>
              <w:t>）一级</w:t>
            </w:r>
          </w:p>
        </w:tc>
        <w:tc>
          <w:tcPr>
            <w:tcW w:w="840" w:type="dxa"/>
            <w:tcBorders>
              <w:top w:val="single" w:color="000000" w:sz="6" w:space="0"/>
              <w:left w:val="single" w:color="000000" w:sz="6" w:space="0"/>
              <w:bottom w:val="single" w:color="auto" w:sz="4" w:space="0"/>
              <w:right w:val="single" w:color="000000" w:sz="6" w:space="0"/>
            </w:tcBorders>
            <w:noWrap w:val="0"/>
            <w:vAlign w:val="center"/>
          </w:tcPr>
          <w:p>
            <w:pPr>
              <w:pStyle w:val="15"/>
              <w:pBdr>
                <w:bottom w:val="none" w:color="auto" w:sz="0" w:space="0"/>
              </w:pBdr>
              <w:tabs>
                <w:tab w:val="left" w:pos="420"/>
              </w:tabs>
              <w:snapToGrid/>
              <w:spacing w:line="360" w:lineRule="auto"/>
              <w:ind w:left="189" w:leftChars="90" w:firstLine="105" w:firstLineChars="50"/>
              <w:jc w:val="both"/>
              <w:rPr>
                <w:rFonts w:hint="eastAsia" w:ascii="宋体" w:hAnsi="宋体"/>
                <w:sz w:val="21"/>
                <w:szCs w:val="21"/>
              </w:rPr>
            </w:pPr>
            <w:r>
              <w:rPr>
                <w:rFonts w:hint="eastAsia" w:ascii="宋体" w:hAnsi="宋体"/>
                <w:sz w:val="21"/>
                <w:szCs w:val="21"/>
              </w:rPr>
              <w:t>COD</w:t>
            </w:r>
          </w:p>
          <w:p>
            <w:pPr>
              <w:pStyle w:val="15"/>
              <w:pBdr>
                <w:bottom w:val="none" w:color="auto" w:sz="0" w:space="0"/>
              </w:pBdr>
              <w:tabs>
                <w:tab w:val="left" w:pos="420"/>
              </w:tabs>
              <w:snapToGrid/>
              <w:spacing w:line="360" w:lineRule="auto"/>
              <w:ind w:left="440"/>
              <w:jc w:val="both"/>
              <w:rPr>
                <w:rFonts w:hint="eastAsia" w:ascii="宋体" w:hAnsi="宋体"/>
                <w:sz w:val="21"/>
                <w:szCs w:val="21"/>
              </w:rPr>
            </w:pPr>
            <w:r>
              <w:rPr>
                <w:rFonts w:hint="eastAsia" w:ascii="宋体" w:hAnsi="宋体"/>
                <w:sz w:val="21"/>
                <w:szCs w:val="21"/>
              </w:rPr>
              <w:t>SS</w:t>
            </w:r>
          </w:p>
          <w:p>
            <w:pPr>
              <w:pStyle w:val="15"/>
              <w:pBdr>
                <w:bottom w:val="none" w:color="auto" w:sz="0" w:space="0"/>
              </w:pBdr>
              <w:tabs>
                <w:tab w:val="left" w:pos="420"/>
              </w:tabs>
              <w:snapToGrid/>
              <w:spacing w:line="360" w:lineRule="auto"/>
              <w:ind w:left="189" w:leftChars="90"/>
              <w:jc w:val="both"/>
              <w:rPr>
                <w:rFonts w:hint="eastAsia" w:ascii="宋体" w:hAnsi="宋体"/>
                <w:sz w:val="21"/>
                <w:szCs w:val="21"/>
              </w:rPr>
            </w:pPr>
            <w:r>
              <w:rPr>
                <w:rFonts w:hint="eastAsia" w:ascii="宋体" w:hAnsi="宋体"/>
                <w:sz w:val="21"/>
                <w:szCs w:val="21"/>
              </w:rPr>
              <w:t>NH</w:t>
            </w:r>
            <w:r>
              <w:rPr>
                <w:rFonts w:hint="eastAsia" w:ascii="宋体" w:hAnsi="宋体"/>
                <w:sz w:val="21"/>
                <w:szCs w:val="21"/>
                <w:vertAlign w:val="subscript"/>
              </w:rPr>
              <w:t>3</w:t>
            </w:r>
            <w:r>
              <w:rPr>
                <w:rFonts w:hint="eastAsia" w:ascii="宋体" w:hAnsi="宋体"/>
                <w:sz w:val="21"/>
                <w:szCs w:val="21"/>
              </w:rPr>
              <w:t>-N</w:t>
            </w:r>
          </w:p>
        </w:tc>
        <w:tc>
          <w:tcPr>
            <w:tcW w:w="1374" w:type="dxa"/>
            <w:tcBorders>
              <w:top w:val="single" w:color="000000" w:sz="6" w:space="0"/>
              <w:left w:val="single" w:color="000000" w:sz="6" w:space="0"/>
              <w:bottom w:val="single" w:color="auto" w:sz="4" w:space="0"/>
              <w:right w:val="single" w:color="000000" w:sz="6" w:space="0"/>
            </w:tcBorders>
            <w:noWrap w:val="0"/>
            <w:vAlign w:val="center"/>
          </w:tcPr>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w:t>
            </w:r>
            <w:r>
              <w:rPr>
                <w:sz w:val="21"/>
                <w:szCs w:val="21"/>
              </w:rPr>
              <w:t>100</w:t>
            </w:r>
          </w:p>
          <w:p>
            <w:pPr>
              <w:pStyle w:val="15"/>
              <w:pBdr>
                <w:bottom w:val="none" w:color="auto" w:sz="0" w:space="0"/>
              </w:pBdr>
              <w:tabs>
                <w:tab w:val="left" w:pos="420"/>
              </w:tabs>
              <w:snapToGrid/>
              <w:spacing w:line="360" w:lineRule="auto"/>
              <w:ind w:left="440"/>
              <w:jc w:val="both"/>
              <w:rPr>
                <w:sz w:val="21"/>
                <w:szCs w:val="21"/>
              </w:rPr>
            </w:pPr>
            <w:r>
              <w:rPr>
                <w:rFonts w:hint="eastAsia"/>
                <w:sz w:val="21"/>
                <w:szCs w:val="21"/>
              </w:rPr>
              <w:t>≤</w:t>
            </w:r>
            <w:r>
              <w:rPr>
                <w:sz w:val="21"/>
                <w:szCs w:val="21"/>
              </w:rPr>
              <w:t>70</w:t>
            </w:r>
          </w:p>
          <w:p>
            <w:pPr>
              <w:pStyle w:val="15"/>
              <w:pBdr>
                <w:bottom w:val="none" w:color="auto" w:sz="0" w:space="0"/>
              </w:pBdr>
              <w:tabs>
                <w:tab w:val="left" w:pos="420"/>
              </w:tabs>
              <w:snapToGrid/>
              <w:spacing w:line="360" w:lineRule="auto"/>
              <w:ind w:left="440"/>
              <w:jc w:val="both"/>
              <w:rPr>
                <w:sz w:val="21"/>
                <w:szCs w:val="21"/>
              </w:rPr>
            </w:pPr>
            <w:r>
              <w:rPr>
                <w:rFonts w:hint="eastAsia"/>
                <w:sz w:val="21"/>
                <w:szCs w:val="21"/>
              </w:rPr>
              <w:t>≤</w:t>
            </w:r>
            <w:r>
              <w:rPr>
                <w:sz w:val="21"/>
                <w:szCs w:val="21"/>
              </w:rPr>
              <w:t>15</w:t>
            </w:r>
          </w:p>
        </w:tc>
        <w:tc>
          <w:tcPr>
            <w:tcW w:w="1454" w:type="dxa"/>
            <w:tcBorders>
              <w:top w:val="single" w:color="000000" w:sz="6" w:space="0"/>
              <w:left w:val="single" w:color="000000" w:sz="6" w:space="0"/>
              <w:bottom w:val="single" w:color="auto" w:sz="4" w:space="0"/>
              <w:right w:val="single" w:color="000000" w:sz="6" w:space="0"/>
            </w:tcBorders>
            <w:noWrap w:val="0"/>
            <w:vAlign w:val="center"/>
          </w:tcPr>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5.26</w:t>
            </w:r>
          </w:p>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2.97</w:t>
            </w:r>
          </w:p>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0.35</w:t>
            </w:r>
          </w:p>
        </w:tc>
        <w:tc>
          <w:tcPr>
            <w:tcW w:w="1013" w:type="dxa"/>
            <w:tcBorders>
              <w:top w:val="single" w:color="000000" w:sz="6" w:space="0"/>
              <w:left w:val="single" w:color="000000" w:sz="6" w:space="0"/>
              <w:bottom w:val="single" w:color="auto" w:sz="4" w:space="0"/>
              <w:right w:val="single" w:color="000000" w:sz="6" w:space="0"/>
            </w:tcBorders>
            <w:noWrap w:val="0"/>
            <w:vAlign w:val="center"/>
          </w:tcPr>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1.63</w:t>
            </w:r>
          </w:p>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0.92</w:t>
            </w:r>
          </w:p>
          <w:p>
            <w:pPr>
              <w:pStyle w:val="15"/>
              <w:pBdr>
                <w:bottom w:val="none" w:color="auto" w:sz="0" w:space="0"/>
              </w:pBdr>
              <w:tabs>
                <w:tab w:val="left" w:pos="420"/>
              </w:tabs>
              <w:snapToGrid/>
              <w:spacing w:line="360" w:lineRule="auto"/>
              <w:ind w:left="440"/>
              <w:jc w:val="both"/>
              <w:rPr>
                <w:rFonts w:hint="eastAsia"/>
                <w:sz w:val="21"/>
                <w:szCs w:val="21"/>
              </w:rPr>
            </w:pPr>
            <w:r>
              <w:rPr>
                <w:rFonts w:hint="eastAsia"/>
                <w:sz w:val="21"/>
                <w:szCs w:val="21"/>
              </w:rPr>
              <w:t>0.11</w:t>
            </w:r>
          </w:p>
        </w:tc>
      </w:tr>
    </w:tbl>
    <w:p>
      <w:pPr>
        <w:spacing w:line="460" w:lineRule="exact"/>
        <w:ind w:firstLine="1343" w:firstLineChars="637"/>
        <w:rPr>
          <w:rFonts w:hint="eastAsia" w:ascii="宋体" w:hAnsi="宋体"/>
          <w:b/>
        </w:rPr>
      </w:pPr>
    </w:p>
    <w:p>
      <w:pPr>
        <w:spacing w:line="460" w:lineRule="exact"/>
        <w:ind w:firstLine="1343" w:firstLineChars="637"/>
        <w:rPr>
          <w:rFonts w:hint="eastAsia" w:ascii="宋体" w:hAnsi="宋体"/>
          <w:b/>
        </w:rPr>
      </w:pPr>
      <w:r>
        <w:rPr>
          <w:rFonts w:hint="eastAsia" w:ascii="宋体" w:hAnsi="宋体"/>
          <w:b/>
        </w:rPr>
        <w:t>表15-2-3      技改项目厂界噪声</w:t>
      </w:r>
      <w:r>
        <w:rPr>
          <w:rFonts w:ascii="宋体" w:hAnsi="宋体"/>
          <w:b/>
        </w:rPr>
        <w:t>验收</w:t>
      </w:r>
      <w:r>
        <w:rPr>
          <w:rFonts w:hint="eastAsia" w:ascii="宋体" w:hAnsi="宋体"/>
          <w:b/>
        </w:rPr>
        <w:t>标准</w:t>
      </w:r>
    </w:p>
    <w:tbl>
      <w:tblPr>
        <w:tblStyle w:val="20"/>
        <w:tblW w:w="853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652"/>
        <w:gridCol w:w="574"/>
        <w:gridCol w:w="1190"/>
        <w:gridCol w:w="1134"/>
        <w:gridCol w:w="29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3" w:hRule="atLeast"/>
          <w:jc w:val="center"/>
        </w:trPr>
        <w:tc>
          <w:tcPr>
            <w:tcW w:w="3226" w:type="dxa"/>
            <w:gridSpan w:val="2"/>
            <w:vMerge w:val="restart"/>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1"/>
                <w:szCs w:val="21"/>
              </w:rPr>
            </w:pPr>
            <w:r>
              <w:rPr>
                <w:rFonts w:hint="eastAsia" w:ascii="宋体" w:hAnsi="宋体"/>
                <w:sz w:val="21"/>
                <w:szCs w:val="21"/>
              </w:rPr>
              <w:t>排放标准及标准号</w:t>
            </w:r>
          </w:p>
        </w:tc>
        <w:tc>
          <w:tcPr>
            <w:tcW w:w="2324" w:type="dxa"/>
            <w:gridSpan w:val="2"/>
            <w:tcBorders>
              <w:top w:val="single" w:color="000000" w:sz="6" w:space="0"/>
              <w:left w:val="single" w:color="000000" w:sz="6" w:space="0"/>
              <w:bottom w:val="single" w:color="auto" w:sz="4" w:space="0"/>
              <w:right w:val="single" w:color="000000" w:sz="6" w:space="0"/>
            </w:tcBorders>
            <w:noWrap w:val="0"/>
            <w:vAlign w:val="center"/>
          </w:tcPr>
          <w:p>
            <w:pPr>
              <w:spacing w:line="400" w:lineRule="exact"/>
              <w:jc w:val="center"/>
              <w:rPr>
                <w:rFonts w:ascii="宋体" w:hAnsi="宋体"/>
                <w:sz w:val="21"/>
                <w:szCs w:val="21"/>
              </w:rPr>
            </w:pPr>
            <w:r>
              <w:rPr>
                <w:rFonts w:hint="eastAsia" w:ascii="宋体" w:hAnsi="宋体"/>
                <w:sz w:val="21"/>
                <w:szCs w:val="21"/>
              </w:rPr>
              <w:t>最大允许排放值</w:t>
            </w:r>
          </w:p>
        </w:tc>
        <w:tc>
          <w:tcPr>
            <w:tcW w:w="2984" w:type="dxa"/>
            <w:vMerge w:val="restart"/>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1"/>
                <w:szCs w:val="21"/>
              </w:rPr>
            </w:pPr>
            <w:r>
              <w:rPr>
                <w:rFonts w:hint="eastAsia" w:ascii="宋体" w:hAnsi="宋体"/>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18" w:hRule="atLeast"/>
          <w:jc w:val="center"/>
        </w:trPr>
        <w:tc>
          <w:tcPr>
            <w:tcW w:w="3226" w:type="dxa"/>
            <w:gridSpan w:val="2"/>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spacing w:line="400" w:lineRule="exact"/>
              <w:jc w:val="left"/>
              <w:rPr>
                <w:rFonts w:ascii="宋体" w:hAnsi="宋体"/>
                <w:sz w:val="21"/>
                <w:szCs w:val="21"/>
              </w:rPr>
            </w:pPr>
          </w:p>
        </w:tc>
        <w:tc>
          <w:tcPr>
            <w:tcW w:w="1190" w:type="dxa"/>
            <w:tcBorders>
              <w:top w:val="single" w:color="auto" w:sz="4"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sz w:val="21"/>
                <w:szCs w:val="21"/>
              </w:rPr>
            </w:pPr>
            <w:r>
              <w:rPr>
                <w:rFonts w:hint="eastAsia" w:ascii="宋体" w:hAnsi="宋体"/>
                <w:sz w:val="21"/>
                <w:szCs w:val="21"/>
              </w:rPr>
              <w:t>昼间[dB]</w:t>
            </w:r>
          </w:p>
        </w:tc>
        <w:tc>
          <w:tcPr>
            <w:tcW w:w="1134" w:type="dxa"/>
            <w:tcBorders>
              <w:top w:val="single" w:color="auto" w:sz="4"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sz w:val="21"/>
                <w:szCs w:val="21"/>
              </w:rPr>
            </w:pPr>
            <w:r>
              <w:rPr>
                <w:rFonts w:hint="eastAsia" w:ascii="宋体" w:hAnsi="宋体"/>
                <w:sz w:val="21"/>
                <w:szCs w:val="21"/>
              </w:rPr>
              <w:t>夜间[dB]</w:t>
            </w:r>
          </w:p>
        </w:tc>
        <w:tc>
          <w:tcPr>
            <w:tcW w:w="2984"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spacing w:line="400" w:lineRule="exact"/>
              <w:jc w:val="left"/>
              <w:rPr>
                <w:rFonts w:ascii="宋体" w:hAnsi="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0" w:hRule="atLeast"/>
          <w:jc w:val="center"/>
        </w:trPr>
        <w:tc>
          <w:tcPr>
            <w:tcW w:w="2652"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ascii="宋体" w:hAnsi="宋体"/>
                <w:bCs/>
                <w:iCs/>
                <w:sz w:val="21"/>
                <w:szCs w:val="21"/>
              </w:rPr>
            </w:pPr>
            <w:r>
              <w:rPr>
                <w:rFonts w:hint="eastAsia" w:ascii="宋体" w:hAnsi="宋体"/>
                <w:sz w:val="21"/>
                <w:szCs w:val="21"/>
              </w:rPr>
              <w:t>《工业企业厂界噪声标准》GB12348-2008</w:t>
            </w:r>
          </w:p>
        </w:tc>
        <w:tc>
          <w:tcPr>
            <w:tcW w:w="574"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ascii="宋体" w:hAnsi="宋体"/>
                <w:bCs/>
                <w:iCs/>
                <w:sz w:val="21"/>
                <w:szCs w:val="21"/>
              </w:rPr>
            </w:pPr>
            <w:r>
              <w:rPr>
                <w:rFonts w:hint="eastAsia" w:ascii="宋体" w:hAnsi="宋体"/>
                <w:snapToGrid w:val="0"/>
                <w:kern w:val="0"/>
                <w:sz w:val="21"/>
                <w:szCs w:val="21"/>
              </w:rPr>
              <w:t>Ⅱ类</w:t>
            </w:r>
          </w:p>
        </w:tc>
        <w:tc>
          <w:tcPr>
            <w:tcW w:w="1190" w:type="dxa"/>
            <w:tcBorders>
              <w:top w:val="single" w:color="000000" w:sz="6" w:space="0"/>
              <w:left w:val="single" w:color="000000" w:sz="6" w:space="0"/>
              <w:bottom w:val="single" w:color="000000" w:sz="6" w:space="0"/>
              <w:right w:val="single" w:color="auto" w:sz="4" w:space="0"/>
            </w:tcBorders>
            <w:noWrap w:val="0"/>
            <w:vAlign w:val="center"/>
          </w:tcPr>
          <w:p>
            <w:pPr>
              <w:spacing w:line="400" w:lineRule="exact"/>
              <w:jc w:val="center"/>
              <w:rPr>
                <w:rFonts w:hint="eastAsia"/>
                <w:sz w:val="21"/>
                <w:szCs w:val="21"/>
              </w:rPr>
            </w:pPr>
            <w:r>
              <w:rPr>
                <w:sz w:val="21"/>
                <w:szCs w:val="21"/>
              </w:rPr>
              <w:t>6</w:t>
            </w:r>
            <w:r>
              <w:rPr>
                <w:rFonts w:hint="eastAsia"/>
                <w:sz w:val="21"/>
                <w:szCs w:val="21"/>
              </w:rPr>
              <w:t>0</w:t>
            </w:r>
          </w:p>
        </w:tc>
        <w:tc>
          <w:tcPr>
            <w:tcW w:w="1134" w:type="dxa"/>
            <w:tcBorders>
              <w:top w:val="single" w:color="000000" w:sz="6" w:space="0"/>
              <w:left w:val="single" w:color="auto" w:sz="4" w:space="0"/>
              <w:bottom w:val="single" w:color="000000" w:sz="6" w:space="0"/>
              <w:right w:val="single" w:color="000000" w:sz="6" w:space="0"/>
            </w:tcBorders>
            <w:noWrap w:val="0"/>
            <w:vAlign w:val="center"/>
          </w:tcPr>
          <w:p>
            <w:pPr>
              <w:spacing w:line="400" w:lineRule="exact"/>
              <w:jc w:val="center"/>
              <w:rPr>
                <w:rFonts w:hint="eastAsia"/>
                <w:sz w:val="21"/>
                <w:szCs w:val="21"/>
              </w:rPr>
            </w:pPr>
            <w:r>
              <w:rPr>
                <w:sz w:val="21"/>
                <w:szCs w:val="21"/>
              </w:rPr>
              <w:t>5</w:t>
            </w:r>
            <w:r>
              <w:rPr>
                <w:rFonts w:hint="eastAsia"/>
                <w:sz w:val="21"/>
                <w:szCs w:val="21"/>
              </w:rPr>
              <w:t>0</w:t>
            </w:r>
          </w:p>
        </w:tc>
        <w:tc>
          <w:tcPr>
            <w:tcW w:w="2984" w:type="dxa"/>
            <w:tcBorders>
              <w:top w:val="single" w:color="000000" w:sz="6" w:space="0"/>
              <w:left w:val="single" w:color="000000" w:sz="6" w:space="0"/>
              <w:bottom w:val="single" w:color="000000" w:sz="6" w:space="0"/>
              <w:right w:val="single" w:color="000000" w:sz="6" w:space="0"/>
            </w:tcBorders>
            <w:noWrap w:val="0"/>
            <w:vAlign w:val="center"/>
          </w:tcPr>
          <w:p>
            <w:pPr>
              <w:spacing w:line="400" w:lineRule="exact"/>
              <w:jc w:val="center"/>
              <w:rPr>
                <w:rFonts w:ascii="宋体" w:hAnsi="宋体"/>
                <w:sz w:val="21"/>
                <w:szCs w:val="21"/>
              </w:rPr>
            </w:pPr>
            <w:r>
              <w:rPr>
                <w:rFonts w:hint="eastAsia" w:ascii="宋体" w:hAnsi="宋体"/>
                <w:sz w:val="21"/>
                <w:szCs w:val="21"/>
              </w:rPr>
              <w:t>施工期执行（GB12523-90）</w:t>
            </w:r>
          </w:p>
          <w:p>
            <w:pPr>
              <w:spacing w:line="400" w:lineRule="exact"/>
              <w:jc w:val="center"/>
              <w:rPr>
                <w:rFonts w:ascii="宋体" w:hAnsi="宋体"/>
                <w:sz w:val="21"/>
                <w:szCs w:val="21"/>
              </w:rPr>
            </w:pPr>
            <w:r>
              <w:rPr>
                <w:rFonts w:hint="eastAsia" w:ascii="宋体" w:hAnsi="宋体"/>
                <w:sz w:val="21"/>
                <w:szCs w:val="21"/>
              </w:rPr>
              <w:t>《建筑施工场界噪声限值》</w:t>
            </w:r>
          </w:p>
        </w:tc>
      </w:tr>
    </w:tbl>
    <w:p>
      <w:pPr>
        <w:rPr>
          <w:rFonts w:hint="eastAsia"/>
        </w:rPr>
      </w:pPr>
    </w:p>
    <w:p>
      <w:pPr>
        <w:spacing w:line="460" w:lineRule="exact"/>
        <w:ind w:firstLine="1343" w:firstLineChars="637"/>
        <w:rPr>
          <w:rFonts w:hint="eastAsia" w:ascii="宋体" w:hAnsi="宋体"/>
          <w:b/>
        </w:rPr>
      </w:pPr>
      <w:r>
        <w:rPr>
          <w:rFonts w:hint="eastAsia" w:ascii="宋体" w:hAnsi="宋体"/>
          <w:b/>
        </w:rPr>
        <w:t>表15-2-4      技改项目固体废物处置措施</w:t>
      </w:r>
      <w:r>
        <w:rPr>
          <w:rFonts w:ascii="宋体" w:hAnsi="宋体"/>
          <w:b/>
        </w:rPr>
        <w:t>验收</w:t>
      </w:r>
      <w:r>
        <w:rPr>
          <w:rFonts w:hint="eastAsia" w:ascii="宋体" w:hAnsi="宋体"/>
          <w:b/>
        </w:rPr>
        <w:t>标准</w:t>
      </w:r>
    </w:p>
    <w:tbl>
      <w:tblPr>
        <w:tblStyle w:val="20"/>
        <w:tblW w:w="871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33"/>
        <w:gridCol w:w="2133"/>
        <w:gridCol w:w="1755"/>
        <w:gridCol w:w="30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1733" w:type="dxa"/>
            <w:noWrap w:val="0"/>
            <w:vAlign w:val="center"/>
          </w:tcPr>
          <w:p>
            <w:pPr>
              <w:spacing w:line="320" w:lineRule="atLeast"/>
              <w:jc w:val="center"/>
              <w:rPr>
                <w:rFonts w:hint="eastAsia"/>
                <w:sz w:val="21"/>
                <w:szCs w:val="21"/>
              </w:rPr>
            </w:pPr>
            <w:r>
              <w:rPr>
                <w:rFonts w:hint="eastAsia"/>
                <w:sz w:val="21"/>
                <w:szCs w:val="21"/>
              </w:rPr>
              <w:t>固体废物类型</w:t>
            </w:r>
          </w:p>
        </w:tc>
        <w:tc>
          <w:tcPr>
            <w:tcW w:w="2133" w:type="dxa"/>
            <w:noWrap w:val="0"/>
            <w:vAlign w:val="center"/>
          </w:tcPr>
          <w:p>
            <w:pPr>
              <w:spacing w:line="320" w:lineRule="atLeast"/>
              <w:ind w:firstLine="540"/>
              <w:jc w:val="center"/>
              <w:rPr>
                <w:rFonts w:hint="eastAsia"/>
                <w:sz w:val="21"/>
                <w:szCs w:val="21"/>
              </w:rPr>
            </w:pPr>
            <w:r>
              <w:rPr>
                <w:rFonts w:hint="eastAsia"/>
                <w:sz w:val="21"/>
                <w:szCs w:val="21"/>
              </w:rPr>
              <w:t>产生量（</w:t>
            </w:r>
            <w:r>
              <w:rPr>
                <w:sz w:val="21"/>
                <w:szCs w:val="21"/>
              </w:rPr>
              <w:t>t/a</w:t>
            </w:r>
            <w:r>
              <w:rPr>
                <w:rFonts w:hint="eastAsia"/>
                <w:sz w:val="21"/>
                <w:szCs w:val="21"/>
              </w:rPr>
              <w:t>）</w:t>
            </w:r>
          </w:p>
        </w:tc>
        <w:tc>
          <w:tcPr>
            <w:tcW w:w="1755" w:type="dxa"/>
            <w:noWrap w:val="0"/>
            <w:vAlign w:val="center"/>
          </w:tcPr>
          <w:p>
            <w:pPr>
              <w:spacing w:line="320" w:lineRule="atLeast"/>
              <w:ind w:firstLine="210" w:firstLineChars="100"/>
              <w:jc w:val="center"/>
              <w:rPr>
                <w:rFonts w:hint="eastAsia"/>
                <w:sz w:val="21"/>
                <w:szCs w:val="21"/>
              </w:rPr>
            </w:pPr>
            <w:r>
              <w:rPr>
                <w:rFonts w:hint="eastAsia"/>
                <w:sz w:val="21"/>
                <w:szCs w:val="21"/>
              </w:rPr>
              <w:t>性质</w:t>
            </w:r>
          </w:p>
        </w:tc>
        <w:tc>
          <w:tcPr>
            <w:tcW w:w="3094" w:type="dxa"/>
            <w:noWrap w:val="0"/>
            <w:vAlign w:val="center"/>
          </w:tcPr>
          <w:p>
            <w:pPr>
              <w:spacing w:line="320" w:lineRule="atLeast"/>
              <w:ind w:firstLine="540"/>
              <w:jc w:val="center"/>
              <w:rPr>
                <w:rFonts w:hint="eastAsia"/>
                <w:sz w:val="21"/>
                <w:szCs w:val="21"/>
              </w:rPr>
            </w:pPr>
            <w:r>
              <w:rPr>
                <w:rFonts w:hint="eastAsia"/>
                <w:sz w:val="21"/>
                <w:szCs w:val="21"/>
              </w:rPr>
              <w:t>处置措施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33" w:type="dxa"/>
            <w:noWrap w:val="0"/>
            <w:vAlign w:val="center"/>
          </w:tcPr>
          <w:p>
            <w:pPr>
              <w:spacing w:line="320" w:lineRule="atLeast"/>
              <w:ind w:firstLine="540"/>
              <w:jc w:val="center"/>
              <w:rPr>
                <w:rFonts w:hint="eastAsia"/>
                <w:sz w:val="21"/>
                <w:szCs w:val="21"/>
              </w:rPr>
            </w:pPr>
            <w:r>
              <w:rPr>
                <w:rFonts w:hint="eastAsia"/>
                <w:sz w:val="21"/>
                <w:szCs w:val="21"/>
              </w:rPr>
              <w:t>除尘灰</w:t>
            </w:r>
          </w:p>
        </w:tc>
        <w:tc>
          <w:tcPr>
            <w:tcW w:w="2133" w:type="dxa"/>
            <w:noWrap w:val="0"/>
            <w:vAlign w:val="center"/>
          </w:tcPr>
          <w:p>
            <w:pPr>
              <w:spacing w:line="320" w:lineRule="atLeast"/>
              <w:jc w:val="center"/>
              <w:rPr>
                <w:rFonts w:hint="eastAsia"/>
                <w:sz w:val="21"/>
                <w:szCs w:val="21"/>
              </w:rPr>
            </w:pPr>
            <w:r>
              <w:rPr>
                <w:rFonts w:hint="eastAsia"/>
                <w:sz w:val="21"/>
                <w:szCs w:val="21"/>
              </w:rPr>
              <w:t>183485.15</w:t>
            </w:r>
          </w:p>
        </w:tc>
        <w:tc>
          <w:tcPr>
            <w:tcW w:w="1755" w:type="dxa"/>
            <w:noWrap w:val="0"/>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noWrap w:val="0"/>
            <w:vAlign w:val="center"/>
          </w:tcPr>
          <w:p>
            <w:pPr>
              <w:spacing w:line="320" w:lineRule="atLeast"/>
              <w:rPr>
                <w:rFonts w:hint="eastAsia"/>
                <w:sz w:val="21"/>
                <w:szCs w:val="21"/>
              </w:rPr>
            </w:pPr>
            <w:r>
              <w:rPr>
                <w:rFonts w:hint="eastAsia"/>
                <w:sz w:val="21"/>
                <w:szCs w:val="21"/>
              </w:rPr>
              <w:t>收集后作生产原料回用或产品外售利用，不排放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33" w:type="dxa"/>
            <w:shd w:val="clear" w:color="auto" w:fill="auto"/>
            <w:noWrap w:val="0"/>
            <w:vAlign w:val="center"/>
          </w:tcPr>
          <w:p>
            <w:pPr>
              <w:spacing w:line="320" w:lineRule="atLeast"/>
              <w:jc w:val="center"/>
              <w:rPr>
                <w:rFonts w:hint="eastAsia"/>
                <w:sz w:val="21"/>
                <w:szCs w:val="21"/>
              </w:rPr>
            </w:pPr>
            <w:r>
              <w:rPr>
                <w:rFonts w:hint="eastAsia"/>
                <w:sz w:val="21"/>
                <w:szCs w:val="21"/>
              </w:rPr>
              <w:t>生活污水污泥</w:t>
            </w:r>
          </w:p>
        </w:tc>
        <w:tc>
          <w:tcPr>
            <w:tcW w:w="2133" w:type="dxa"/>
            <w:shd w:val="clear" w:color="auto" w:fill="auto"/>
            <w:noWrap w:val="0"/>
            <w:vAlign w:val="center"/>
          </w:tcPr>
          <w:p>
            <w:pPr>
              <w:spacing w:line="320" w:lineRule="atLeast"/>
              <w:jc w:val="center"/>
              <w:rPr>
                <w:rFonts w:hint="eastAsia"/>
                <w:sz w:val="21"/>
                <w:szCs w:val="21"/>
              </w:rPr>
            </w:pPr>
            <w:r>
              <w:rPr>
                <w:rFonts w:hint="eastAsia"/>
                <w:sz w:val="21"/>
                <w:szCs w:val="21"/>
              </w:rPr>
              <w:t>8.82（含水90％）</w:t>
            </w:r>
          </w:p>
        </w:tc>
        <w:tc>
          <w:tcPr>
            <w:tcW w:w="1755" w:type="dxa"/>
            <w:shd w:val="clear" w:color="auto" w:fill="auto"/>
            <w:noWrap w:val="0"/>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shd w:val="clear" w:color="auto" w:fill="auto"/>
            <w:noWrap w:val="0"/>
            <w:vAlign w:val="center"/>
          </w:tcPr>
          <w:p>
            <w:pPr>
              <w:spacing w:line="320" w:lineRule="atLeast"/>
              <w:rPr>
                <w:rFonts w:hint="eastAsia"/>
                <w:sz w:val="21"/>
                <w:szCs w:val="21"/>
              </w:rPr>
            </w:pPr>
            <w:r>
              <w:rPr>
                <w:rFonts w:hint="eastAsia"/>
                <w:sz w:val="21"/>
                <w:szCs w:val="21"/>
              </w:rPr>
              <w:t>直接送水泥回转窑作水泥原料煅烧，不排放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33" w:type="dxa"/>
            <w:noWrap w:val="0"/>
            <w:vAlign w:val="center"/>
          </w:tcPr>
          <w:p>
            <w:pPr>
              <w:spacing w:line="320" w:lineRule="atLeast"/>
              <w:ind w:firstLine="540"/>
              <w:jc w:val="center"/>
              <w:rPr>
                <w:rFonts w:hint="eastAsia"/>
                <w:sz w:val="21"/>
                <w:szCs w:val="21"/>
              </w:rPr>
            </w:pPr>
            <w:r>
              <w:rPr>
                <w:rFonts w:hint="eastAsia"/>
                <w:sz w:val="21"/>
                <w:szCs w:val="21"/>
              </w:rPr>
              <w:t>生活垃圾</w:t>
            </w:r>
          </w:p>
        </w:tc>
        <w:tc>
          <w:tcPr>
            <w:tcW w:w="2133" w:type="dxa"/>
            <w:noWrap w:val="0"/>
            <w:vAlign w:val="center"/>
          </w:tcPr>
          <w:p>
            <w:pPr>
              <w:spacing w:line="320" w:lineRule="atLeast"/>
              <w:jc w:val="center"/>
              <w:rPr>
                <w:rFonts w:hint="eastAsia"/>
                <w:sz w:val="21"/>
                <w:szCs w:val="21"/>
              </w:rPr>
            </w:pPr>
            <w:r>
              <w:rPr>
                <w:rFonts w:hint="eastAsia"/>
                <w:sz w:val="21"/>
                <w:szCs w:val="21"/>
              </w:rPr>
              <w:t>42.3</w:t>
            </w:r>
          </w:p>
        </w:tc>
        <w:tc>
          <w:tcPr>
            <w:tcW w:w="1755" w:type="dxa"/>
            <w:noWrap w:val="0"/>
            <w:vAlign w:val="center"/>
          </w:tcPr>
          <w:p>
            <w:pPr>
              <w:spacing w:line="320" w:lineRule="atLeast"/>
              <w:ind w:firstLine="540"/>
              <w:jc w:val="center"/>
              <w:rPr>
                <w:rFonts w:hint="eastAsia"/>
                <w:sz w:val="21"/>
                <w:szCs w:val="21"/>
              </w:rPr>
            </w:pPr>
            <w:r>
              <w:rPr>
                <w:rFonts w:hint="eastAsia"/>
                <w:sz w:val="21"/>
                <w:szCs w:val="21"/>
              </w:rPr>
              <w:t>一般固废</w:t>
            </w:r>
          </w:p>
        </w:tc>
        <w:tc>
          <w:tcPr>
            <w:tcW w:w="3094" w:type="dxa"/>
            <w:noWrap w:val="0"/>
            <w:vAlign w:val="center"/>
          </w:tcPr>
          <w:p>
            <w:pPr>
              <w:spacing w:line="320" w:lineRule="atLeast"/>
              <w:rPr>
                <w:rFonts w:hint="eastAsia"/>
                <w:sz w:val="21"/>
                <w:szCs w:val="21"/>
              </w:rPr>
            </w:pPr>
            <w:r>
              <w:rPr>
                <w:sz w:val="21"/>
                <w:szCs w:val="21"/>
              </w:rPr>
              <w:t>在厂区内设生活垃圾转运站，集中收集后，由</w:t>
            </w:r>
            <w:r>
              <w:rPr>
                <w:rFonts w:hint="eastAsia"/>
                <w:sz w:val="21"/>
                <w:szCs w:val="21"/>
              </w:rPr>
              <w:t>青木关镇</w:t>
            </w:r>
            <w:r>
              <w:rPr>
                <w:sz w:val="21"/>
                <w:szCs w:val="21"/>
              </w:rPr>
              <w:t>环卫部门送城市垃圾处理场卫生填埋，不排放</w:t>
            </w:r>
          </w:p>
        </w:tc>
      </w:tr>
    </w:tbl>
    <w:p>
      <w:pPr>
        <w:spacing w:line="460" w:lineRule="exact"/>
        <w:ind w:firstLine="360" w:firstLineChars="200"/>
        <w:rPr>
          <w:rFonts w:hint="eastAsia" w:ascii="宋体" w:hAnsi="宋体"/>
          <w:sz w:val="18"/>
          <w:szCs w:val="18"/>
        </w:rPr>
      </w:pPr>
    </w:p>
    <w:p>
      <w:pPr>
        <w:spacing w:line="460" w:lineRule="exact"/>
        <w:ind w:firstLine="420" w:firstLineChars="200"/>
        <w:rPr>
          <w:rFonts w:hint="eastAsia" w:ascii="宋体" w:hAnsi="宋体"/>
        </w:rPr>
      </w:pPr>
      <w:r>
        <w:rPr>
          <w:rFonts w:hint="eastAsia" w:ascii="宋体" w:hAnsi="宋体"/>
        </w:rPr>
        <w:t>验收时还必须统一考虑的有关内容：</w:t>
      </w:r>
    </w:p>
    <w:p>
      <w:pPr>
        <w:spacing w:line="460" w:lineRule="exact"/>
        <w:ind w:firstLine="315" w:firstLineChars="150"/>
        <w:rPr>
          <w:rFonts w:hint="eastAsia" w:ascii="宋体" w:hAnsi="宋体"/>
        </w:rPr>
      </w:pPr>
      <w:r>
        <w:rPr>
          <w:rFonts w:hint="eastAsia" w:ascii="宋体" w:hAnsi="宋体"/>
        </w:rPr>
        <w:t>（1）建设前期环境保护审查、审批手续完备。技术资料与环境保护档案资料齐全。</w:t>
      </w:r>
    </w:p>
    <w:p>
      <w:pPr>
        <w:spacing w:line="460" w:lineRule="exact"/>
        <w:ind w:firstLine="315" w:firstLineChars="150"/>
        <w:rPr>
          <w:rFonts w:hint="eastAsia" w:ascii="宋体" w:hAnsi="宋体"/>
        </w:rPr>
      </w:pPr>
      <w:r>
        <w:rPr>
          <w:rFonts w:hint="eastAsia" w:ascii="宋体" w:hAnsi="宋体"/>
        </w:rPr>
        <w:t>（2）环境保护设施及其它措施等已按批准的环境影响报告书和设计文件的要求建成或落实，环境保护设施经负荷试车检测合格，其防治污染能力适应主体工程的需要。</w:t>
      </w:r>
    </w:p>
    <w:p>
      <w:pPr>
        <w:spacing w:line="460" w:lineRule="exact"/>
        <w:ind w:firstLine="315" w:firstLineChars="150"/>
        <w:rPr>
          <w:rFonts w:hint="eastAsia" w:ascii="宋体" w:hAnsi="宋体"/>
        </w:rPr>
      </w:pPr>
      <w:r>
        <w:rPr>
          <w:rFonts w:hint="eastAsia" w:ascii="宋体" w:hAnsi="宋体"/>
        </w:rPr>
        <w:t>（3）环境保护设施安装质量符合国家和有关部门颁发的专业工程验收规范、规程和检验评定标准。</w:t>
      </w:r>
    </w:p>
    <w:p>
      <w:pPr>
        <w:spacing w:line="460" w:lineRule="exact"/>
        <w:ind w:firstLine="315" w:firstLineChars="150"/>
        <w:rPr>
          <w:rFonts w:hint="eastAsia" w:ascii="宋体" w:hAnsi="宋体"/>
        </w:rPr>
      </w:pPr>
      <w:r>
        <w:rPr>
          <w:rFonts w:hint="eastAsia" w:ascii="宋体" w:hAnsi="宋体"/>
        </w:rPr>
        <w:t>（4）具备环境保护设施正常运转的条件，包括：经培训合格的操作人员、健全的岗位操作规程及相应的规章制度，原料、动力供应落实，符合交付使用的其它要求。</w:t>
      </w:r>
    </w:p>
    <w:p>
      <w:pPr>
        <w:spacing w:line="460" w:lineRule="exact"/>
        <w:ind w:firstLine="315" w:firstLineChars="150"/>
        <w:rPr>
          <w:rFonts w:hint="eastAsia" w:ascii="宋体" w:hAnsi="宋体"/>
        </w:rPr>
      </w:pPr>
      <w:r>
        <w:rPr>
          <w:rFonts w:hint="eastAsia" w:ascii="宋体" w:hAnsi="宋体"/>
        </w:rPr>
        <w:t>（5）污染物排放符合环境影响报告书和设计文件中提出的标准及核定的污染物排放总量控制指标的要求。</w:t>
      </w:r>
    </w:p>
    <w:p>
      <w:pPr>
        <w:spacing w:line="460" w:lineRule="exact"/>
        <w:ind w:firstLine="315" w:firstLineChars="150"/>
        <w:rPr>
          <w:rFonts w:hint="eastAsia" w:ascii="宋体" w:hAnsi="宋体"/>
        </w:rPr>
      </w:pPr>
      <w:r>
        <w:rPr>
          <w:rFonts w:hint="eastAsia" w:ascii="宋体" w:hAnsi="宋体"/>
        </w:rPr>
        <w:t>（6）各项生态保护措施按环境影响报告书规定的要求落实，建设项目建设过程中受到破坏并可恢复的环境已按规定采取了恢复措施。</w:t>
      </w:r>
    </w:p>
    <w:p>
      <w:pPr>
        <w:spacing w:line="460" w:lineRule="exact"/>
        <w:ind w:firstLine="315" w:firstLineChars="150"/>
        <w:rPr>
          <w:rFonts w:hint="eastAsia" w:ascii="宋体" w:hAnsi="宋体"/>
        </w:rPr>
      </w:pPr>
      <w:r>
        <w:rPr>
          <w:rFonts w:hint="eastAsia" w:ascii="宋体" w:hAnsi="宋体"/>
        </w:rPr>
        <w:t>（7）环境监测项目、点位、机构设置及人员配备，符合环境影响报告书和有关规定的要求。</w:t>
      </w:r>
    </w:p>
    <w:p>
      <w:pPr>
        <w:spacing w:line="460" w:lineRule="exact"/>
        <w:ind w:firstLine="315" w:firstLineChars="150"/>
        <w:rPr>
          <w:rFonts w:hint="eastAsia" w:ascii="宋体" w:hAnsi="宋体"/>
        </w:rPr>
      </w:pPr>
      <w:r>
        <w:rPr>
          <w:rFonts w:hint="eastAsia" w:ascii="宋体" w:hAnsi="宋体"/>
        </w:rPr>
        <w:t>（8）环保投资单列台帐并得到了落实，无环境保护投诉或环保投诉得到了妥善解决。</w:t>
      </w:r>
    </w:p>
    <w:p>
      <w:pPr>
        <w:rPr>
          <w:rFonts w:hint="eastAsia"/>
        </w:rPr>
      </w:pPr>
    </w:p>
    <w:p>
      <w:pPr>
        <w:rPr>
          <w:rFonts w:hint="eastAsia"/>
        </w:rPr>
      </w:pPr>
    </w:p>
    <w:p>
      <w:pPr>
        <w:rPr>
          <w:rFonts w:hint="eastAsia"/>
        </w:rPr>
      </w:pPr>
    </w:p>
    <w:p>
      <w:pPr>
        <w:spacing w:before="72" w:beforeLines="30" w:after="72" w:afterLines="30" w:line="360" w:lineRule="auto"/>
        <w:outlineLvl w:val="0"/>
        <w:rPr>
          <w:rFonts w:hint="eastAsia"/>
          <w:b/>
        </w:rPr>
      </w:pPr>
      <w:bookmarkStart w:id="544" w:name="_Toc189814209"/>
      <w:bookmarkStart w:id="545" w:name="_Toc165607432"/>
      <w:bookmarkStart w:id="546" w:name="_Toc175479889"/>
      <w:bookmarkStart w:id="547" w:name="_Toc473281565"/>
      <w:bookmarkStart w:id="548" w:name="_Toc276372291"/>
      <w:r>
        <w:rPr>
          <w:b/>
        </w:rPr>
        <w:t>1</w:t>
      </w:r>
      <w:r>
        <w:rPr>
          <w:rFonts w:hint="eastAsia"/>
          <w:b/>
        </w:rPr>
        <w:t>6</w:t>
      </w:r>
      <w:r>
        <w:rPr>
          <w:b/>
        </w:rPr>
        <w:t>结论与建议</w:t>
      </w:r>
      <w:bookmarkEnd w:id="544"/>
      <w:bookmarkEnd w:id="545"/>
      <w:bookmarkEnd w:id="546"/>
      <w:bookmarkEnd w:id="547"/>
      <w:bookmarkEnd w:id="548"/>
    </w:p>
    <w:p>
      <w:pPr>
        <w:spacing w:before="24" w:beforeLines="10" w:after="24" w:afterLines="10" w:line="360" w:lineRule="auto"/>
        <w:outlineLvl w:val="1"/>
        <w:rPr>
          <w:rFonts w:hint="eastAsia"/>
          <w:b/>
        </w:rPr>
      </w:pPr>
      <w:bookmarkStart w:id="549" w:name="_Toc189814210"/>
      <w:bookmarkStart w:id="550" w:name="_Toc276372292"/>
      <w:bookmarkStart w:id="551" w:name="_Toc175479890"/>
      <w:bookmarkStart w:id="552" w:name="_Toc473281566"/>
      <w:bookmarkStart w:id="553" w:name="_Toc165607433"/>
      <w:bookmarkStart w:id="554" w:name="_Toc129763788"/>
      <w:r>
        <w:rPr>
          <w:rFonts w:hint="eastAsia"/>
          <w:b/>
        </w:rPr>
        <w:t>16.1结论</w:t>
      </w:r>
      <w:bookmarkEnd w:id="549"/>
      <w:bookmarkEnd w:id="550"/>
      <w:bookmarkEnd w:id="551"/>
      <w:bookmarkEnd w:id="552"/>
      <w:bookmarkEnd w:id="553"/>
      <w:bookmarkEnd w:id="554"/>
    </w:p>
    <w:p>
      <w:pPr>
        <w:spacing w:before="24" w:beforeLines="10" w:after="24" w:afterLines="10" w:line="360" w:lineRule="auto"/>
        <w:rPr>
          <w:b/>
        </w:rPr>
      </w:pPr>
      <w:r>
        <w:rPr>
          <w:b/>
        </w:rPr>
        <w:t>1</w:t>
      </w:r>
      <w:r>
        <w:rPr>
          <w:rFonts w:hint="eastAsia"/>
          <w:b/>
        </w:rPr>
        <w:t>6</w:t>
      </w:r>
      <w:r>
        <w:rPr>
          <w:b/>
        </w:rPr>
        <w:t>.1.1产业政策</w:t>
      </w:r>
      <w:r>
        <w:rPr>
          <w:rFonts w:hint="eastAsia"/>
          <w:b/>
        </w:rPr>
        <w:t>、规划符</w:t>
      </w:r>
      <w:r>
        <w:rPr>
          <w:b/>
        </w:rPr>
        <w:t>合性</w:t>
      </w:r>
    </w:p>
    <w:p>
      <w:pPr>
        <w:spacing w:line="360" w:lineRule="auto"/>
        <w:ind w:firstLine="420" w:firstLineChars="200"/>
        <w:rPr>
          <w:rFonts w:hint="eastAsia" w:ascii="宋体" w:hAnsi="宋体"/>
        </w:rPr>
      </w:pPr>
      <w:r>
        <w:rPr>
          <w:rFonts w:hint="eastAsia"/>
          <w:bCs/>
        </w:rPr>
        <w:t>通过分析表明，</w:t>
      </w:r>
      <w:r>
        <w:rPr>
          <w:rFonts w:hint="eastAsia" w:ascii="宋体"/>
        </w:rPr>
        <w:t>技改项目建设</w:t>
      </w:r>
      <w:r>
        <w:rPr>
          <w:rFonts w:hint="eastAsia" w:ascii="宋体" w:hAnsi="宋体"/>
        </w:rPr>
        <w:t>技改项目符合</w:t>
      </w:r>
      <w:r>
        <w:rPr>
          <w:rFonts w:hint="eastAsia" w:ascii="宋体" w:hAnsi="宋体"/>
          <w:bCs/>
        </w:rPr>
        <w:t>《产业结构调整指导目录(2005年本)》</w:t>
      </w:r>
      <w:r>
        <w:rPr>
          <w:rFonts w:hint="eastAsia" w:ascii="宋体" w:hAnsi="宋体"/>
        </w:rPr>
        <w:t>、</w:t>
      </w:r>
      <w:r>
        <w:t>《关于加快水泥工业结构调整的若干意见》、《水泥工业产业发展政策》、《水泥工业发展专项规划》、《国务院关于印发节能减排综合性工作方案的通知》、</w:t>
      </w:r>
      <w:r>
        <w:rPr>
          <w:rFonts w:hint="eastAsia"/>
        </w:rPr>
        <w:t>《国务院批转发改委等部门关于抑制部分行业产能过剩和重复建设引导产业健康发展若干意见的通知》、《国务院关于进一步加强淘汰落后产能工作的通知》、</w:t>
      </w:r>
      <w:r>
        <w:t>《重庆市水泥工业</w:t>
      </w:r>
      <w:r>
        <w:rPr>
          <w:rFonts w:hint="eastAsia"/>
        </w:rPr>
        <w:t>“</w:t>
      </w:r>
      <w:r>
        <w:t>十一五</w:t>
      </w:r>
      <w:r>
        <w:rPr>
          <w:rFonts w:hint="eastAsia"/>
        </w:rPr>
        <w:t>”</w:t>
      </w:r>
      <w:r>
        <w:t>发展规划》</w:t>
      </w:r>
      <w:r>
        <w:rPr>
          <w:rFonts w:hint="eastAsia" w:ascii="宋体" w:hAnsi="宋体"/>
        </w:rPr>
        <w:t>等文件的相关规定，符合国家和重庆市的相关产业政策。</w:t>
      </w:r>
    </w:p>
    <w:p>
      <w:pPr>
        <w:autoSpaceDE w:val="0"/>
        <w:autoSpaceDN w:val="0"/>
        <w:spacing w:line="360" w:lineRule="auto"/>
        <w:ind w:firstLine="420" w:firstLineChars="200"/>
        <w:rPr>
          <w:rFonts w:hint="eastAsia"/>
        </w:rPr>
      </w:pPr>
      <w:r>
        <w:rPr>
          <w:rFonts w:hint="eastAsia"/>
          <w:bCs/>
        </w:rPr>
        <w:t>技改项目选址于沙坪坝区青木关镇关口村，</w:t>
      </w:r>
      <w:r>
        <w:rPr>
          <w:rFonts w:hint="eastAsia" w:hAnsi="宋体"/>
        </w:rPr>
        <w:t>技改项目在拆</w:t>
      </w:r>
      <w:r>
        <w:rPr>
          <w:rFonts w:hAnsi="宋体"/>
        </w:rPr>
        <w:t>原</w:t>
      </w:r>
      <w:r>
        <w:rPr>
          <w:rFonts w:hint="eastAsia" w:hAnsi="宋体"/>
        </w:rPr>
        <w:t>除立窑的基础上原址建设新型干法水泥生产线，</w:t>
      </w:r>
      <w:r>
        <w:rPr>
          <w:rFonts w:hAnsi="宋体"/>
          <w:kern w:val="28"/>
          <w:sz w:val="28"/>
          <w:szCs w:val="28"/>
        </w:rPr>
        <w:t>该址的土地</w:t>
      </w:r>
      <w:r>
        <w:rPr>
          <w:rFonts w:hint="eastAsia" w:hAnsi="宋体"/>
        </w:rPr>
        <w:t>属于工业用地，项目不需要新</w:t>
      </w:r>
      <w:r>
        <w:rPr>
          <w:rFonts w:hAnsi="宋体"/>
        </w:rPr>
        <w:t>征用土地，</w:t>
      </w:r>
      <w:r>
        <w:rPr>
          <w:rFonts w:hint="eastAsia"/>
          <w:bCs/>
        </w:rPr>
        <w:t>不在重庆市城市规划范围内，符合重庆市城市总体规划；</w:t>
      </w:r>
      <w:r>
        <w:rPr>
          <w:rFonts w:hint="eastAsia" w:ascii="宋体" w:hAnsi="宋体"/>
        </w:rPr>
        <w:t>厂区布置时严格按照“四山管制”要求，所有装置及厂房均布置在350米以下，</w:t>
      </w:r>
      <w:r>
        <w:rPr>
          <w:rFonts w:hint="eastAsia"/>
          <w:bCs/>
        </w:rPr>
        <w:t>符合“四山”管制的要求；</w:t>
      </w:r>
      <w:r>
        <w:rPr>
          <w:rFonts w:hint="eastAsia"/>
        </w:rPr>
        <w:t>本技改项目为新型干法水泥生产线，不属于禁止类的水泥生产线项目，因此，其建设与“蓝天行动方案”不冲突。重庆市规划局以选字第500106201000043号文的形式同意其建设选址。</w:t>
      </w:r>
    </w:p>
    <w:p>
      <w:pPr>
        <w:autoSpaceDE w:val="0"/>
        <w:autoSpaceDN w:val="0"/>
        <w:spacing w:line="360" w:lineRule="auto"/>
        <w:ind w:firstLine="420" w:firstLineChars="200"/>
        <w:rPr>
          <w:rFonts w:hint="eastAsia"/>
          <w:bCs/>
        </w:rPr>
      </w:pPr>
      <w:r>
        <w:rPr>
          <w:rFonts w:hint="eastAsia"/>
          <w:bCs/>
        </w:rPr>
        <w:t>技改项目的建设</w:t>
      </w:r>
      <w:r>
        <w:rPr>
          <w:rFonts w:hint="eastAsia" w:ascii="宋体" w:hAnsi="宋体"/>
        </w:rPr>
        <w:t>有利于资源的合理利用、周边环境的改善，同时也是企业自身发展、</w:t>
      </w:r>
      <w:r>
        <w:rPr>
          <w:rFonts w:ascii="宋体" w:hAnsi="宋体"/>
        </w:rPr>
        <w:t>解决现有企业人员分流安置问题，</w:t>
      </w:r>
      <w:r>
        <w:rPr>
          <w:rFonts w:hint="eastAsia" w:ascii="宋体" w:hAnsi="宋体"/>
        </w:rPr>
        <w:t>增加职工经济收入，促进社会安定，</w:t>
      </w:r>
      <w:r>
        <w:rPr>
          <w:rFonts w:hint="eastAsia"/>
          <w:bCs/>
        </w:rPr>
        <w:t>因此其建设是必要的、也是合理的。</w:t>
      </w:r>
    </w:p>
    <w:p>
      <w:pPr>
        <w:spacing w:line="360" w:lineRule="auto"/>
        <w:rPr>
          <w:rFonts w:hint="eastAsia"/>
          <w:b/>
        </w:rPr>
      </w:pPr>
      <w:r>
        <w:rPr>
          <w:b/>
        </w:rPr>
        <w:t>1</w:t>
      </w:r>
      <w:r>
        <w:rPr>
          <w:rFonts w:hint="eastAsia"/>
          <w:b/>
        </w:rPr>
        <w:t>6</w:t>
      </w:r>
      <w:r>
        <w:rPr>
          <w:b/>
        </w:rPr>
        <w:t>.1.</w:t>
      </w:r>
      <w:r>
        <w:rPr>
          <w:rFonts w:hint="eastAsia"/>
          <w:b/>
        </w:rPr>
        <w:t>2</w:t>
      </w:r>
      <w:r>
        <w:rPr>
          <w:b/>
        </w:rPr>
        <w:t xml:space="preserve"> </w:t>
      </w:r>
      <w:r>
        <w:rPr>
          <w:rFonts w:hint="eastAsia"/>
          <w:b/>
        </w:rPr>
        <w:t>清洁生产水平</w:t>
      </w:r>
    </w:p>
    <w:p>
      <w:pPr>
        <w:spacing w:line="360" w:lineRule="auto"/>
        <w:ind w:firstLine="480"/>
        <w:rPr>
          <w:rFonts w:hint="eastAsia"/>
        </w:rPr>
      </w:pPr>
      <w:r>
        <w:rPr>
          <w:rFonts w:hint="eastAsia"/>
        </w:rPr>
        <w:t>（1）生产工艺流程</w:t>
      </w:r>
    </w:p>
    <w:p>
      <w:pPr>
        <w:snapToGrid w:val="0"/>
        <w:spacing w:line="360" w:lineRule="auto"/>
        <w:ind w:firstLine="315" w:firstLineChars="150"/>
        <w:rPr>
          <w:rFonts w:hint="eastAsia" w:ascii="宋体" w:hAnsi="宋体"/>
        </w:rPr>
      </w:pPr>
      <w:r>
        <w:rPr>
          <w:rFonts w:hint="eastAsia" w:ascii="宋体" w:hAnsi="宋体"/>
        </w:rPr>
        <w:t>技改项目采用新型干法——窑外预分解熟料生产工艺，主要包括生料制备、熟料煅烧、水泥调配等过程。</w:t>
      </w:r>
    </w:p>
    <w:p>
      <w:pPr>
        <w:spacing w:line="360" w:lineRule="auto"/>
        <w:ind w:firstLine="480"/>
        <w:rPr>
          <w:rFonts w:hint="eastAsia"/>
        </w:rPr>
      </w:pPr>
      <w:r>
        <w:rPr>
          <w:rFonts w:hint="eastAsia"/>
        </w:rPr>
        <w:t>（2）正常生产工况下污染物排放量</w:t>
      </w:r>
    </w:p>
    <w:p>
      <w:pPr>
        <w:spacing w:line="360" w:lineRule="auto"/>
        <w:ind w:firstLine="420" w:firstLineChars="200"/>
      </w:pPr>
      <w:r>
        <w:rPr>
          <w:rFonts w:hint="eastAsia"/>
        </w:rPr>
        <w:t>技改项目投产后能够做到废气、废水污染物达标排放。废气排放量</w:t>
      </w:r>
      <w:r>
        <w:rPr>
          <w:sz w:val="20"/>
          <w:szCs w:val="20"/>
        </w:rPr>
        <w:t>867924</w:t>
      </w:r>
      <w:r>
        <w:rPr>
          <w:rFonts w:hint="eastAsia"/>
          <w:sz w:val="20"/>
          <w:szCs w:val="20"/>
        </w:rPr>
        <w:t>.</w:t>
      </w:r>
      <w:r>
        <w:rPr>
          <w:sz w:val="20"/>
          <w:szCs w:val="20"/>
        </w:rPr>
        <w:t>026</w:t>
      </w:r>
      <w:r>
        <w:rPr>
          <w:rFonts w:hint="eastAsia"/>
        </w:rPr>
        <w:t>万</w:t>
      </w:r>
      <w:r>
        <w:t>Nm</w:t>
      </w:r>
      <w:r>
        <w:rPr>
          <w:vertAlign w:val="superscript"/>
        </w:rPr>
        <w:t>3</w:t>
      </w:r>
      <w:r>
        <w:t>/a</w:t>
      </w:r>
      <w:r>
        <w:rPr>
          <w:rFonts w:hint="eastAsia"/>
        </w:rPr>
        <w:t>，烟粉尘</w:t>
      </w:r>
      <w:r>
        <w:t>2</w:t>
      </w:r>
      <w:r>
        <w:rPr>
          <w:rFonts w:hint="eastAsia"/>
        </w:rPr>
        <w:t>61.37</w:t>
      </w:r>
      <w:r>
        <w:t>t/a</w:t>
      </w:r>
      <w:r>
        <w:rPr>
          <w:rFonts w:hint="eastAsia"/>
        </w:rPr>
        <w:t>、SO</w:t>
      </w:r>
      <w:r>
        <w:rPr>
          <w:rFonts w:hint="eastAsia"/>
          <w:vertAlign w:val="subscript"/>
        </w:rPr>
        <w:t>2</w:t>
      </w:r>
      <w:r>
        <w:rPr>
          <w:rFonts w:hint="eastAsia"/>
        </w:rPr>
        <w:t>216.44</w:t>
      </w:r>
      <w:r>
        <w:t xml:space="preserve"> t/a</w:t>
      </w:r>
      <w:r>
        <w:rPr>
          <w:rFonts w:hint="eastAsia"/>
        </w:rPr>
        <w:t>、NO</w:t>
      </w:r>
      <w:r>
        <w:rPr>
          <w:rFonts w:hint="eastAsia"/>
          <w:vertAlign w:val="subscript"/>
        </w:rPr>
        <w:t>2</w:t>
      </w:r>
      <w:r>
        <w:rPr>
          <w:rFonts w:hint="eastAsia"/>
        </w:rPr>
        <w:t>1799.88</w:t>
      </w:r>
      <w:r>
        <w:t>t/a</w:t>
      </w:r>
      <w:r>
        <w:rPr>
          <w:rFonts w:hint="eastAsia"/>
        </w:rPr>
        <w:t>。废水排放量16306</w:t>
      </w:r>
      <w:r>
        <w:rPr>
          <w:lang w:val="de-DE"/>
        </w:rPr>
        <w:t>m</w:t>
      </w:r>
      <w:r>
        <w:rPr>
          <w:vertAlign w:val="superscript"/>
          <w:lang w:val="de-DE"/>
        </w:rPr>
        <w:t>3</w:t>
      </w:r>
      <w:r>
        <w:rPr>
          <w:lang w:val="de-DE"/>
        </w:rPr>
        <w:t>/a</w:t>
      </w:r>
      <w:r>
        <w:rPr>
          <w:rFonts w:hint="eastAsia"/>
          <w:lang w:val="de-DE"/>
        </w:rPr>
        <w:t>，</w:t>
      </w:r>
      <w:r>
        <w:t>COD</w:t>
      </w:r>
      <w:r>
        <w:rPr>
          <w:rFonts w:hint="eastAsia"/>
        </w:rPr>
        <w:t xml:space="preserve"> 1.63</w:t>
      </w:r>
      <w:r>
        <w:t>t/a</w:t>
      </w:r>
      <w:r>
        <w:rPr>
          <w:rFonts w:hAnsi="宋体"/>
        </w:rPr>
        <w:t>、</w:t>
      </w:r>
      <w:r>
        <w:t>SS</w:t>
      </w:r>
      <w:r>
        <w:rPr>
          <w:rFonts w:hint="eastAsia"/>
        </w:rPr>
        <w:t xml:space="preserve"> 0.92</w:t>
      </w:r>
      <w:r>
        <w:t xml:space="preserve"> t/a</w:t>
      </w:r>
      <w:r>
        <w:rPr>
          <w:rFonts w:hAnsi="宋体"/>
        </w:rPr>
        <w:t>、</w:t>
      </w:r>
      <w:r>
        <w:t>NH</w:t>
      </w:r>
      <w:r>
        <w:rPr>
          <w:vertAlign w:val="subscript"/>
        </w:rPr>
        <w:t>3</w:t>
      </w:r>
      <w:r>
        <w:t>-N</w:t>
      </w:r>
      <w:r>
        <w:rPr>
          <w:rFonts w:hint="eastAsia"/>
        </w:rPr>
        <w:t xml:space="preserve"> 0.11</w:t>
      </w:r>
      <w:r>
        <w:t xml:space="preserve"> t/a</w:t>
      </w:r>
      <w:r>
        <w:rPr>
          <w:rFonts w:ascii="宋体" w:hAnsi="宋体"/>
        </w:rPr>
        <w:t>。</w:t>
      </w:r>
    </w:p>
    <w:p>
      <w:pPr>
        <w:spacing w:before="24" w:beforeLines="10" w:after="24" w:afterLines="10" w:line="360" w:lineRule="auto"/>
        <w:rPr>
          <w:rFonts w:hint="eastAsia"/>
          <w:b/>
        </w:rPr>
      </w:pPr>
      <w:r>
        <w:rPr>
          <w:b/>
        </w:rPr>
        <w:t>1</w:t>
      </w:r>
      <w:r>
        <w:rPr>
          <w:rFonts w:hint="eastAsia"/>
          <w:b/>
        </w:rPr>
        <w:t>6</w:t>
      </w:r>
      <w:r>
        <w:rPr>
          <w:b/>
        </w:rPr>
        <w:t>.1.</w:t>
      </w:r>
      <w:r>
        <w:rPr>
          <w:rFonts w:hint="eastAsia"/>
          <w:b/>
        </w:rPr>
        <w:t>3清洁生产</w:t>
      </w:r>
    </w:p>
    <w:p>
      <w:pPr>
        <w:spacing w:line="360" w:lineRule="auto"/>
        <w:ind w:firstLine="420" w:firstLineChars="200"/>
        <w:rPr>
          <w:rFonts w:hint="eastAsia"/>
        </w:rPr>
      </w:pPr>
      <w:r>
        <w:rPr>
          <w:rFonts w:hint="eastAsia"/>
        </w:rPr>
        <w:t>技改项目采用了国内外先进的工艺技术和生产设备，且在整个工艺流程中充分考虑了能量的利用，有效地降低能耗，对生产过程中产生的“三废”尽量回收利用，做到一水多用，循环使用，同时注重生产全过程污染控制，既节约了资源，控制了物料流失，又大大地减少了外排污染物对环境的影响，通过与清洁生产指标的对照，表明技改项目符合清洁生产要求。从整体上看，技改项目达到国内清洁生产先进企业水平。</w:t>
      </w:r>
    </w:p>
    <w:p>
      <w:pPr>
        <w:spacing w:before="24" w:beforeLines="10" w:after="24" w:afterLines="10" w:line="360" w:lineRule="auto"/>
        <w:rPr>
          <w:rFonts w:hint="eastAsia"/>
          <w:b/>
        </w:rPr>
      </w:pPr>
      <w:r>
        <w:rPr>
          <w:b/>
        </w:rPr>
        <w:t>1</w:t>
      </w:r>
      <w:r>
        <w:rPr>
          <w:rFonts w:hint="eastAsia"/>
          <w:b/>
        </w:rPr>
        <w:t>6</w:t>
      </w:r>
      <w:r>
        <w:rPr>
          <w:b/>
        </w:rPr>
        <w:t>.1.</w:t>
      </w:r>
      <w:r>
        <w:rPr>
          <w:rFonts w:hint="eastAsia"/>
          <w:b/>
        </w:rPr>
        <w:t>4环境质量现状</w:t>
      </w:r>
    </w:p>
    <w:p>
      <w:pPr>
        <w:spacing w:line="360" w:lineRule="auto"/>
        <w:ind w:firstLine="420" w:firstLineChars="200"/>
        <w:rPr>
          <w:rFonts w:hint="eastAsia"/>
        </w:rPr>
      </w:pPr>
      <w:r>
        <w:rPr>
          <w:rFonts w:hint="eastAsia"/>
        </w:rPr>
        <w:t>环境空气：</w:t>
      </w:r>
      <w:r>
        <w:t>SO</w:t>
      </w:r>
      <w:r>
        <w:rPr>
          <w:vertAlign w:val="subscript"/>
        </w:rPr>
        <w:t>2</w:t>
      </w:r>
      <w:r>
        <w:rPr>
          <w:rFonts w:hAnsi="宋体"/>
        </w:rPr>
        <w:t>、</w:t>
      </w:r>
      <w:r>
        <w:t>NO</w:t>
      </w:r>
      <w:r>
        <w:rPr>
          <w:vertAlign w:val="subscript"/>
        </w:rPr>
        <w:t>2</w:t>
      </w:r>
      <w:r>
        <w:rPr>
          <w:rFonts w:hAnsi="宋体"/>
        </w:rPr>
        <w:t>、</w:t>
      </w:r>
      <w:r>
        <w:t>PM</w:t>
      </w:r>
      <w:r>
        <w:rPr>
          <w:vertAlign w:val="subscript"/>
        </w:rPr>
        <w:t>10</w:t>
      </w:r>
      <w:r>
        <w:rPr>
          <w:rFonts w:hint="eastAsia" w:hAnsi="宋体"/>
        </w:rPr>
        <w:t>监测</w:t>
      </w:r>
      <w:r>
        <w:rPr>
          <w:rFonts w:hint="eastAsia"/>
          <w:spacing w:val="20"/>
        </w:rPr>
        <w:t>均无超标现象发生</w:t>
      </w:r>
      <w:r>
        <w:t>，</w:t>
      </w:r>
      <w:r>
        <w:rPr>
          <w:rFonts w:hint="eastAsia"/>
          <w:spacing w:val="20"/>
        </w:rPr>
        <w:t>总体而言，</w:t>
      </w:r>
      <w:r>
        <w:t>评价区域环境空气质量较好，具有一定</w:t>
      </w:r>
      <w:r>
        <w:rPr>
          <w:rFonts w:hint="eastAsia"/>
        </w:rPr>
        <w:t>的</w:t>
      </w:r>
      <w:r>
        <w:t>环境容量</w:t>
      </w:r>
      <w:r>
        <w:rPr>
          <w:rFonts w:hint="eastAsia"/>
        </w:rPr>
        <w:t>。</w:t>
      </w:r>
    </w:p>
    <w:p>
      <w:pPr>
        <w:spacing w:line="360" w:lineRule="auto"/>
        <w:ind w:firstLine="420" w:firstLineChars="200"/>
        <w:rPr>
          <w:rFonts w:hint="eastAsia" w:ascii="宋体" w:hAnsi="宋体"/>
        </w:rPr>
      </w:pPr>
      <w:r>
        <w:rPr>
          <w:rFonts w:hint="eastAsia"/>
        </w:rPr>
        <w:t>地表水：</w:t>
      </w:r>
      <w:r>
        <w:rPr>
          <w:rFonts w:hint="eastAsia" w:ascii="宋体" w:hAnsi="宋体"/>
        </w:rPr>
        <w:t>监测断面水体中各项监测水质指标均符合《地表水环境质量标准》（</w:t>
      </w:r>
      <w:r>
        <w:rPr>
          <w:rFonts w:ascii="宋体" w:hAnsi="宋体"/>
        </w:rPr>
        <w:t>GB</w:t>
      </w:r>
      <w:r>
        <w:rPr>
          <w:rFonts w:hint="eastAsia" w:ascii="宋体" w:hAnsi="宋体"/>
        </w:rPr>
        <w:t>3838—2002）Ⅲ类标准的要求，地表水环境质量现状较好</w:t>
      </w:r>
      <w:r>
        <w:rPr>
          <w:rFonts w:hint="eastAsia"/>
        </w:rPr>
        <w:t>，</w:t>
      </w:r>
      <w:r>
        <w:rPr>
          <w:rFonts w:ascii="宋体" w:hAnsi="宋体"/>
        </w:rPr>
        <w:t>具有一定</w:t>
      </w:r>
      <w:r>
        <w:rPr>
          <w:rFonts w:hint="eastAsia" w:ascii="宋体" w:hAnsi="宋体"/>
        </w:rPr>
        <w:t>的</w:t>
      </w:r>
      <w:r>
        <w:rPr>
          <w:rFonts w:ascii="宋体" w:hAnsi="宋体"/>
        </w:rPr>
        <w:t>环境容量，</w:t>
      </w:r>
      <w:r>
        <w:rPr>
          <w:rFonts w:hint="eastAsia" w:ascii="宋体" w:hAnsi="宋体"/>
        </w:rPr>
        <w:t>有利于技改项目的建设</w:t>
      </w:r>
      <w:r>
        <w:rPr>
          <w:rFonts w:ascii="宋体" w:hAnsi="宋体"/>
        </w:rPr>
        <w:t>。</w:t>
      </w:r>
    </w:p>
    <w:p>
      <w:pPr>
        <w:spacing w:line="360" w:lineRule="auto"/>
        <w:ind w:firstLine="420" w:firstLineChars="200"/>
        <w:rPr>
          <w:rFonts w:hint="eastAsia" w:ascii="宋体" w:hAnsi="宋体"/>
        </w:rPr>
      </w:pPr>
      <w:r>
        <w:rPr>
          <w:rFonts w:hint="eastAsia"/>
        </w:rPr>
        <w:t>声环境：</w:t>
      </w:r>
      <w:r>
        <w:rPr>
          <w:rFonts w:hint="eastAsia" w:ascii="宋体" w:hAnsi="宋体"/>
        </w:rPr>
        <w:t>4个测点昼间噪声值为</w:t>
      </w:r>
      <w:r>
        <w:rPr>
          <w:rFonts w:hint="eastAsia"/>
        </w:rPr>
        <w:t>51.8</w:t>
      </w:r>
      <w:r>
        <w:t>～5</w:t>
      </w:r>
      <w:r>
        <w:rPr>
          <w:rFonts w:hint="eastAsia"/>
        </w:rPr>
        <w:t>6.8</w:t>
      </w:r>
      <w:r>
        <w:rPr>
          <w:rFonts w:hint="eastAsia" w:ascii="宋体" w:hAnsi="宋体"/>
        </w:rPr>
        <w:t>dB，夜间为</w:t>
      </w:r>
      <w:r>
        <w:rPr>
          <w:rFonts w:hint="eastAsia"/>
        </w:rPr>
        <w:t>41.3</w:t>
      </w:r>
      <w:r>
        <w:t>～</w:t>
      </w:r>
      <w:r>
        <w:rPr>
          <w:rFonts w:hint="eastAsia"/>
        </w:rPr>
        <w:t>48.5</w:t>
      </w:r>
      <w:r>
        <w:rPr>
          <w:rFonts w:hint="eastAsia" w:ascii="宋体" w:hAnsi="宋体"/>
        </w:rPr>
        <w:t>dB，昼夜间环境噪声均未超标，满足</w:t>
      </w:r>
      <w:r>
        <w:t>《</w:t>
      </w:r>
      <w:r>
        <w:rPr>
          <w:rFonts w:hint="eastAsia"/>
        </w:rPr>
        <w:t>声环境质量标准</w:t>
      </w:r>
      <w:r>
        <w:t>》</w:t>
      </w:r>
      <w:r>
        <w:rPr>
          <w:rFonts w:hint="eastAsia"/>
        </w:rPr>
        <w:t>（GB3096-2008）</w:t>
      </w:r>
      <w:r>
        <w:rPr>
          <w:rFonts w:hint="eastAsia" w:ascii="宋体" w:hAnsi="宋体"/>
        </w:rPr>
        <w:t>2类标准要求，技改项目所在地声学环境质量现状较好，有利于技改项目的建设。</w:t>
      </w:r>
    </w:p>
    <w:p>
      <w:pPr>
        <w:spacing w:before="24" w:beforeLines="10" w:after="24" w:afterLines="10" w:line="360" w:lineRule="auto"/>
        <w:rPr>
          <w:rFonts w:hint="eastAsia"/>
          <w:b/>
        </w:rPr>
      </w:pPr>
      <w:r>
        <w:rPr>
          <w:rFonts w:hint="eastAsia"/>
          <w:b/>
        </w:rPr>
        <w:t>16.1.5 污染防治措施</w:t>
      </w:r>
    </w:p>
    <w:p>
      <w:pPr>
        <w:spacing w:before="24" w:beforeLines="10" w:after="24" w:afterLines="10" w:line="360" w:lineRule="auto"/>
        <w:ind w:firstLine="480"/>
        <w:rPr>
          <w:rFonts w:hint="eastAsia"/>
        </w:rPr>
      </w:pPr>
      <w:r>
        <w:rPr>
          <w:rFonts w:hint="eastAsia"/>
        </w:rPr>
        <w:t>（1）大气污染物防治措施</w:t>
      </w:r>
    </w:p>
    <w:p>
      <w:pPr>
        <w:autoSpaceDE w:val="0"/>
        <w:autoSpaceDN w:val="0"/>
        <w:spacing w:line="360" w:lineRule="auto"/>
        <w:ind w:firstLine="420" w:firstLineChars="200"/>
        <w:textAlignment w:val="bottom"/>
        <w:rPr>
          <w:rFonts w:ascii="宋体" w:hAnsi="宋体" w:cs="Tunga"/>
        </w:rPr>
      </w:pPr>
      <w:r>
        <w:rPr>
          <w:rFonts w:ascii="宋体" w:hAnsi="宋体" w:cs="Tunga"/>
        </w:rPr>
        <w:t>为了有效地控制粉尘和烟尘的排放，以减轻对周围空气环境质量的影响，本</w:t>
      </w:r>
      <w:r>
        <w:rPr>
          <w:rFonts w:hint="eastAsia" w:ascii="宋体" w:hAnsi="宋体" w:cs="Tunga"/>
        </w:rPr>
        <w:t>技改项目</w:t>
      </w:r>
      <w:r>
        <w:rPr>
          <w:rFonts w:ascii="宋体" w:hAnsi="宋体" w:cs="Tunga"/>
        </w:rPr>
        <w:t>设计贯彻“以预防为主”的方针：从工艺流程上尽量减少扬尘环节；选择扬尘少的设备；粉状物料输送采用密闭式输送设备；物料转运点尽量降低排料落差，以减少粉尘飞扬；粉状物料储存采用密闭圆库；选用高效除尘设备处理含尘废气，以保证实现达标排放；厂区内的物料装卸、倒运及煤堆场等处在必要时采取喷水降尘或其它控制措施，以控制扬尘。</w:t>
      </w:r>
    </w:p>
    <w:p>
      <w:pPr>
        <w:spacing w:before="24" w:beforeLines="10" w:after="24" w:afterLines="10" w:line="360" w:lineRule="auto"/>
        <w:ind w:firstLine="480"/>
        <w:rPr>
          <w:rFonts w:hint="eastAsia"/>
        </w:rPr>
      </w:pPr>
      <w:r>
        <w:rPr>
          <w:rFonts w:ascii="宋体" w:hAnsi="宋体" w:cs="Tunga"/>
        </w:rPr>
        <w:t>在本</w:t>
      </w:r>
      <w:r>
        <w:rPr>
          <w:rFonts w:hint="eastAsia" w:ascii="宋体" w:hAnsi="宋体" w:cs="Tunga"/>
        </w:rPr>
        <w:t>技改</w:t>
      </w:r>
      <w:r>
        <w:rPr>
          <w:rFonts w:ascii="宋体" w:hAnsi="宋体" w:cs="Tunga"/>
        </w:rPr>
        <w:t>项目所有的烟粉尘排放点都设置了技术性能可靠、除尘效率高的收尘设备，可有效控制生产线上所有的扬尘点。生产线上共设置各类收尘器</w:t>
      </w:r>
      <w:r>
        <w:rPr>
          <w:rFonts w:hint="eastAsia" w:ascii="宋体" w:hAnsi="宋体" w:cs="Tunga"/>
        </w:rPr>
        <w:t>58</w:t>
      </w:r>
      <w:r>
        <w:rPr>
          <w:rFonts w:ascii="宋体" w:hAnsi="宋体" w:cs="Tunga"/>
        </w:rPr>
        <w:t>台，处理废气量为</w:t>
      </w:r>
      <w:r>
        <w:rPr>
          <w:rFonts w:hint="eastAsia" w:ascii="宋体" w:hAnsi="宋体" w:cs="Tunga"/>
        </w:rPr>
        <w:t>1312780</w:t>
      </w:r>
      <w:r>
        <w:rPr>
          <w:rFonts w:ascii="宋体" w:hAnsi="宋体" w:cs="Tunga"/>
        </w:rPr>
        <w:t>Nm</w:t>
      </w:r>
      <w:r>
        <w:rPr>
          <w:rFonts w:ascii="宋体" w:hAnsi="宋体" w:cs="Tunga"/>
          <w:vertAlign w:val="superscript"/>
        </w:rPr>
        <w:t>3</w:t>
      </w:r>
      <w:r>
        <w:rPr>
          <w:rFonts w:ascii="宋体" w:hAnsi="宋体" w:cs="Tunga"/>
        </w:rPr>
        <w:t>/h，除尘效率均在99.62%以上。除尘净化后的废气经排气筒外排，各个排尘点的排放浓度和吨产品排放量均严于《重庆市水泥工业大气污染物排放标准》（DB50/251-2007）的限值要求。</w:t>
      </w:r>
    </w:p>
    <w:p>
      <w:pPr>
        <w:spacing w:before="24" w:beforeLines="10" w:after="24" w:afterLines="10" w:line="360" w:lineRule="auto"/>
        <w:ind w:firstLine="480"/>
        <w:rPr>
          <w:rFonts w:hint="eastAsia"/>
        </w:rPr>
      </w:pPr>
      <w:r>
        <w:rPr>
          <w:rFonts w:hint="eastAsia"/>
        </w:rPr>
        <w:t>（2）废水处理措施</w:t>
      </w:r>
    </w:p>
    <w:p>
      <w:pPr>
        <w:spacing w:line="480" w:lineRule="exact"/>
        <w:ind w:firstLine="420" w:firstLineChars="200"/>
        <w:rPr>
          <w:rFonts w:hint="eastAsia" w:ascii="宋体" w:hAnsi="宋体"/>
        </w:rPr>
      </w:pPr>
      <w:r>
        <w:rPr>
          <w:rFonts w:hint="eastAsia"/>
        </w:rPr>
        <w:t>技改项目废水主要是工艺产生的循环冷却水、生活污水、辅助设施排水等。冷却水主要来自于需要冷却的高温、高速运转设备，如窑、各类磨机、空压机及部分仪表等，不外排。技改项目排放的废水为生活污水和辅助设施排水，设计上选用成熟的二级生化处理工艺(接触氧化法)处理达《污水综合排放标准》(GB8978—1996)中一级标准，污水经过二级生化处理装置处理后排入厂区</w:t>
      </w:r>
      <w:r>
        <w:rPr>
          <w:rFonts w:hint="eastAsia" w:ascii="宋体" w:hAnsi="宋体"/>
        </w:rPr>
        <w:t>北侧无名溪沟经玉石桥河最终汇入梁滩河。</w:t>
      </w:r>
    </w:p>
    <w:p>
      <w:pPr>
        <w:spacing w:before="24" w:beforeLines="10" w:after="24" w:afterLines="10" w:line="360" w:lineRule="auto"/>
        <w:ind w:firstLine="420" w:firstLineChars="200"/>
        <w:rPr>
          <w:rFonts w:hint="eastAsia"/>
          <w:b/>
        </w:rPr>
      </w:pPr>
      <w:r>
        <w:rPr>
          <w:rFonts w:hint="eastAsia"/>
        </w:rPr>
        <w:t>（3）</w:t>
      </w:r>
      <w:r>
        <w:rPr>
          <w:rFonts w:hint="eastAsia"/>
          <w:b/>
        </w:rPr>
        <w:t>噪声污染防治措施</w:t>
      </w:r>
    </w:p>
    <w:p>
      <w:pPr>
        <w:spacing w:line="360" w:lineRule="auto"/>
        <w:ind w:firstLine="516"/>
        <w:rPr>
          <w:rFonts w:hint="eastAsia"/>
        </w:rPr>
      </w:pPr>
      <w:r>
        <w:rPr>
          <w:rFonts w:hint="eastAsia"/>
        </w:rPr>
        <w:t>技改项目</w:t>
      </w:r>
      <w:r>
        <w:t>主要噪声</w:t>
      </w:r>
      <w:r>
        <w:rPr>
          <w:rFonts w:hint="eastAsia"/>
        </w:rPr>
        <w:t>源</w:t>
      </w:r>
      <w:r>
        <w:t>有破碎机、生料磨机、水泥磨机、煤磨机、高压离心风机、罗茨风机、空压机、大功率电机等设备产生的机械噪声、气动噪声和电磁声，声值一般在85~105dB(A)。项目部分设备安装在室内，车间墙壁有一定的隔声作用；场地主要噪声源水泥磨及循环风机、电机均安装在车间内，并利用地形、挡墙等隔声</w:t>
      </w:r>
      <w:r>
        <w:rPr>
          <w:rFonts w:hint="eastAsia"/>
        </w:rPr>
        <w:t>等综合措施，使噪声值降低15-30</w:t>
      </w:r>
      <w:r>
        <w:t>dB</w:t>
      </w:r>
      <w:r>
        <w:rPr>
          <w:rFonts w:hint="eastAsia"/>
        </w:rPr>
        <w:t>，控制在85</w:t>
      </w:r>
      <w:r>
        <w:t>dB</w:t>
      </w:r>
      <w:r>
        <w:rPr>
          <w:rFonts w:hint="eastAsia"/>
        </w:rPr>
        <w:t>及以下。</w:t>
      </w:r>
    </w:p>
    <w:p>
      <w:pPr>
        <w:spacing w:before="24" w:beforeLines="10" w:after="24" w:afterLines="10" w:line="360" w:lineRule="auto"/>
        <w:ind w:firstLine="422" w:firstLineChars="200"/>
        <w:rPr>
          <w:rFonts w:hint="eastAsia"/>
          <w:b/>
        </w:rPr>
      </w:pPr>
      <w:r>
        <w:rPr>
          <w:rFonts w:hint="eastAsia"/>
          <w:b/>
        </w:rPr>
        <w:t>（4）固体废物的处置措施</w:t>
      </w:r>
    </w:p>
    <w:p>
      <w:pPr>
        <w:spacing w:line="460" w:lineRule="exact"/>
        <w:ind w:firstLine="404" w:firstLineChars="200"/>
        <w:rPr>
          <w:rFonts w:hint="eastAsia"/>
          <w:spacing w:val="-4"/>
        </w:rPr>
      </w:pPr>
      <w:r>
        <w:rPr>
          <w:rFonts w:hint="eastAsia"/>
          <w:spacing w:val="-4"/>
        </w:rPr>
        <w:t>技改项目固体废物主要为除尘灰、生活污水处理污泥、</w:t>
      </w:r>
      <w:r>
        <w:rPr>
          <w:rFonts w:hint="eastAsia" w:ascii="宋体" w:hAnsi="宋体"/>
          <w:spacing w:val="-4"/>
        </w:rPr>
        <w:t>生活垃圾。</w:t>
      </w:r>
      <w:r>
        <w:rPr>
          <w:rFonts w:hint="eastAsia"/>
          <w:spacing w:val="-4"/>
        </w:rPr>
        <w:t>除尘灰采取收集后作生产原料回用或产品外售利用，不排放</w:t>
      </w:r>
      <w:r>
        <w:rPr>
          <w:rFonts w:hint="eastAsia" w:ascii="宋体" w:hAnsi="宋体"/>
          <w:spacing w:val="-4"/>
        </w:rPr>
        <w:t>；</w:t>
      </w:r>
      <w:r>
        <w:rPr>
          <w:rFonts w:hint="eastAsia"/>
          <w:spacing w:val="-4"/>
        </w:rPr>
        <w:t>生活污水处理污泥由于该污泥的成分与粘土类似，故可直接送水泥回转窑作水泥原料煅烧，不排放；全厂职工生活生活垃圾采取在厂区内设生活垃圾转运站，集中收集后，由青木关镇环卫部门送城市垃圾处理场卫生填埋。</w:t>
      </w:r>
    </w:p>
    <w:p>
      <w:pPr>
        <w:spacing w:before="24" w:beforeLines="10" w:after="24" w:afterLines="10" w:line="360" w:lineRule="auto"/>
        <w:rPr>
          <w:rFonts w:hint="eastAsia"/>
          <w:b/>
        </w:rPr>
      </w:pPr>
      <w:r>
        <w:rPr>
          <w:rFonts w:hint="eastAsia"/>
          <w:b/>
        </w:rPr>
        <w:t>16.1.6 环境影响预测预测结果</w:t>
      </w:r>
    </w:p>
    <w:p>
      <w:pPr>
        <w:spacing w:line="360" w:lineRule="auto"/>
        <w:rPr>
          <w:rFonts w:hint="eastAsia"/>
          <w:b/>
        </w:rPr>
      </w:pPr>
      <w:r>
        <w:rPr>
          <w:rFonts w:hint="eastAsia"/>
        </w:rPr>
        <w:t xml:space="preserve">    </w:t>
      </w:r>
      <w:r>
        <w:rPr>
          <w:rFonts w:hint="eastAsia"/>
          <w:b/>
        </w:rPr>
        <w:t>（1）环境空气</w:t>
      </w:r>
    </w:p>
    <w:p>
      <w:pPr>
        <w:adjustRightInd w:val="0"/>
        <w:snapToGrid w:val="0"/>
        <w:spacing w:line="360" w:lineRule="auto"/>
        <w:ind w:firstLine="420" w:firstLineChars="200"/>
      </w:pPr>
      <w:r>
        <w:rPr>
          <w:rFonts w:hint="eastAsia" w:ascii="宋体" w:hAnsi="宋体"/>
          <w:bCs/>
        </w:rPr>
        <w:t>①</w:t>
      </w:r>
      <w:r>
        <w:rPr>
          <w:rFonts w:hint="eastAsia"/>
          <w:bCs/>
        </w:rPr>
        <w:t>典型小时气象条件下：</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小时最大落地浓度影响值分别为</w:t>
      </w:r>
      <w:r>
        <w:rPr>
          <w:rFonts w:hint="eastAsia"/>
        </w:rPr>
        <w:t>0.1598</w:t>
      </w:r>
      <w:r>
        <w:t>mg/m</w:t>
      </w:r>
      <w:r>
        <w:rPr>
          <w:vertAlign w:val="superscript"/>
        </w:rPr>
        <w:t>3</w:t>
      </w:r>
      <w:r>
        <w:t>、</w:t>
      </w:r>
      <w:r>
        <w:rPr>
          <w:rFonts w:hint="eastAsia"/>
        </w:rPr>
        <w:t>0.0606</w:t>
      </w:r>
      <w:r>
        <w:t>mg/m</w:t>
      </w:r>
      <w:r>
        <w:rPr>
          <w:vertAlign w:val="superscript"/>
        </w:rPr>
        <w:t>3</w:t>
      </w:r>
      <w:r>
        <w:t>、</w:t>
      </w:r>
      <w:r>
        <w:rPr>
          <w:rFonts w:hint="eastAsia"/>
        </w:rPr>
        <w:t>0.4527</w:t>
      </w:r>
      <w:r>
        <w:t>mg/m</w:t>
      </w:r>
      <w:r>
        <w:rPr>
          <w:vertAlign w:val="superscript"/>
        </w:rPr>
        <w:t>3</w:t>
      </w:r>
      <w:r>
        <w:t>，</w:t>
      </w:r>
      <w:r>
        <w:rPr>
          <w:rFonts w:hint="eastAsia"/>
        </w:rPr>
        <w:t>其占标率分别为35.51%、12.12%和188.62%，</w:t>
      </w:r>
      <w:r>
        <w:t>小时浓度</w:t>
      </w:r>
      <w:r>
        <w:rPr>
          <w:rFonts w:hint="eastAsia"/>
        </w:rPr>
        <w:t>均能满足</w:t>
      </w:r>
      <w:r>
        <w:t>《环境空气质量标准》</w:t>
      </w:r>
      <w:r>
        <w:rPr>
          <w:rFonts w:hint="eastAsia"/>
        </w:rPr>
        <w:t>二级标准，NO</w:t>
      </w:r>
      <w:r>
        <w:rPr>
          <w:rFonts w:hint="eastAsia"/>
          <w:vertAlign w:val="subscript"/>
        </w:rPr>
        <w:t>2</w:t>
      </w:r>
      <w:r>
        <w:rPr>
          <w:rFonts w:hint="eastAsia"/>
        </w:rPr>
        <w:t>小时浓度超标，最大网格落地浓度在青木关镇柿子村附近。</w:t>
      </w:r>
    </w:p>
    <w:p>
      <w:pPr>
        <w:adjustRightInd w:val="0"/>
        <w:snapToGrid w:val="0"/>
        <w:spacing w:line="360" w:lineRule="auto"/>
        <w:ind w:firstLine="420" w:firstLineChars="200"/>
      </w:pPr>
      <w:r>
        <w:rPr>
          <w:rFonts w:hint="eastAsia" w:ascii="宋体" w:hAnsi="宋体"/>
          <w:bCs/>
        </w:rPr>
        <w:t>②</w:t>
      </w:r>
      <w:r>
        <w:rPr>
          <w:rFonts w:hint="eastAsia"/>
          <w:bCs/>
        </w:rPr>
        <w:t>典型日气象条件下：</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日均最大浓度影响值分别为</w:t>
      </w:r>
      <w:r>
        <w:rPr>
          <w:rFonts w:hint="eastAsia"/>
        </w:rPr>
        <w:t>0.0669</w:t>
      </w:r>
      <w:r>
        <w:t>mg/m</w:t>
      </w:r>
      <w:r>
        <w:rPr>
          <w:vertAlign w:val="superscript"/>
        </w:rPr>
        <w:t>3</w:t>
      </w:r>
      <w:r>
        <w:t>、0.</w:t>
      </w:r>
      <w:r>
        <w:rPr>
          <w:rFonts w:hint="eastAsia"/>
        </w:rPr>
        <w:t>0046</w:t>
      </w:r>
      <w:r>
        <w:t>mg/m</w:t>
      </w:r>
      <w:r>
        <w:rPr>
          <w:vertAlign w:val="superscript"/>
        </w:rPr>
        <w:t>3</w:t>
      </w:r>
      <w:r>
        <w:t>、0.0</w:t>
      </w:r>
      <w:r>
        <w:rPr>
          <w:rFonts w:hint="eastAsia"/>
        </w:rPr>
        <w:t>310</w:t>
      </w:r>
      <w:r>
        <w:t>mg/m</w:t>
      </w:r>
      <w:r>
        <w:rPr>
          <w:vertAlign w:val="superscript"/>
        </w:rPr>
        <w:t>3</w:t>
      </w:r>
      <w:r>
        <w:t>，</w:t>
      </w:r>
      <w:r>
        <w:rPr>
          <w:rFonts w:hint="eastAsia"/>
        </w:rPr>
        <w:t>其占标率分别</w:t>
      </w:r>
      <w:r>
        <w:t>占相应标准限值的</w:t>
      </w:r>
      <w:r>
        <w:rPr>
          <w:rFonts w:hint="eastAsia"/>
        </w:rPr>
        <w:t>44.6%、3.07</w:t>
      </w:r>
      <w:r>
        <w:t>%和</w:t>
      </w:r>
      <w:r>
        <w:rPr>
          <w:rFonts w:hint="eastAsia"/>
        </w:rPr>
        <w:t>25.83</w:t>
      </w:r>
      <w:r>
        <w:t>%，符合《环境空气质量标准》(GB3095-1996)中的二级标准要求。</w:t>
      </w:r>
    </w:p>
    <w:p>
      <w:pPr>
        <w:spacing w:line="360" w:lineRule="auto"/>
        <w:ind w:firstLine="420" w:firstLineChars="200"/>
        <w:rPr>
          <w:rFonts w:hint="eastAsia"/>
        </w:rPr>
      </w:pPr>
      <w:r>
        <w:rPr>
          <w:rFonts w:hint="eastAsia" w:ascii="宋体" w:hAnsi="宋体"/>
        </w:rPr>
        <w:t>③</w:t>
      </w:r>
      <w:r>
        <w:t>PM</w:t>
      </w:r>
      <w:r>
        <w:rPr>
          <w:vertAlign w:val="subscript"/>
        </w:rPr>
        <w:t>10</w:t>
      </w:r>
      <w:r>
        <w:rPr>
          <w:rFonts w:hint="eastAsia"/>
        </w:rPr>
        <w:t>、</w:t>
      </w:r>
      <w:r>
        <w:t>SO</w:t>
      </w:r>
      <w:r>
        <w:rPr>
          <w:vertAlign w:val="subscript"/>
        </w:rPr>
        <w:t>2</w:t>
      </w:r>
      <w:r>
        <w:rPr>
          <w:rFonts w:hint="eastAsia"/>
        </w:rPr>
        <w:t>和NO</w:t>
      </w:r>
      <w:r>
        <w:rPr>
          <w:rFonts w:hint="eastAsia"/>
          <w:vertAlign w:val="subscript"/>
        </w:rPr>
        <w:t>2</w:t>
      </w:r>
      <w:r>
        <w:t>年平均浓度最大贡献值分别为</w:t>
      </w:r>
      <w:r>
        <w:rPr>
          <w:rFonts w:hint="eastAsia"/>
        </w:rPr>
        <w:t>0.0162</w:t>
      </w:r>
      <w:r>
        <w:t>mg/m</w:t>
      </w:r>
      <w:r>
        <w:rPr>
          <w:vertAlign w:val="superscript"/>
        </w:rPr>
        <w:t>3</w:t>
      </w:r>
      <w:r>
        <w:t>、</w:t>
      </w:r>
      <w:r>
        <w:rPr>
          <w:rFonts w:hint="eastAsia"/>
        </w:rPr>
        <w:t>0.0002</w:t>
      </w:r>
      <w:r>
        <w:t>mg/m</w:t>
      </w:r>
      <w:r>
        <w:rPr>
          <w:vertAlign w:val="superscript"/>
        </w:rPr>
        <w:t>3</w:t>
      </w:r>
      <w:r>
        <w:t>、和</w:t>
      </w:r>
      <w:r>
        <w:rPr>
          <w:rFonts w:hint="eastAsia"/>
        </w:rPr>
        <w:t>0.0259</w:t>
      </w:r>
      <w:r>
        <w:t>mg/m</w:t>
      </w:r>
      <w:r>
        <w:rPr>
          <w:vertAlign w:val="superscript"/>
        </w:rPr>
        <w:t>3</w:t>
      </w:r>
      <w:r>
        <w:t>，PM</w:t>
      </w:r>
      <w:r>
        <w:rPr>
          <w:vertAlign w:val="subscript"/>
        </w:rPr>
        <w:t>10</w:t>
      </w:r>
      <w:r>
        <w:rPr>
          <w:rFonts w:hint="eastAsia"/>
        </w:rPr>
        <w:t>、</w:t>
      </w:r>
      <w:r>
        <w:t>SO</w:t>
      </w:r>
      <w:r>
        <w:rPr>
          <w:vertAlign w:val="subscript"/>
        </w:rPr>
        <w:t>2</w:t>
      </w:r>
      <w:r>
        <w:t>和</w:t>
      </w:r>
      <w:r>
        <w:rPr>
          <w:rFonts w:hint="eastAsia"/>
        </w:rPr>
        <w:t>NO</w:t>
      </w:r>
      <w:r>
        <w:rPr>
          <w:rFonts w:hint="eastAsia"/>
          <w:vertAlign w:val="subscript"/>
        </w:rPr>
        <w:t>2</w:t>
      </w:r>
      <w:r>
        <w:t>分别占《环境空气质量标准》（GB3095-1996）二级标准限值的</w:t>
      </w:r>
      <w:r>
        <w:rPr>
          <w:rFonts w:hint="eastAsia"/>
        </w:rPr>
        <w:t>16.2%、0.33</w:t>
      </w:r>
      <w:r>
        <w:t>%和</w:t>
      </w:r>
      <w:r>
        <w:rPr>
          <w:rFonts w:hint="eastAsia"/>
        </w:rPr>
        <w:t>32.38</w:t>
      </w:r>
      <w:r>
        <w:t>%。</w:t>
      </w:r>
    </w:p>
    <w:p>
      <w:pPr>
        <w:spacing w:line="360" w:lineRule="auto"/>
        <w:ind w:firstLine="420" w:firstLineChars="200"/>
        <w:rPr>
          <w:rFonts w:hint="eastAsia"/>
        </w:rPr>
      </w:pPr>
      <w:r>
        <w:rPr>
          <w:rFonts w:hint="eastAsia" w:ascii="宋体" w:hAnsi="宋体"/>
        </w:rPr>
        <w:t>④</w:t>
      </w:r>
      <w:r>
        <w:t>PM</w:t>
      </w:r>
      <w:r>
        <w:rPr>
          <w:vertAlign w:val="subscript"/>
        </w:rPr>
        <w:t>10</w:t>
      </w:r>
      <w:r>
        <w:rPr>
          <w:rFonts w:hint="eastAsia"/>
        </w:rPr>
        <w:t>和</w:t>
      </w:r>
      <w:r>
        <w:t>SO</w:t>
      </w:r>
      <w:r>
        <w:rPr>
          <w:vertAlign w:val="subscript"/>
        </w:rPr>
        <w:t>2</w:t>
      </w:r>
      <w:r>
        <w:rPr>
          <w:rFonts w:hint="eastAsia"/>
        </w:rPr>
        <w:t>在各关心点的小时最大浓度影响值、日均最大浓度影响值、年均影响浓度、NO</w:t>
      </w:r>
      <w:r>
        <w:rPr>
          <w:rFonts w:hint="eastAsia"/>
          <w:vertAlign w:val="subscript"/>
        </w:rPr>
        <w:t>2</w:t>
      </w:r>
      <w:r>
        <w:rPr>
          <w:rFonts w:hint="eastAsia"/>
        </w:rPr>
        <w:t>的日均最大浓度影响值、年均影响浓度均未出现超标；NO</w:t>
      </w:r>
      <w:r>
        <w:rPr>
          <w:rFonts w:hint="eastAsia"/>
          <w:vertAlign w:val="subscript"/>
        </w:rPr>
        <w:t>2</w:t>
      </w:r>
      <w:r>
        <w:rPr>
          <w:rFonts w:hint="eastAsia"/>
        </w:rPr>
        <w:t>的小时最大浓度影响值在部分敏感点出现超标，但超标频率很低，持续时间不长，对敏感点影响很小。</w:t>
      </w:r>
    </w:p>
    <w:p>
      <w:pPr>
        <w:spacing w:line="360" w:lineRule="auto"/>
        <w:ind w:firstLine="420" w:firstLineChars="200"/>
        <w:rPr>
          <w:rFonts w:hint="eastAsia"/>
          <w:snapToGrid w:val="0"/>
          <w:kern w:val="0"/>
        </w:rPr>
      </w:pPr>
      <w:r>
        <w:rPr>
          <w:rFonts w:hint="eastAsia" w:ascii="宋体" w:hAnsi="宋体"/>
          <w:bCs/>
        </w:rPr>
        <w:t>⑤通过</w:t>
      </w:r>
      <w:r>
        <w:rPr>
          <w:rFonts w:hint="eastAsia"/>
        </w:rPr>
        <w:t>对技改前后水泥生产线对周边各敏感点的小时</w:t>
      </w:r>
      <w:r>
        <w:t>最大浓度</w:t>
      </w:r>
      <w:r>
        <w:rPr>
          <w:rFonts w:hint="eastAsia"/>
        </w:rPr>
        <w:t>、</w:t>
      </w:r>
      <w:r>
        <w:t>日均最大浓度</w:t>
      </w:r>
      <w:r>
        <w:rPr>
          <w:rFonts w:hint="eastAsia"/>
        </w:rPr>
        <w:t>和年均影响浓度进行对比预测表明，</w:t>
      </w:r>
      <w:r>
        <w:rPr>
          <w:rFonts w:hint="eastAsia"/>
          <w:snapToGrid w:val="0"/>
          <w:kern w:val="0"/>
        </w:rPr>
        <w:t>技改项目建成后</w:t>
      </w:r>
      <w:r>
        <w:rPr>
          <w:snapToGrid w:val="0"/>
          <w:kern w:val="0"/>
        </w:rPr>
        <w:t>PM</w:t>
      </w:r>
      <w:r>
        <w:rPr>
          <w:snapToGrid w:val="0"/>
          <w:kern w:val="0"/>
          <w:vertAlign w:val="subscript"/>
        </w:rPr>
        <w:t>10</w:t>
      </w:r>
      <w:r>
        <w:rPr>
          <w:rFonts w:hint="eastAsia"/>
          <w:snapToGrid w:val="0"/>
          <w:kern w:val="0"/>
        </w:rPr>
        <w:t>、</w:t>
      </w:r>
      <w:r>
        <w:rPr>
          <w:snapToGrid w:val="0"/>
          <w:kern w:val="0"/>
        </w:rPr>
        <w:t>SO</w:t>
      </w:r>
      <w:r>
        <w:rPr>
          <w:snapToGrid w:val="0"/>
          <w:kern w:val="0"/>
          <w:vertAlign w:val="subscript"/>
        </w:rPr>
        <w:t>2</w:t>
      </w:r>
      <w:r>
        <w:rPr>
          <w:rFonts w:hint="eastAsia"/>
          <w:snapToGrid w:val="0"/>
          <w:kern w:val="0"/>
        </w:rPr>
        <w:t>对各敏感点的影响明显减少，但是NO</w:t>
      </w:r>
      <w:r>
        <w:rPr>
          <w:rFonts w:hint="eastAsia"/>
          <w:snapToGrid w:val="0"/>
          <w:kern w:val="0"/>
          <w:vertAlign w:val="subscript"/>
        </w:rPr>
        <w:t>2</w:t>
      </w:r>
      <w:r>
        <w:rPr>
          <w:rFonts w:hint="eastAsia"/>
          <w:snapToGrid w:val="0"/>
          <w:kern w:val="0"/>
        </w:rPr>
        <w:t>对敏感点影响值增加明显。</w:t>
      </w:r>
    </w:p>
    <w:p>
      <w:pPr>
        <w:autoSpaceDE w:val="0"/>
        <w:autoSpaceDN w:val="0"/>
        <w:adjustRightInd w:val="0"/>
        <w:spacing w:line="480" w:lineRule="exact"/>
        <w:ind w:firstLine="420" w:firstLineChars="200"/>
        <w:jc w:val="left"/>
        <w:rPr>
          <w:rFonts w:hint="eastAsia"/>
        </w:rPr>
      </w:pPr>
      <w:r>
        <w:rPr>
          <w:rFonts w:hint="eastAsia" w:ascii="宋体" w:hAnsi="宋体"/>
          <w:snapToGrid w:val="0"/>
          <w:kern w:val="0"/>
        </w:rPr>
        <w:t>⑥非正常工况下，</w:t>
      </w:r>
      <w:r>
        <w:t>各评价点的</w:t>
      </w:r>
      <w:r>
        <w:rPr>
          <w:rFonts w:hint="eastAsia"/>
        </w:rPr>
        <w:t>PM</w:t>
      </w:r>
      <w:r>
        <w:rPr>
          <w:rFonts w:hint="eastAsia"/>
          <w:vertAlign w:val="subscript"/>
        </w:rPr>
        <w:t>10</w:t>
      </w:r>
      <w:r>
        <w:t>小时最大影响值较正常排放时有明显增加，尤其是</w:t>
      </w:r>
      <w:r>
        <w:rPr>
          <w:rFonts w:hint="eastAsia"/>
          <w:kern w:val="0"/>
        </w:rPr>
        <w:t>在福里树村、殷家老院子、青鹏煤业公司和青木关镇</w:t>
      </w:r>
      <w:r>
        <w:rPr>
          <w:kern w:val="0"/>
        </w:rPr>
        <w:t>，这种</w:t>
      </w:r>
      <w:r>
        <w:t>情况应引起企业的高度重视，尽量减少</w:t>
      </w:r>
      <w:r>
        <w:rPr>
          <w:rFonts w:hint="eastAsia"/>
        </w:rPr>
        <w:t>布袋除尘系统故障</w:t>
      </w:r>
      <w:r>
        <w:t>的发生。</w:t>
      </w:r>
      <w:r>
        <w:rPr>
          <w:rFonts w:hint="eastAsia"/>
        </w:rPr>
        <w:t>由于事故排放产生的污染属短时污染，对环境的影响相对较小。</w:t>
      </w:r>
    </w:p>
    <w:p>
      <w:pPr>
        <w:spacing w:line="460" w:lineRule="exact"/>
        <w:ind w:firstLine="422" w:firstLineChars="200"/>
        <w:rPr>
          <w:rFonts w:hint="eastAsia"/>
          <w:b/>
          <w:bCs/>
        </w:rPr>
      </w:pPr>
      <w:r>
        <w:rPr>
          <w:rFonts w:hint="eastAsia" w:ascii="宋体" w:hAnsi="宋体"/>
          <w:b/>
          <w:bCs/>
        </w:rPr>
        <w:t>⑦</w:t>
      </w:r>
      <w:r>
        <w:rPr>
          <w:rFonts w:hint="eastAsia"/>
          <w:kern w:val="0"/>
        </w:rPr>
        <w:t>技改</w:t>
      </w:r>
      <w:r>
        <w:rPr>
          <w:kern w:val="0"/>
        </w:rPr>
        <w:t>项目最终确定的大气环境防护距离为距</w:t>
      </w:r>
      <w:r>
        <w:rPr>
          <w:rFonts w:hint="eastAsia"/>
          <w:kern w:val="0"/>
        </w:rPr>
        <w:t>石灰石堆场200</w:t>
      </w:r>
      <w:r>
        <w:rPr>
          <w:kern w:val="0"/>
        </w:rPr>
        <w:t>m，</w:t>
      </w:r>
      <w:r>
        <w:rPr>
          <w:rFonts w:hint="eastAsia"/>
          <w:kern w:val="0"/>
        </w:rPr>
        <w:t>根据现场调查，目前大气防护距离内无居住户，本评价要求</w:t>
      </w:r>
      <w:r>
        <w:rPr>
          <w:rFonts w:hint="eastAsia"/>
        </w:rPr>
        <w:t>在划定的大气防护距离内今后不能规划对粉尘废气敏感的居民区、学校、医院等环境敏感点以及食品、医药企业。</w:t>
      </w:r>
    </w:p>
    <w:p>
      <w:pPr>
        <w:spacing w:line="360" w:lineRule="auto"/>
        <w:ind w:firstLine="413" w:firstLineChars="196"/>
        <w:rPr>
          <w:rFonts w:hint="eastAsia"/>
          <w:b/>
        </w:rPr>
      </w:pPr>
      <w:r>
        <w:rPr>
          <w:rFonts w:hint="eastAsia"/>
          <w:b/>
        </w:rPr>
        <w:t>（2）地表水</w:t>
      </w:r>
    </w:p>
    <w:p>
      <w:pPr>
        <w:spacing w:line="360" w:lineRule="auto"/>
        <w:ind w:firstLine="420" w:firstLineChars="200"/>
        <w:rPr>
          <w:rFonts w:hint="eastAsia"/>
        </w:rPr>
      </w:pPr>
      <w:r>
        <w:rPr>
          <w:rFonts w:hint="eastAsia"/>
        </w:rPr>
        <w:t>影响分析表明，技改项目建成生产时，达标后的废水排入厂区北侧无名溪沟，对其影响很小，不会改变其水质现状。</w:t>
      </w:r>
    </w:p>
    <w:p>
      <w:pPr>
        <w:spacing w:line="360" w:lineRule="auto"/>
        <w:ind w:firstLine="413" w:firstLineChars="196"/>
        <w:jc w:val="left"/>
        <w:rPr>
          <w:rFonts w:hint="eastAsia"/>
          <w:b/>
          <w:bCs/>
        </w:rPr>
      </w:pPr>
      <w:r>
        <w:rPr>
          <w:rFonts w:hint="eastAsia"/>
          <w:b/>
          <w:bCs/>
        </w:rPr>
        <w:t>（3）声环境</w:t>
      </w:r>
    </w:p>
    <w:p>
      <w:pPr>
        <w:spacing w:line="360" w:lineRule="auto"/>
        <w:ind w:firstLine="482"/>
        <w:rPr>
          <w:rFonts w:hint="eastAsia"/>
        </w:rPr>
      </w:pPr>
      <w:r>
        <w:rPr>
          <w:rFonts w:hint="eastAsia"/>
        </w:rPr>
        <w:t>预测结果表明，技改项目投入运行后，按《工业企业厂界噪声标准》（GB12348-2008）中2类标准评价，昼间厂界噪声均能达标；夜间噪声西厂界超标，超标4.5dB。由表8-23的预测结果可知，按《声环境质量标准》（GB3096-2008）中2类标准评价，评价范围内的声环境敏感点噪声影响值较小，与背景噪声值叠加后，昼夜均能达标，不会造成噪声扰民现象的发生。</w:t>
      </w:r>
    </w:p>
    <w:p>
      <w:pPr>
        <w:spacing w:line="360" w:lineRule="auto"/>
        <w:ind w:firstLine="422" w:firstLineChars="200"/>
        <w:rPr>
          <w:rFonts w:hint="eastAsia"/>
          <w:b/>
        </w:rPr>
      </w:pPr>
      <w:r>
        <w:rPr>
          <w:rFonts w:hint="eastAsia"/>
          <w:b/>
        </w:rPr>
        <w:t>（4）固体废物</w:t>
      </w:r>
    </w:p>
    <w:p>
      <w:pPr>
        <w:spacing w:line="360" w:lineRule="auto"/>
        <w:ind w:left="31" w:leftChars="15" w:firstLine="420" w:firstLineChars="200"/>
        <w:rPr>
          <w:rFonts w:hint="eastAsia"/>
        </w:rPr>
      </w:pPr>
      <w:r>
        <w:rPr>
          <w:rFonts w:hint="eastAsia"/>
        </w:rPr>
        <w:t>技改项目的工业固体废物全部进行了有效的回收利用，体现了国家“变废为宝、综合利用”的原则，不会对周围环境造成污染影响。</w:t>
      </w:r>
    </w:p>
    <w:p>
      <w:pPr>
        <w:spacing w:line="360" w:lineRule="auto"/>
        <w:ind w:left="31" w:leftChars="15" w:firstLine="420" w:firstLineChars="200"/>
        <w:rPr>
          <w:rFonts w:hint="eastAsia"/>
        </w:rPr>
      </w:pPr>
      <w:r>
        <w:rPr>
          <w:rFonts w:hint="eastAsia"/>
        </w:rPr>
        <w:t>采取在厂区内设生活垃圾转运站，集中收集职工生活垃圾后，由青木关镇环卫部门送城市垃圾处理场卫生填埋，满足相关环保管理要求，对厂区和外环境影响很小。</w:t>
      </w:r>
    </w:p>
    <w:p>
      <w:pPr>
        <w:spacing w:line="360" w:lineRule="auto"/>
        <w:ind w:left="31" w:leftChars="15" w:firstLine="420" w:firstLineChars="200"/>
        <w:rPr>
          <w:rFonts w:hint="eastAsia"/>
          <w:b/>
          <w:bCs/>
        </w:rPr>
      </w:pPr>
      <w:r>
        <w:rPr>
          <w:rFonts w:hint="eastAsia"/>
        </w:rPr>
        <w:t>（5）</w:t>
      </w:r>
      <w:r>
        <w:rPr>
          <w:rFonts w:hint="eastAsia"/>
          <w:b/>
          <w:bCs/>
        </w:rPr>
        <w:t>生态环境影响分析</w:t>
      </w:r>
    </w:p>
    <w:p>
      <w:pPr>
        <w:adjustRightInd w:val="0"/>
        <w:snapToGrid w:val="0"/>
        <w:spacing w:line="360" w:lineRule="auto"/>
        <w:ind w:firstLine="420" w:firstLineChars="200"/>
      </w:pPr>
      <w:r>
        <w:rPr>
          <w:rFonts w:hint="eastAsia"/>
        </w:rPr>
        <w:t>本技改项目</w:t>
      </w:r>
      <w:r>
        <w:t>采用五级旋风预热器和分解炉</w:t>
      </w:r>
      <w:r>
        <w:rPr>
          <w:rFonts w:hint="eastAsia"/>
        </w:rPr>
        <w:t>组成窑外分解系统，</w:t>
      </w:r>
      <w:r>
        <w:t>该系统对硫的吸收率</w:t>
      </w:r>
      <w:r>
        <w:rPr>
          <w:rFonts w:hint="eastAsia"/>
        </w:rPr>
        <w:t>为95％，</w:t>
      </w:r>
      <w:r>
        <w:t>拟建工程</w:t>
      </w:r>
      <w:r>
        <w:rPr>
          <w:rFonts w:hint="eastAsia"/>
        </w:rPr>
        <w:t>外</w:t>
      </w:r>
      <w:r>
        <w:t>排</w:t>
      </w:r>
      <w:r>
        <w:rPr>
          <w:rFonts w:hint="eastAsia"/>
        </w:rPr>
        <w:t>的</w:t>
      </w:r>
      <w:r>
        <w:t>SO</w:t>
      </w:r>
      <w:r>
        <w:rPr>
          <w:vertAlign w:val="subscript"/>
        </w:rPr>
        <w:t>2</w:t>
      </w:r>
      <w:r>
        <w:t>总量为</w:t>
      </w:r>
      <w:r>
        <w:rPr>
          <w:rFonts w:hint="eastAsia"/>
        </w:rPr>
        <w:t>216.96</w:t>
      </w:r>
      <w:r>
        <w:t xml:space="preserve"> t/a</w:t>
      </w:r>
      <w:r>
        <w:rPr>
          <w:rFonts w:hint="eastAsia"/>
        </w:rPr>
        <w:t>。</w:t>
      </w:r>
      <w:r>
        <w:t>由环境空气质量影响预测评价可知，</w:t>
      </w:r>
      <w:r>
        <w:rPr>
          <w:rFonts w:hint="eastAsia"/>
        </w:rPr>
        <w:t>工程外排的</w:t>
      </w:r>
      <w:r>
        <w:t>SO</w:t>
      </w:r>
      <w:r>
        <w:rPr>
          <w:vertAlign w:val="subscript"/>
        </w:rPr>
        <w:t>2</w:t>
      </w:r>
      <w:r>
        <w:rPr>
          <w:rFonts w:hint="eastAsia"/>
        </w:rPr>
        <w:t>小时最大浓度</w:t>
      </w:r>
      <w:r>
        <w:t>为</w:t>
      </w:r>
      <w:r>
        <w:rPr>
          <w:rFonts w:hint="eastAsia"/>
        </w:rPr>
        <w:t>0.0606</w:t>
      </w:r>
      <w:r>
        <w:t>mg/m3，对植被和农作物的影响甚微。</w:t>
      </w:r>
    </w:p>
    <w:p>
      <w:pPr>
        <w:adjustRightInd w:val="0"/>
        <w:snapToGrid w:val="0"/>
        <w:spacing w:line="360" w:lineRule="auto"/>
        <w:ind w:firstLine="404" w:firstLineChars="200"/>
        <w:rPr>
          <w:rFonts w:hint="eastAsia"/>
          <w:spacing w:val="-4"/>
        </w:rPr>
      </w:pPr>
      <w:r>
        <w:rPr>
          <w:rFonts w:hint="eastAsia"/>
          <w:spacing w:val="-4"/>
        </w:rPr>
        <w:t>技改项目用</w:t>
      </w:r>
      <w:r>
        <w:rPr>
          <w:spacing w:val="-4"/>
        </w:rPr>
        <w:t>地</w:t>
      </w:r>
      <w:r>
        <w:rPr>
          <w:rFonts w:hint="eastAsia"/>
          <w:spacing w:val="-4"/>
        </w:rPr>
        <w:t>位于渝遂高速公路南侧，且渝遂高速公路相对位置较高，因此技改项目对渝遂高速公路的景观影响较大。但由于本项目为技改项目，由先进的新型干法旋窑生产线替代落后的机立窑生产线，厂区建设将更加规范，对产生的废气</w:t>
      </w:r>
      <w:r>
        <w:rPr>
          <w:spacing w:val="-4"/>
        </w:rPr>
        <w:t>均采取有效、可靠的治理措施</w:t>
      </w:r>
      <w:r>
        <w:rPr>
          <w:rFonts w:hint="eastAsia"/>
          <w:spacing w:val="-4"/>
        </w:rPr>
        <w:t>，同时将对350米以上的空地进行绿化，项目建成后将一改往日的浓烟滚滚，扬尘弥漫的景象，取而代之的是花园是工厂，因此，项目建设带来的景观正效益明显。</w:t>
      </w:r>
    </w:p>
    <w:p>
      <w:pPr>
        <w:spacing w:line="360" w:lineRule="auto"/>
        <w:ind w:left="31" w:leftChars="15" w:firstLine="420" w:firstLineChars="200"/>
        <w:rPr>
          <w:rFonts w:hint="eastAsia"/>
          <w:b/>
          <w:bCs/>
        </w:rPr>
      </w:pPr>
      <w:r>
        <w:rPr>
          <w:rFonts w:hint="eastAsia"/>
        </w:rPr>
        <w:t>（6）</w:t>
      </w:r>
      <w:r>
        <w:rPr>
          <w:b/>
          <w:bCs/>
        </w:rPr>
        <w:t>运输对环境的影响分析</w:t>
      </w:r>
    </w:p>
    <w:p>
      <w:pPr>
        <w:adjustRightInd w:val="0"/>
        <w:snapToGrid w:val="0"/>
        <w:spacing w:line="360" w:lineRule="auto"/>
        <w:ind w:firstLine="420" w:firstLineChars="200"/>
        <w:rPr>
          <w:rFonts w:hint="eastAsia"/>
        </w:rPr>
      </w:pPr>
      <w:r>
        <w:rPr>
          <w:rFonts w:hint="eastAsia"/>
        </w:rPr>
        <w:t>技改项目</w:t>
      </w:r>
      <w:r>
        <w:t>运入的原辅材料</w:t>
      </w:r>
      <w:r>
        <w:rPr>
          <w:rFonts w:hint="eastAsia"/>
        </w:rPr>
        <w:t>除煤矸石外，其余均采用汽车运输，汽车在运输过程中产生的扬尘和噪声对</w:t>
      </w:r>
      <w:r>
        <w:t>公路沿线环境空气</w:t>
      </w:r>
      <w:r>
        <w:rPr>
          <w:rFonts w:hint="eastAsia"/>
        </w:rPr>
        <w:t>和声环境质量将</w:t>
      </w:r>
      <w:r>
        <w:t>产生</w:t>
      </w:r>
      <w:r>
        <w:rPr>
          <w:rFonts w:hint="eastAsia"/>
        </w:rPr>
        <w:t>一定的</w:t>
      </w:r>
      <w:r>
        <w:t>影响。</w:t>
      </w:r>
      <w:r>
        <w:rPr>
          <w:rFonts w:hint="eastAsia"/>
        </w:rPr>
        <w:t>只要建设单位按本评价的防尘和降噪措施可将影响控制到较小的程度，环境可以接受。</w:t>
      </w:r>
    </w:p>
    <w:p>
      <w:pPr>
        <w:spacing w:before="24" w:beforeLines="10" w:after="24" w:afterLines="10" w:line="360" w:lineRule="auto"/>
        <w:rPr>
          <w:rFonts w:hint="eastAsia"/>
          <w:b/>
        </w:rPr>
      </w:pPr>
      <w:r>
        <w:rPr>
          <w:rFonts w:hint="eastAsia"/>
          <w:b/>
        </w:rPr>
        <w:t>16.1.7公众参与</w:t>
      </w:r>
    </w:p>
    <w:p>
      <w:pPr>
        <w:spacing w:line="360" w:lineRule="auto"/>
        <w:ind w:firstLine="420" w:firstLineChars="200"/>
        <w:rPr>
          <w:rFonts w:hint="eastAsia" w:ascii="宋体" w:hAnsi="宋体"/>
        </w:rPr>
      </w:pPr>
      <w:r>
        <w:rPr>
          <w:rFonts w:hint="eastAsia" w:ascii="宋体" w:hAnsi="宋体"/>
        </w:rPr>
        <w:t>技改项目的建成将对促进区域经济快速发展发挥重要作用，参与调查的所有公众支持技改项目的建设，认为技改项目选址是合理或基本合理，希望早日开工建设，能够为当地就业和发展带来方便和机遇。</w:t>
      </w:r>
    </w:p>
    <w:p>
      <w:pPr>
        <w:spacing w:before="24" w:beforeLines="10" w:after="24" w:afterLines="10" w:line="360" w:lineRule="auto"/>
        <w:rPr>
          <w:rFonts w:hint="eastAsia"/>
          <w:b/>
        </w:rPr>
      </w:pPr>
      <w:r>
        <w:rPr>
          <w:rFonts w:hint="eastAsia"/>
          <w:b/>
        </w:rPr>
        <w:t>16.1.8环境经济损益分析</w:t>
      </w:r>
    </w:p>
    <w:p>
      <w:pPr>
        <w:spacing w:line="360" w:lineRule="auto"/>
        <w:ind w:firstLine="420" w:firstLineChars="200"/>
        <w:rPr>
          <w:rFonts w:hint="eastAsia"/>
        </w:rPr>
      </w:pPr>
      <w:r>
        <w:rPr>
          <w:rFonts w:hint="eastAsia"/>
        </w:rPr>
        <w:t>技改项目环保总投资为3490万元，占项目总投资的9.1％。</w:t>
      </w:r>
    </w:p>
    <w:p>
      <w:pPr>
        <w:spacing w:line="360" w:lineRule="auto"/>
        <w:ind w:firstLine="420" w:firstLineChars="200"/>
        <w:rPr>
          <w:rFonts w:hint="eastAsia" w:ascii="宋体" w:hAnsi="宋体"/>
        </w:rPr>
      </w:pPr>
      <w:r>
        <w:rPr>
          <w:rFonts w:hint="eastAsia" w:ascii="宋体" w:hAnsi="宋体"/>
        </w:rPr>
        <w:t>环保措施效益7424.04万元／</w:t>
      </w:r>
      <w:r>
        <w:rPr>
          <w:rFonts w:ascii="宋体" w:hAnsi="宋体"/>
        </w:rPr>
        <w:t>a</w:t>
      </w:r>
      <w:r>
        <w:rPr>
          <w:rFonts w:hint="eastAsia" w:ascii="宋体" w:hAnsi="宋体"/>
        </w:rPr>
        <w:t>与其费用767.8万元／</w:t>
      </w:r>
      <w:r>
        <w:rPr>
          <w:rFonts w:ascii="宋体" w:hAnsi="宋体"/>
        </w:rPr>
        <w:t>a</w:t>
      </w:r>
      <w:r>
        <w:rPr>
          <w:rFonts w:hint="eastAsia" w:ascii="宋体" w:hAnsi="宋体"/>
        </w:rPr>
        <w:t>之比为9.7:</w:t>
      </w:r>
      <w:r>
        <w:rPr>
          <w:rFonts w:ascii="宋体" w:hAnsi="宋体"/>
        </w:rPr>
        <w:t>1</w:t>
      </w:r>
      <w:r>
        <w:rPr>
          <w:rFonts w:hint="eastAsia" w:ascii="宋体" w:hAnsi="宋体"/>
        </w:rPr>
        <w:t>，远大于1，表明技改项目的环保措施综合经济效益指标良好，可实现环保设施的经济运行。</w:t>
      </w:r>
    </w:p>
    <w:p>
      <w:pPr>
        <w:spacing w:before="24" w:beforeLines="10" w:after="24" w:afterLines="10" w:line="360" w:lineRule="auto"/>
        <w:rPr>
          <w:rFonts w:hint="eastAsia"/>
          <w:b/>
        </w:rPr>
      </w:pPr>
      <w:bookmarkStart w:id="555" w:name="_Toc4832225"/>
      <w:r>
        <w:rPr>
          <w:rFonts w:hint="eastAsia"/>
          <w:b/>
        </w:rPr>
        <w:t>16.1.9 污染物排放总量控制</w:t>
      </w:r>
      <w:bookmarkEnd w:id="555"/>
    </w:p>
    <w:p>
      <w:pPr>
        <w:tabs>
          <w:tab w:val="left" w:pos="3960"/>
          <w:tab w:val="left" w:pos="4500"/>
        </w:tabs>
        <w:spacing w:line="360" w:lineRule="auto"/>
        <w:ind w:firstLine="420" w:firstLineChars="200"/>
        <w:rPr>
          <w:rFonts w:hint="eastAsia"/>
        </w:rPr>
      </w:pPr>
      <w:r>
        <w:rPr>
          <w:rFonts w:hint="eastAsia"/>
        </w:rPr>
        <w:t>通过分析表明，</w:t>
      </w:r>
      <w:r>
        <w:t>技改项目污染物排放总量按最终排放量控制是可行的，其总量控制建议指标为：</w:t>
      </w:r>
    </w:p>
    <w:p>
      <w:pPr>
        <w:spacing w:line="360" w:lineRule="auto"/>
        <w:ind w:firstLine="420" w:firstLineChars="200"/>
        <w:rPr>
          <w:rFonts w:hint="eastAsia"/>
        </w:rPr>
      </w:pPr>
      <w:r>
        <w:rPr>
          <w:rFonts w:hint="eastAsia"/>
        </w:rPr>
        <w:t>废气污染物总量控制指标：烟粉尘261.37</w:t>
      </w:r>
      <w:r>
        <w:t>t/a</w:t>
      </w:r>
      <w:r>
        <w:rPr>
          <w:rFonts w:hint="eastAsia"/>
        </w:rPr>
        <w:t>、SO</w:t>
      </w:r>
      <w:r>
        <w:rPr>
          <w:rFonts w:hint="eastAsia"/>
          <w:vertAlign w:val="subscript"/>
        </w:rPr>
        <w:t>2</w:t>
      </w:r>
      <w:r>
        <w:rPr>
          <w:rFonts w:hint="eastAsia"/>
        </w:rPr>
        <w:t>216.44</w:t>
      </w:r>
      <w:r>
        <w:t>t/a</w:t>
      </w:r>
      <w:r>
        <w:rPr>
          <w:rFonts w:hint="eastAsia"/>
        </w:rPr>
        <w:t>、NO</w:t>
      </w:r>
      <w:r>
        <w:rPr>
          <w:rFonts w:hint="eastAsia"/>
          <w:vertAlign w:val="subscript"/>
        </w:rPr>
        <w:t>2</w:t>
      </w:r>
      <w:r>
        <w:rPr>
          <w:rFonts w:hint="eastAsia"/>
        </w:rPr>
        <w:t>1799.88</w:t>
      </w:r>
      <w:r>
        <w:t>t/a</w:t>
      </w:r>
      <w:r>
        <w:rPr>
          <w:rFonts w:hint="eastAsia"/>
        </w:rPr>
        <w:t>。</w:t>
      </w:r>
    </w:p>
    <w:p>
      <w:pPr>
        <w:spacing w:line="360" w:lineRule="auto"/>
        <w:ind w:firstLine="420" w:firstLineChars="200"/>
        <w:rPr>
          <w:rFonts w:hint="eastAsia"/>
        </w:rPr>
      </w:pPr>
      <w:r>
        <w:rPr>
          <w:rFonts w:hint="eastAsia"/>
        </w:rPr>
        <w:t>废水污染物总量控制指标：</w:t>
      </w:r>
      <w:r>
        <w:t>COD</w:t>
      </w:r>
      <w:r>
        <w:rPr>
          <w:rFonts w:hint="eastAsia"/>
        </w:rPr>
        <w:t>1.63</w:t>
      </w:r>
      <w:r>
        <w:t>t/a</w:t>
      </w:r>
      <w:r>
        <w:rPr>
          <w:rFonts w:hAnsi="宋体"/>
        </w:rPr>
        <w:t>、</w:t>
      </w:r>
      <w:r>
        <w:t>SS</w:t>
      </w:r>
      <w:r>
        <w:rPr>
          <w:rFonts w:hint="eastAsia"/>
        </w:rPr>
        <w:t xml:space="preserve"> 0.92</w:t>
      </w:r>
      <w:r>
        <w:t>t/a</w:t>
      </w:r>
      <w:r>
        <w:rPr>
          <w:rFonts w:hAnsi="宋体"/>
        </w:rPr>
        <w:t>、</w:t>
      </w:r>
      <w:r>
        <w:t>NH</w:t>
      </w:r>
      <w:r>
        <w:rPr>
          <w:vertAlign w:val="subscript"/>
        </w:rPr>
        <w:t>3</w:t>
      </w:r>
      <w:r>
        <w:t>-N</w:t>
      </w:r>
      <w:r>
        <w:rPr>
          <w:rFonts w:hint="eastAsia"/>
        </w:rPr>
        <w:t xml:space="preserve"> 0.11</w:t>
      </w:r>
      <w:r>
        <w:t>t/a</w:t>
      </w:r>
      <w:r>
        <w:rPr>
          <w:rFonts w:ascii="宋体" w:hAnsi="宋体"/>
        </w:rPr>
        <w:t>。</w:t>
      </w:r>
    </w:p>
    <w:p>
      <w:pPr>
        <w:spacing w:line="360" w:lineRule="auto"/>
        <w:outlineLvl w:val="0"/>
        <w:rPr>
          <w:rFonts w:hint="eastAsia"/>
          <w:b/>
          <w:sz w:val="18"/>
          <w:szCs w:val="18"/>
        </w:rPr>
      </w:pPr>
    </w:p>
    <w:p>
      <w:pPr>
        <w:spacing w:before="24" w:beforeLines="10" w:after="24" w:afterLines="10"/>
        <w:rPr>
          <w:rFonts w:hint="eastAsia"/>
          <w:b/>
        </w:rPr>
      </w:pPr>
      <w:r>
        <w:rPr>
          <w:rFonts w:hint="eastAsia"/>
          <w:b/>
        </w:rPr>
        <w:t>16.1.10 综合结论</w:t>
      </w:r>
    </w:p>
    <w:p>
      <w:pPr>
        <w:widowControl/>
        <w:spacing w:before="100" w:beforeAutospacing="1" w:after="100" w:afterAutospacing="1"/>
        <w:ind w:firstLine="512"/>
        <w:jc w:val="left"/>
        <w:rPr>
          <w:rFonts w:ascii="宋体" w:hAnsi="宋体" w:cs="宋体"/>
          <w:kern w:val="0"/>
        </w:rPr>
      </w:pPr>
      <w:bookmarkStart w:id="556" w:name="_Toc189814211"/>
      <w:bookmarkStart w:id="557" w:name="_Toc473281567"/>
      <w:bookmarkStart w:id="558" w:name="_Toc175479895"/>
      <w:bookmarkStart w:id="559" w:name="_Toc165607434"/>
      <w:bookmarkStart w:id="560" w:name="_Toc129763789"/>
      <w:r>
        <w:rPr>
          <w:rFonts w:hint="eastAsia" w:ascii="宋体" w:hAnsi="宋体"/>
          <w:snapToGrid w:val="0"/>
        </w:rPr>
        <w:t>重庆永荣青鹏煤业有限公司环保节能技改2500t/d熟料水泥生产线项目建设符合国家和地方相关产业政策，符合重庆市工业行业准入条件，其建设选址符合相关规划要求。工艺路线与设备选型上充分体现了清洁生产的特点，在整个流程上采取多种先进技术和针对性措施减少污染物的产生，并在末端同时又采取有效治理措施，实现污染物达标排放，</w:t>
      </w:r>
      <w:r>
        <w:rPr>
          <w:rFonts w:hint="eastAsia" w:ascii="宋体" w:hAnsi="宋体" w:cs="宋体"/>
          <w:kern w:val="0"/>
        </w:rPr>
        <w:t>对环境不会造成明显影响，不会改变区域环境功能。因此，</w:t>
      </w:r>
      <w:r>
        <w:rPr>
          <w:rFonts w:hint="eastAsia" w:ascii="宋体" w:hAnsi="宋体" w:cs="宋体"/>
          <w:bCs/>
          <w:kern w:val="0"/>
        </w:rPr>
        <w:t>从环境保护角度看，技改项目选址合理，建设方案可行</w:t>
      </w:r>
      <w:r>
        <w:rPr>
          <w:rFonts w:hint="eastAsia" w:ascii="宋体" w:hAnsi="宋体" w:cs="宋体"/>
          <w:kern w:val="0"/>
        </w:rPr>
        <w:t>。</w:t>
      </w:r>
    </w:p>
    <w:p>
      <w:pPr>
        <w:spacing w:before="24" w:beforeLines="10" w:after="24" w:afterLines="10"/>
        <w:outlineLvl w:val="1"/>
        <w:rPr>
          <w:rFonts w:hint="eastAsia"/>
          <w:b/>
        </w:rPr>
      </w:pPr>
      <w:bookmarkStart w:id="561" w:name="_Toc276372293"/>
      <w:r>
        <w:rPr>
          <w:rFonts w:hint="eastAsia"/>
          <w:b/>
        </w:rPr>
        <w:t>16.2 建议</w:t>
      </w:r>
      <w:bookmarkEnd w:id="556"/>
      <w:bookmarkEnd w:id="557"/>
      <w:bookmarkEnd w:id="558"/>
      <w:bookmarkEnd w:id="559"/>
      <w:bookmarkEnd w:id="560"/>
      <w:bookmarkEnd w:id="561"/>
    </w:p>
    <w:p>
      <w:pPr>
        <w:adjustRightInd w:val="0"/>
        <w:snapToGrid w:val="0"/>
        <w:ind w:firstLine="561"/>
        <w:rPr>
          <w:rFonts w:hint="eastAsia"/>
        </w:rPr>
      </w:pPr>
      <w:r>
        <w:rPr>
          <w:rFonts w:hint="eastAsia"/>
        </w:rPr>
        <w:t>（1）技改项目的物料转运量大、粉尘排放点多，企业应加强环境管理和维护设备的良好运转，同时积极采取抑制无组织粉尘逃逸的措施。</w:t>
      </w:r>
    </w:p>
    <w:p>
      <w:pPr>
        <w:spacing w:line="360" w:lineRule="auto"/>
        <w:ind w:firstLine="420" w:firstLineChars="200"/>
        <w:rPr>
          <w:rFonts w:hint="eastAsia"/>
        </w:rPr>
      </w:pPr>
      <w:r>
        <w:rPr>
          <w:rFonts w:hint="eastAsia"/>
        </w:rPr>
        <w:t>（2）技改项目NOx排放量较大，而国家环保部已将其纳入了十二五总量控制指标，因此在下一步的设计过程中应充分考虑如何降低NOx排放量，减轻对周边环境的影响。</w:t>
      </w:r>
    </w:p>
    <w:p>
      <w:pPr>
        <w:spacing w:line="360" w:lineRule="auto"/>
        <w:ind w:firstLine="420" w:firstLineChars="200"/>
        <w:rPr>
          <w:rFonts w:hint="eastAsia"/>
        </w:rPr>
      </w:pPr>
      <w:r>
        <w:rPr>
          <w:rFonts w:hint="eastAsia"/>
        </w:rPr>
        <w:t>（3）由于技改项目拟选厂址在319国道和渝隧高速公路的可视范围之内，因此项目在建设过程中应考虑厂房、物料储存库（棚）、烟囱等的外观设计与周边自然环境的协调性，增加必要的环保装饰，同时加强厂区标高在350米以上空地的绿化，避免对319国道和渝隧高速公路的景观影响。</w:t>
      </w: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0"/>
        </w:numPr>
        <w:ind w:leftChars="0"/>
        <w:rPr>
          <w:rFonts w:hint="eastAsia" w:asciiTheme="minorEastAsia" w:hAnsiTheme="minorEastAsia" w:cstheme="minorEastAsia"/>
          <w:sz w:val="21"/>
          <w:szCs w:val="21"/>
          <w:lang w:val="en-US" w:eastAsia="zh-CN"/>
        </w:rPr>
      </w:pPr>
    </w:p>
    <w:p>
      <w:pPr>
        <w:numPr>
          <w:ilvl w:val="0"/>
          <w:numId w:val="7"/>
        </w:numPr>
        <w:ind w:leftChars="0"/>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突发环境事件应急预案</w:t>
      </w:r>
    </w:p>
    <w:p>
      <w:pPr>
        <w:ind w:firstLine="422"/>
        <w:rPr>
          <w:b/>
          <w:bCs/>
          <w:color w:val="000000"/>
          <w:sz w:val="21"/>
        </w:rPr>
      </w:pPr>
    </w:p>
    <w:p>
      <w:pPr>
        <w:ind w:firstLine="422"/>
        <w:rPr>
          <w:b/>
          <w:bCs/>
          <w:color w:val="000000"/>
          <w:sz w:val="21"/>
        </w:rPr>
      </w:pPr>
    </w:p>
    <w:p>
      <w:pPr>
        <w:adjustRightInd w:val="0"/>
        <w:snapToGrid w:val="0"/>
        <w:ind w:firstLine="0" w:firstLineChars="0"/>
        <w:jc w:val="left"/>
        <w:rPr>
          <w:b/>
          <w:bCs/>
          <w:color w:val="000000"/>
          <w:sz w:val="32"/>
          <w:szCs w:val="32"/>
          <w:u w:val="single"/>
        </w:rPr>
      </w:pPr>
    </w:p>
    <w:p>
      <w:pPr>
        <w:ind w:firstLine="422"/>
        <w:rPr>
          <w:b/>
          <w:bCs/>
          <w:color w:val="000000"/>
          <w:sz w:val="21"/>
        </w:rPr>
      </w:pPr>
    </w:p>
    <w:p>
      <w:pPr>
        <w:ind w:firstLine="422"/>
        <w:rPr>
          <w:b/>
          <w:bCs/>
          <w:color w:val="000000"/>
          <w:sz w:val="21"/>
        </w:rPr>
      </w:pPr>
    </w:p>
    <w:p>
      <w:pPr>
        <w:spacing w:before="163" w:beforeLines="50" w:after="163" w:afterLines="50"/>
        <w:ind w:firstLine="0" w:firstLineChars="0"/>
        <w:jc w:val="center"/>
        <w:rPr>
          <w:b/>
          <w:color w:val="000000"/>
          <w:sz w:val="44"/>
          <w:szCs w:val="44"/>
        </w:rPr>
      </w:pPr>
      <w:r>
        <w:rPr>
          <w:b/>
          <w:color w:val="000000"/>
          <w:sz w:val="44"/>
          <w:szCs w:val="44"/>
        </w:rPr>
        <w:t>重庆永荣青鹏水泥有限公司</w:t>
      </w:r>
    </w:p>
    <w:p>
      <w:pPr>
        <w:adjustRightInd w:val="0"/>
        <w:snapToGrid w:val="0"/>
        <w:spacing w:line="288" w:lineRule="auto"/>
        <w:ind w:firstLine="0" w:firstLineChars="0"/>
        <w:jc w:val="center"/>
        <w:rPr>
          <w:b/>
          <w:color w:val="000000"/>
          <w:sz w:val="44"/>
          <w:szCs w:val="44"/>
        </w:rPr>
      </w:pPr>
      <w:r>
        <w:rPr>
          <w:b/>
          <w:color w:val="000000"/>
          <w:sz w:val="44"/>
          <w:szCs w:val="44"/>
        </w:rPr>
        <w:t>突发环境事件应急预案</w:t>
      </w:r>
      <w:bookmarkStart w:id="562" w:name="_Toc7772"/>
      <w:bookmarkStart w:id="563" w:name="_Toc11330"/>
      <w:bookmarkStart w:id="564" w:name="_Toc16124"/>
    </w:p>
    <w:p>
      <w:pPr>
        <w:adjustRightInd w:val="0"/>
        <w:snapToGrid w:val="0"/>
        <w:spacing w:line="288" w:lineRule="auto"/>
        <w:ind w:firstLine="0" w:firstLineChars="0"/>
        <w:jc w:val="center"/>
        <w:rPr>
          <w:b/>
          <w:bCs/>
          <w:color w:val="000000"/>
          <w:sz w:val="28"/>
          <w:szCs w:val="28"/>
        </w:rPr>
      </w:pPr>
      <w:r>
        <w:rPr>
          <w:b/>
          <w:bCs/>
          <w:color w:val="000000"/>
          <w:sz w:val="28"/>
          <w:szCs w:val="28"/>
        </w:rPr>
        <w:t>（</w:t>
      </w:r>
      <w:r>
        <w:rPr>
          <w:rFonts w:hint="eastAsia"/>
          <w:b/>
          <w:bCs/>
          <w:color w:val="000000"/>
          <w:sz w:val="28"/>
          <w:szCs w:val="28"/>
        </w:rPr>
        <w:t>备案</w:t>
      </w:r>
      <w:r>
        <w:rPr>
          <w:b/>
          <w:bCs/>
          <w:color w:val="000000"/>
          <w:sz w:val="28"/>
          <w:szCs w:val="28"/>
        </w:rPr>
        <w:t>版）</w:t>
      </w:r>
      <w:bookmarkEnd w:id="562"/>
      <w:bookmarkEnd w:id="563"/>
      <w:bookmarkEnd w:id="564"/>
    </w:p>
    <w:p>
      <w:pPr>
        <w:ind w:firstLine="723"/>
        <w:jc w:val="center"/>
        <w:rPr>
          <w:b/>
          <w:bCs/>
          <w:color w:val="000000"/>
          <w:sz w:val="36"/>
          <w:szCs w:val="36"/>
        </w:rPr>
      </w:pPr>
    </w:p>
    <w:p>
      <w:pPr>
        <w:tabs>
          <w:tab w:val="left" w:pos="4365"/>
        </w:tabs>
        <w:ind w:firstLine="1920" w:firstLineChars="600"/>
        <w:rPr>
          <w:color w:val="000000"/>
          <w:sz w:val="32"/>
          <w:szCs w:val="32"/>
        </w:rPr>
      </w:pPr>
      <w:r>
        <w:rPr>
          <w:color w:val="000000"/>
          <w:sz w:val="32"/>
          <w:szCs w:val="32"/>
        </w:rPr>
        <w:tab/>
      </w:r>
    </w:p>
    <w:p>
      <w:pPr>
        <w:ind w:firstLine="0" w:firstLineChars="0"/>
        <w:jc w:val="center"/>
        <w:rPr>
          <w:b/>
          <w:sz w:val="28"/>
          <w:szCs w:val="30"/>
          <w:u w:val="single"/>
        </w:rPr>
      </w:pPr>
      <w:r>
        <w:rPr>
          <w:b/>
          <w:sz w:val="28"/>
          <w:szCs w:val="30"/>
          <w:u w:val="single"/>
        </w:rPr>
        <w:t>预案编号：CQQPSN YA-02</w:t>
      </w:r>
    </w:p>
    <w:p>
      <w:pPr>
        <w:ind w:firstLine="0" w:firstLineChars="0"/>
        <w:jc w:val="center"/>
        <w:rPr>
          <w:b/>
          <w:sz w:val="28"/>
          <w:szCs w:val="30"/>
          <w:u w:val="single"/>
        </w:rPr>
      </w:pPr>
      <w:r>
        <w:rPr>
          <w:b/>
          <w:sz w:val="28"/>
          <w:szCs w:val="30"/>
          <w:u w:val="single"/>
        </w:rPr>
        <w:t>预案版本号：2019年修订版</w:t>
      </w:r>
    </w:p>
    <w:p>
      <w:pPr>
        <w:pStyle w:val="8"/>
        <w:ind w:firstLine="0" w:firstLineChars="0"/>
        <w:jc w:val="center"/>
        <w:rPr>
          <w:rStyle w:val="44"/>
          <w:rFonts w:ascii="Times New Roman" w:hAnsi="Times New Roman" w:cs="Times New Roman"/>
        </w:rPr>
      </w:pPr>
      <w:r>
        <w:rPr>
          <w:b/>
          <w:sz w:val="28"/>
          <w:szCs w:val="30"/>
          <w:u w:val="single"/>
        </w:rPr>
        <w:t>预案实施日期：2019年</w:t>
      </w:r>
      <w:r>
        <w:rPr>
          <w:rFonts w:hint="eastAsia"/>
          <w:b/>
          <w:sz w:val="28"/>
          <w:szCs w:val="30"/>
          <w:u w:val="single"/>
        </w:rPr>
        <w:t>11</w:t>
      </w:r>
      <w:r>
        <w:rPr>
          <w:b/>
          <w:sz w:val="28"/>
          <w:szCs w:val="30"/>
          <w:u w:val="single"/>
        </w:rPr>
        <w:t>月</w:t>
      </w:r>
      <w:r>
        <w:rPr>
          <w:rFonts w:hint="eastAsia"/>
          <w:b/>
          <w:sz w:val="28"/>
          <w:szCs w:val="30"/>
          <w:u w:val="single"/>
        </w:rPr>
        <w:t>28</w:t>
      </w:r>
      <w:r>
        <w:rPr>
          <w:b/>
          <w:sz w:val="28"/>
          <w:szCs w:val="30"/>
          <w:u w:val="single"/>
        </w:rPr>
        <w:t>日</w:t>
      </w: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2570" w:firstLineChars="800"/>
        <w:rPr>
          <w:b/>
          <w:bCs/>
          <w:color w:val="000000"/>
          <w:sz w:val="32"/>
          <w:szCs w:val="32"/>
        </w:rPr>
      </w:pPr>
    </w:p>
    <w:p>
      <w:pPr>
        <w:adjustRightInd w:val="0"/>
        <w:snapToGrid w:val="0"/>
        <w:spacing w:line="240" w:lineRule="auto"/>
        <w:ind w:firstLine="0" w:firstLineChars="0"/>
        <w:jc w:val="center"/>
        <w:rPr>
          <w:b/>
          <w:bCs/>
          <w:color w:val="000000"/>
          <w:sz w:val="32"/>
          <w:szCs w:val="32"/>
        </w:rPr>
      </w:pPr>
      <w:r>
        <w:rPr>
          <w:b/>
          <w:bCs/>
          <w:color w:val="000000"/>
          <w:sz w:val="32"/>
          <w:szCs w:val="32"/>
        </w:rPr>
        <w:t>重庆永荣青鹏水泥有限公司</w:t>
      </w:r>
    </w:p>
    <w:p>
      <w:pPr>
        <w:adjustRightInd w:val="0"/>
        <w:snapToGrid w:val="0"/>
        <w:spacing w:line="240" w:lineRule="auto"/>
        <w:ind w:firstLine="0" w:firstLineChars="0"/>
        <w:jc w:val="center"/>
        <w:rPr>
          <w:b/>
          <w:bCs/>
          <w:color w:val="000000"/>
          <w:sz w:val="32"/>
          <w:szCs w:val="32"/>
        </w:rPr>
      </w:pPr>
    </w:p>
    <w:p>
      <w:pPr>
        <w:adjustRightInd w:val="0"/>
        <w:snapToGrid w:val="0"/>
        <w:spacing w:line="240" w:lineRule="auto"/>
        <w:ind w:firstLine="0" w:firstLineChars="0"/>
        <w:jc w:val="center"/>
        <w:rPr>
          <w:b/>
          <w:bCs/>
          <w:color w:val="000000"/>
          <w:sz w:val="32"/>
          <w:szCs w:val="32"/>
        </w:rPr>
      </w:pPr>
      <w:r>
        <w:rPr>
          <w:b/>
          <w:bCs/>
          <w:color w:val="000000"/>
          <w:sz w:val="32"/>
          <w:szCs w:val="32"/>
        </w:rPr>
        <w:t>二〇一九年十</w:t>
      </w:r>
      <w:r>
        <w:rPr>
          <w:rFonts w:hint="eastAsia"/>
          <w:b/>
          <w:bCs/>
          <w:color w:val="000000"/>
          <w:sz w:val="32"/>
          <w:szCs w:val="32"/>
        </w:rPr>
        <w:t>一</w:t>
      </w:r>
      <w:r>
        <w:rPr>
          <w:b/>
          <w:bCs/>
          <w:color w:val="000000"/>
          <w:sz w:val="32"/>
          <w:szCs w:val="32"/>
        </w:rPr>
        <w:t>月</w:t>
      </w:r>
    </w:p>
    <w:p>
      <w:pPr>
        <w:adjustRightInd w:val="0"/>
        <w:snapToGrid w:val="0"/>
        <w:ind w:firstLine="643"/>
        <w:jc w:val="center"/>
        <w:rPr>
          <w:b/>
          <w:bCs/>
          <w:color w:val="000000"/>
          <w:sz w:val="32"/>
          <w:szCs w:val="32"/>
        </w:rPr>
      </w:pPr>
    </w:p>
    <w:p>
      <w:pPr>
        <w:pStyle w:val="2"/>
        <w:ind w:firstLine="640"/>
        <w:rPr>
          <w:rFonts w:ascii="Times New Roman" w:hAnsi="Times New Roman"/>
          <w:b w:val="0"/>
          <w:bCs w:val="0"/>
          <w:color w:val="000000"/>
          <w:sz w:val="32"/>
        </w:rPr>
      </w:pPr>
    </w:p>
    <w:p>
      <w:pPr>
        <w:ind w:firstLine="643"/>
        <w:rPr>
          <w:b/>
          <w:bCs/>
          <w:color w:val="000000"/>
          <w:sz w:val="32"/>
          <w:szCs w:val="32"/>
        </w:rPr>
      </w:pPr>
    </w:p>
    <w:p>
      <w:pPr>
        <w:pStyle w:val="2"/>
        <w:rPr>
          <w:b/>
          <w:bCs/>
          <w:color w:val="000000"/>
          <w:sz w:val="32"/>
          <w:szCs w:val="32"/>
        </w:rPr>
      </w:pPr>
    </w:p>
    <w:p>
      <w:pPr>
        <w:rPr>
          <w:b/>
          <w:bCs/>
          <w:color w:val="000000"/>
          <w:sz w:val="32"/>
          <w:szCs w:val="32"/>
        </w:rPr>
      </w:pPr>
    </w:p>
    <w:p>
      <w:pPr>
        <w:pStyle w:val="2"/>
      </w:pPr>
    </w:p>
    <w:p>
      <w:pPr>
        <w:ind w:firstLine="643"/>
        <w:jc w:val="center"/>
        <w:rPr>
          <w:b/>
          <w:color w:val="000000"/>
          <w:sz w:val="32"/>
          <w:szCs w:val="32"/>
        </w:rPr>
      </w:pPr>
      <w:r>
        <w:rPr>
          <w:b/>
          <w:color w:val="000000"/>
          <w:sz w:val="32"/>
          <w:szCs w:val="32"/>
        </w:rPr>
        <w:t>重庆永荣青鹏水泥有限公司突发环境事件应急预案</w:t>
      </w:r>
    </w:p>
    <w:p>
      <w:pPr>
        <w:ind w:firstLine="643"/>
        <w:jc w:val="center"/>
        <w:rPr>
          <w:rFonts w:hint="eastAsia"/>
          <w:b/>
          <w:color w:val="000000"/>
          <w:sz w:val="32"/>
          <w:szCs w:val="32"/>
        </w:rPr>
      </w:pPr>
      <w:r>
        <w:rPr>
          <w:rFonts w:hint="eastAsia"/>
          <w:b/>
          <w:color w:val="000000"/>
          <w:sz w:val="32"/>
          <w:szCs w:val="32"/>
        </w:rPr>
        <w:t>编制人员一览表</w:t>
      </w:r>
    </w:p>
    <w:p>
      <w:pPr>
        <w:ind w:firstLine="480"/>
      </w:pPr>
    </w:p>
    <w:p>
      <w:pPr>
        <w:ind w:firstLine="0" w:firstLineChars="0"/>
        <w:sectPr>
          <w:headerReference r:id="rId19" w:type="first"/>
          <w:footerReference r:id="rId22" w:type="first"/>
          <w:headerReference r:id="rId17" w:type="default"/>
          <w:footerReference r:id="rId20" w:type="default"/>
          <w:headerReference r:id="rId18" w:type="even"/>
          <w:footerReference r:id="rId21" w:type="even"/>
          <w:pgSz w:w="11906" w:h="16838"/>
          <w:pgMar w:top="1440" w:right="1800" w:bottom="1440" w:left="1800" w:header="1134" w:footer="992" w:gutter="0"/>
          <w:pgNumType w:start="1"/>
          <w:cols w:space="720" w:num="1"/>
          <w:titlePg/>
          <w:docGrid w:type="lines" w:linePitch="326" w:charSpace="0"/>
        </w:sectPr>
      </w:pPr>
      <w:r>
        <w:drawing>
          <wp:inline distT="0" distB="0" distL="114300" distR="114300">
            <wp:extent cx="5270500" cy="7246620"/>
            <wp:effectExtent l="0" t="0" r="6350" b="11430"/>
            <wp:docPr id="608" name="图片 13" descr="编制人员一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13" descr="编制人员一览表"/>
                    <pic:cNvPicPr>
                      <a:picLocks noChangeAspect="1"/>
                    </pic:cNvPicPr>
                  </pic:nvPicPr>
                  <pic:blipFill>
                    <a:blip r:embed="rId61"/>
                    <a:stretch>
                      <a:fillRect/>
                    </a:stretch>
                  </pic:blipFill>
                  <pic:spPr>
                    <a:xfrm>
                      <a:off x="0" y="0"/>
                      <a:ext cx="5270500" cy="7246620"/>
                    </a:xfrm>
                    <a:prstGeom prst="rect">
                      <a:avLst/>
                    </a:prstGeom>
                    <a:noFill/>
                    <a:ln>
                      <a:noFill/>
                    </a:ln>
                  </pic:spPr>
                </pic:pic>
              </a:graphicData>
            </a:graphic>
          </wp:inline>
        </w:drawing>
      </w:r>
    </w:p>
    <w:p>
      <w:pPr>
        <w:pStyle w:val="2"/>
        <w:ind w:firstLine="0" w:firstLineChars="0"/>
      </w:pPr>
    </w:p>
    <w:p>
      <w:pPr>
        <w:ind w:firstLine="643"/>
        <w:jc w:val="center"/>
        <w:rPr>
          <w:b/>
          <w:color w:val="000000"/>
          <w:sz w:val="32"/>
          <w:szCs w:val="32"/>
        </w:rPr>
      </w:pPr>
      <w:r>
        <w:rPr>
          <w:b/>
          <w:color w:val="000000"/>
          <w:sz w:val="32"/>
          <w:szCs w:val="32"/>
        </w:rPr>
        <w:t>重庆永荣青鹏水泥有限公司突发环境事件</w:t>
      </w:r>
    </w:p>
    <w:p>
      <w:pPr>
        <w:ind w:firstLine="643"/>
        <w:jc w:val="center"/>
        <w:rPr>
          <w:rFonts w:hint="eastAsia"/>
        </w:rPr>
      </w:pPr>
      <w:r>
        <w:rPr>
          <w:b/>
          <w:color w:val="000000"/>
          <w:sz w:val="32"/>
          <w:szCs w:val="32"/>
        </w:rPr>
        <w:t>应急预案</w:t>
      </w:r>
      <w:r>
        <w:rPr>
          <w:rFonts w:hint="eastAsia"/>
          <w:b/>
          <w:color w:val="000000"/>
          <w:sz w:val="32"/>
          <w:szCs w:val="32"/>
        </w:rPr>
        <w:t>发布文件</w:t>
      </w:r>
    </w:p>
    <w:p>
      <w:pPr>
        <w:ind w:firstLine="480"/>
        <w:jc w:val="center"/>
        <w:rPr>
          <w:rFonts w:hint="eastAsia"/>
        </w:rPr>
      </w:pPr>
      <w:r>
        <w:drawing>
          <wp:inline distT="0" distB="0" distL="114300" distR="114300">
            <wp:extent cx="5267325" cy="7247890"/>
            <wp:effectExtent l="0" t="0" r="9525" b="10160"/>
            <wp:docPr id="605" name="图片 14" descr="Scan_20191129_07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14" descr="Scan_20191129_072629"/>
                    <pic:cNvPicPr>
                      <a:picLocks noChangeAspect="1"/>
                    </pic:cNvPicPr>
                  </pic:nvPicPr>
                  <pic:blipFill>
                    <a:blip r:embed="rId62"/>
                    <a:stretch>
                      <a:fillRect/>
                    </a:stretch>
                  </pic:blipFill>
                  <pic:spPr>
                    <a:xfrm>
                      <a:off x="0" y="0"/>
                      <a:ext cx="5267325" cy="7247890"/>
                    </a:xfrm>
                    <a:prstGeom prst="rect">
                      <a:avLst/>
                    </a:prstGeom>
                    <a:noFill/>
                    <a:ln>
                      <a:noFill/>
                    </a:ln>
                  </pic:spPr>
                </pic:pic>
              </a:graphicData>
            </a:graphic>
          </wp:inline>
        </w:drawing>
      </w:r>
      <w:r>
        <w:rPr>
          <w:b/>
          <w:color w:val="000000"/>
          <w:sz w:val="32"/>
          <w:szCs w:val="32"/>
        </w:rPr>
        <w:t>重庆永荣青鹏水泥有限公司突发环境事件应急预案</w:t>
      </w:r>
      <w:r>
        <w:rPr>
          <w:rFonts w:hint="eastAsia"/>
          <w:b/>
          <w:color w:val="000000"/>
          <w:sz w:val="32"/>
          <w:szCs w:val="32"/>
        </w:rPr>
        <w:t>专家复审意见</w:t>
      </w:r>
    </w:p>
    <w:p>
      <w:pPr>
        <w:ind w:firstLine="0" w:firstLineChars="0"/>
      </w:pPr>
      <w:r>
        <w:drawing>
          <wp:inline distT="0" distB="0" distL="114300" distR="114300">
            <wp:extent cx="5271135" cy="7245985"/>
            <wp:effectExtent l="0" t="0" r="5715" b="12065"/>
            <wp:docPr id="607" name="图片 15" descr="Scan_20191129_07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15" descr="Scan_20191129_073634"/>
                    <pic:cNvPicPr>
                      <a:picLocks noChangeAspect="1"/>
                    </pic:cNvPicPr>
                  </pic:nvPicPr>
                  <pic:blipFill>
                    <a:blip r:embed="rId63"/>
                    <a:stretch>
                      <a:fillRect/>
                    </a:stretch>
                  </pic:blipFill>
                  <pic:spPr>
                    <a:xfrm>
                      <a:off x="0" y="0"/>
                      <a:ext cx="5271135" cy="7245985"/>
                    </a:xfrm>
                    <a:prstGeom prst="rect">
                      <a:avLst/>
                    </a:prstGeom>
                    <a:noFill/>
                    <a:ln>
                      <a:noFill/>
                    </a:ln>
                  </pic:spPr>
                </pic:pic>
              </a:graphicData>
            </a:graphic>
          </wp:inline>
        </w:drawing>
      </w:r>
    </w:p>
    <w:p>
      <w:pPr>
        <w:ind w:firstLine="0" w:firstLineChars="0"/>
      </w:pPr>
      <w:r>
        <w:drawing>
          <wp:inline distT="0" distB="0" distL="114300" distR="114300">
            <wp:extent cx="5271135" cy="7245985"/>
            <wp:effectExtent l="0" t="0" r="5715" b="12065"/>
            <wp:docPr id="610" name="图片 16" descr="Scan_20191129_07363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16" descr="Scan_20191129_073634_001"/>
                    <pic:cNvPicPr>
                      <a:picLocks noChangeAspect="1"/>
                    </pic:cNvPicPr>
                  </pic:nvPicPr>
                  <pic:blipFill>
                    <a:blip r:embed="rId64"/>
                    <a:stretch>
                      <a:fillRect/>
                    </a:stretch>
                  </pic:blipFill>
                  <pic:spPr>
                    <a:xfrm>
                      <a:off x="0" y="0"/>
                      <a:ext cx="5271135" cy="7245985"/>
                    </a:xfrm>
                    <a:prstGeom prst="rect">
                      <a:avLst/>
                    </a:prstGeom>
                    <a:noFill/>
                    <a:ln>
                      <a:noFill/>
                    </a:ln>
                  </pic:spPr>
                </pic:pic>
              </a:graphicData>
            </a:graphic>
          </wp:inline>
        </w:drawing>
      </w:r>
      <w:r>
        <w:br w:type="page"/>
      </w:r>
    </w:p>
    <w:p>
      <w:pPr>
        <w:ind w:firstLine="643"/>
        <w:jc w:val="center"/>
        <w:rPr>
          <w:b/>
          <w:color w:val="000000"/>
          <w:sz w:val="32"/>
          <w:szCs w:val="32"/>
        </w:rPr>
      </w:pPr>
      <w:r>
        <w:rPr>
          <w:b/>
          <w:color w:val="000000"/>
          <w:sz w:val="32"/>
          <w:szCs w:val="32"/>
        </w:rPr>
        <w:t>重庆永荣青鹏水泥有限公司</w:t>
      </w:r>
    </w:p>
    <w:p>
      <w:pPr>
        <w:ind w:firstLine="643"/>
        <w:jc w:val="center"/>
        <w:rPr>
          <w:b/>
          <w:color w:val="000000"/>
          <w:sz w:val="21"/>
        </w:rPr>
      </w:pPr>
      <w:r>
        <w:rPr>
          <w:b/>
          <w:color w:val="000000"/>
          <w:sz w:val="32"/>
          <w:szCs w:val="32"/>
        </w:rPr>
        <w:t>突发环境事件应急预案编制说明</w:t>
      </w:r>
    </w:p>
    <w:p>
      <w:pPr>
        <w:ind w:firstLine="480"/>
        <w:rPr>
          <w:color w:val="000000"/>
        </w:rPr>
      </w:pPr>
      <w:r>
        <w:rPr>
          <w:color w:val="000000"/>
        </w:rPr>
        <w:t>为贯彻落实《企业事业单位突发环境事件应急预案备案管理办法（试行）》（环发[2015]4号）文件及《重庆市环境保护局关于转发企业事业单位突发环境事件应急预案备案管理办法（试行）的通知》（渝环〔2015〕30号）及“关于印发《企业事业单位突发环境事件应急预案评审工作指南（试行）》的通知”（环办应急[2018]8号）文件要求。为了规范和加强本公司应对突发环境事件，进一步建立健全和完善应急预案体系。现将该《重庆永荣青鹏水泥有限公司突发环境事件应急预案》的修编过程、重点内容说明、企业内部征求意见情况、评审情况等涉及应急预案编制的相关情况做以下说明：</w:t>
      </w:r>
    </w:p>
    <w:p>
      <w:pPr>
        <w:ind w:firstLine="482"/>
        <w:rPr>
          <w:b/>
          <w:bCs/>
          <w:color w:val="000000"/>
        </w:rPr>
      </w:pPr>
      <w:r>
        <w:rPr>
          <w:b/>
          <w:bCs/>
          <w:color w:val="000000"/>
        </w:rPr>
        <w:t>一、应急预案编制过程</w:t>
      </w:r>
    </w:p>
    <w:p>
      <w:pPr>
        <w:ind w:firstLine="480"/>
        <w:rPr>
          <w:color w:val="000000"/>
        </w:rPr>
      </w:pPr>
      <w:r>
        <w:rPr>
          <w:color w:val="000000"/>
        </w:rPr>
        <w:t>（一）预案修编工作组织情况</w:t>
      </w:r>
    </w:p>
    <w:p>
      <w:pPr>
        <w:ind w:firstLine="480"/>
        <w:rPr>
          <w:color w:val="000000"/>
        </w:rPr>
      </w:pPr>
      <w:r>
        <w:rPr>
          <w:color w:val="000000"/>
        </w:rPr>
        <w:t>为了规范和加强本公司应对突发环境事件，进一步建立健全和完善应急预案体系，2019年9月，公司成立应急预案编制领导小组。由总经理</w:t>
      </w:r>
      <w:r>
        <w:rPr>
          <w:rFonts w:hint="eastAsia"/>
          <w:color w:val="000000"/>
        </w:rPr>
        <w:t>张安俊</w:t>
      </w:r>
      <w:r>
        <w:rPr>
          <w:color w:val="000000"/>
        </w:rPr>
        <w:t>担任组长，抽调公司骨干力量，并聘请相关专家组成编制小组，根据国家的法律、法规及规程规范，启动突发环境事件风险评估报告及应急预案的修编工作；2019年10月，预案编制小组将完成的初稿分发给公司内部人员和外部相关人员征求意见，在此基础上完成送审稿。</w:t>
      </w:r>
    </w:p>
    <w:p>
      <w:pPr>
        <w:ind w:firstLine="480"/>
        <w:rPr>
          <w:color w:val="000000"/>
        </w:rPr>
      </w:pPr>
      <w:r>
        <w:rPr>
          <w:color w:val="000000"/>
        </w:rPr>
        <w:t>（二）风险评估报告修编情况</w:t>
      </w:r>
    </w:p>
    <w:p>
      <w:pPr>
        <w:ind w:firstLine="480"/>
        <w:rPr>
          <w:color w:val="000000"/>
        </w:rPr>
      </w:pPr>
      <w:r>
        <w:rPr>
          <w:color w:val="000000"/>
        </w:rPr>
        <w:t>2019年9月，重庆永荣青鹏水泥有限公司（以下简称为“青鹏公司”）有关部门根据《重庆永荣青鹏水泥有限公司突发环境事件风险评估报告》（2016年版）相关内容，对公司进行全面调查，收集相关资料，确定风险源点，并对风险源进行了分析，确定危险目标。编制《重庆永荣青鹏水泥有限公司突发环境事件风险评估报告》（2019年修订版）及《重庆永荣青鹏水泥有限公司应急资源调查报告》，2016年版和2019年修订版的变更情况见表1。</w:t>
      </w:r>
    </w:p>
    <w:p>
      <w:pPr>
        <w:spacing w:line="240" w:lineRule="auto"/>
        <w:ind w:firstLine="422"/>
        <w:jc w:val="center"/>
        <w:rPr>
          <w:b/>
          <w:bCs/>
          <w:color w:val="000000"/>
          <w:sz w:val="21"/>
        </w:rPr>
      </w:pPr>
      <w:r>
        <w:rPr>
          <w:b/>
          <w:bCs/>
          <w:color w:val="000000"/>
          <w:sz w:val="21"/>
        </w:rPr>
        <w:t>表1  修订情况一览表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828"/>
        <w:gridCol w:w="2435"/>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81" w:type="dxa"/>
            <w:tcBorders>
              <w:tl2br w:val="single" w:color="auto" w:sz="4" w:space="0"/>
            </w:tcBorders>
            <w:noWrap w:val="0"/>
            <w:vAlign w:val="center"/>
          </w:tcPr>
          <w:p>
            <w:pPr>
              <w:spacing w:line="240" w:lineRule="auto"/>
              <w:ind w:firstLine="420"/>
              <w:jc w:val="center"/>
              <w:rPr>
                <w:color w:val="000000"/>
                <w:sz w:val="21"/>
              </w:rPr>
            </w:pPr>
            <w:r>
              <w:rPr>
                <w:color w:val="000000"/>
                <w:sz w:val="21"/>
              </w:rPr>
              <w:t>版本</w:t>
            </w:r>
          </w:p>
          <w:p>
            <w:pPr>
              <w:spacing w:line="240" w:lineRule="auto"/>
              <w:ind w:firstLine="420"/>
              <w:jc w:val="center"/>
              <w:rPr>
                <w:color w:val="000000"/>
                <w:sz w:val="21"/>
              </w:rPr>
            </w:pPr>
            <w:r>
              <w:rPr>
                <w:color w:val="000000"/>
                <w:sz w:val="21"/>
              </w:rPr>
              <w:t>特征</w:t>
            </w:r>
          </w:p>
        </w:tc>
        <w:tc>
          <w:tcPr>
            <w:tcW w:w="1828" w:type="dxa"/>
            <w:noWrap w:val="0"/>
            <w:vAlign w:val="center"/>
          </w:tcPr>
          <w:p>
            <w:pPr>
              <w:spacing w:line="240" w:lineRule="auto"/>
              <w:ind w:firstLine="420"/>
              <w:jc w:val="center"/>
              <w:rPr>
                <w:color w:val="000000"/>
                <w:sz w:val="21"/>
              </w:rPr>
            </w:pPr>
            <w:r>
              <w:rPr>
                <w:color w:val="000000"/>
                <w:sz w:val="21"/>
              </w:rPr>
              <w:t>2016年版</w:t>
            </w:r>
          </w:p>
        </w:tc>
        <w:tc>
          <w:tcPr>
            <w:tcW w:w="2435" w:type="dxa"/>
            <w:noWrap w:val="0"/>
            <w:vAlign w:val="center"/>
          </w:tcPr>
          <w:p>
            <w:pPr>
              <w:spacing w:line="240" w:lineRule="auto"/>
              <w:ind w:firstLine="420"/>
              <w:jc w:val="center"/>
              <w:rPr>
                <w:color w:val="000000"/>
                <w:sz w:val="21"/>
              </w:rPr>
            </w:pPr>
            <w:r>
              <w:rPr>
                <w:color w:val="000000"/>
                <w:sz w:val="21"/>
              </w:rPr>
              <w:t>2019年修订版</w:t>
            </w:r>
          </w:p>
        </w:tc>
        <w:tc>
          <w:tcPr>
            <w:tcW w:w="3443" w:type="dxa"/>
            <w:noWrap w:val="0"/>
            <w:vAlign w:val="center"/>
          </w:tcPr>
          <w:p>
            <w:pPr>
              <w:spacing w:line="240" w:lineRule="auto"/>
              <w:ind w:firstLine="420"/>
              <w:jc w:val="center"/>
              <w:rPr>
                <w:color w:val="000000"/>
                <w:sz w:val="21"/>
              </w:rPr>
            </w:pPr>
            <w:r>
              <w:rPr>
                <w:color w:val="000000"/>
                <w:sz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81" w:type="dxa"/>
            <w:noWrap w:val="0"/>
            <w:vAlign w:val="center"/>
          </w:tcPr>
          <w:p>
            <w:pPr>
              <w:spacing w:line="240" w:lineRule="auto"/>
              <w:ind w:firstLine="0" w:firstLineChars="0"/>
              <w:rPr>
                <w:color w:val="000000"/>
                <w:sz w:val="21"/>
              </w:rPr>
            </w:pPr>
            <w:r>
              <w:rPr>
                <w:color w:val="000000"/>
                <w:sz w:val="21"/>
              </w:rPr>
              <w:t>风险物质</w:t>
            </w:r>
          </w:p>
        </w:tc>
        <w:tc>
          <w:tcPr>
            <w:tcW w:w="1828" w:type="dxa"/>
            <w:noWrap w:val="0"/>
            <w:vAlign w:val="center"/>
          </w:tcPr>
          <w:p>
            <w:pPr>
              <w:spacing w:line="240" w:lineRule="auto"/>
              <w:ind w:firstLine="420"/>
              <w:jc w:val="center"/>
              <w:rPr>
                <w:color w:val="000000"/>
                <w:sz w:val="21"/>
              </w:rPr>
            </w:pPr>
            <w:r>
              <w:rPr>
                <w:color w:val="000000"/>
                <w:sz w:val="21"/>
              </w:rPr>
              <w:t>氨水、柴油、润滑油</w:t>
            </w:r>
          </w:p>
        </w:tc>
        <w:tc>
          <w:tcPr>
            <w:tcW w:w="2435" w:type="dxa"/>
            <w:noWrap w:val="0"/>
            <w:vAlign w:val="center"/>
          </w:tcPr>
          <w:p>
            <w:pPr>
              <w:spacing w:line="240" w:lineRule="auto"/>
              <w:ind w:firstLine="420"/>
              <w:jc w:val="center"/>
              <w:rPr>
                <w:color w:val="000000"/>
                <w:sz w:val="21"/>
              </w:rPr>
            </w:pPr>
            <w:r>
              <w:rPr>
                <w:color w:val="000000"/>
                <w:sz w:val="21"/>
              </w:rPr>
              <w:t>水环境风险物质主要为氨水、柴油、润滑油、危险废物</w:t>
            </w:r>
          </w:p>
        </w:tc>
        <w:tc>
          <w:tcPr>
            <w:tcW w:w="3443" w:type="dxa"/>
            <w:noWrap w:val="0"/>
            <w:vAlign w:val="center"/>
          </w:tcPr>
          <w:p>
            <w:pPr>
              <w:spacing w:line="240" w:lineRule="auto"/>
              <w:ind w:firstLine="420"/>
              <w:jc w:val="center"/>
              <w:rPr>
                <w:color w:val="000000"/>
                <w:sz w:val="21"/>
              </w:rPr>
            </w:pPr>
            <w:r>
              <w:rPr>
                <w:color w:val="000000"/>
                <w:sz w:val="21"/>
              </w:rPr>
              <w:t>根据《企业突发环境事件风险分方法》，分为大气和水环境风险物质，新增了危险废物为环境风险物质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jc w:val="center"/>
        </w:trPr>
        <w:tc>
          <w:tcPr>
            <w:tcW w:w="1081" w:type="dxa"/>
            <w:noWrap w:val="0"/>
            <w:vAlign w:val="center"/>
          </w:tcPr>
          <w:p>
            <w:pPr>
              <w:spacing w:line="240" w:lineRule="auto"/>
              <w:ind w:firstLine="0" w:firstLineChars="0"/>
              <w:rPr>
                <w:color w:val="000000"/>
                <w:sz w:val="21"/>
              </w:rPr>
            </w:pPr>
            <w:r>
              <w:rPr>
                <w:color w:val="000000"/>
                <w:sz w:val="21"/>
              </w:rPr>
              <w:t>风险事件</w:t>
            </w:r>
          </w:p>
        </w:tc>
        <w:tc>
          <w:tcPr>
            <w:tcW w:w="1828" w:type="dxa"/>
            <w:noWrap w:val="0"/>
            <w:vAlign w:val="center"/>
          </w:tcPr>
          <w:p>
            <w:pPr>
              <w:spacing w:line="240" w:lineRule="auto"/>
              <w:ind w:firstLine="0" w:firstLineChars="0"/>
              <w:rPr>
                <w:color w:val="000000"/>
                <w:sz w:val="21"/>
              </w:rPr>
            </w:pPr>
            <w:r>
              <w:rPr>
                <w:color w:val="000000"/>
                <w:sz w:val="21"/>
              </w:rPr>
              <w:t>氨水储罐、润滑油库房、柴油储罐、</w:t>
            </w:r>
          </w:p>
          <w:p>
            <w:pPr>
              <w:spacing w:line="240" w:lineRule="auto"/>
              <w:ind w:firstLine="0" w:firstLineChars="0"/>
              <w:rPr>
                <w:color w:val="000000"/>
                <w:sz w:val="21"/>
              </w:rPr>
            </w:pPr>
            <w:r>
              <w:rPr>
                <w:color w:val="000000"/>
                <w:sz w:val="21"/>
              </w:rPr>
              <w:t>泄漏事件</w:t>
            </w:r>
          </w:p>
        </w:tc>
        <w:tc>
          <w:tcPr>
            <w:tcW w:w="2435" w:type="dxa"/>
            <w:noWrap w:val="0"/>
            <w:vAlign w:val="center"/>
          </w:tcPr>
          <w:p>
            <w:pPr>
              <w:spacing w:line="240" w:lineRule="auto"/>
              <w:ind w:firstLine="0" w:firstLineChars="0"/>
              <w:rPr>
                <w:color w:val="000000"/>
                <w:sz w:val="21"/>
              </w:rPr>
            </w:pPr>
            <w:r>
              <w:rPr>
                <w:color w:val="000000"/>
                <w:sz w:val="21"/>
              </w:rPr>
              <w:t>氨水储罐、润滑油库房、柴油储罐、危险废物间</w:t>
            </w:r>
          </w:p>
          <w:p>
            <w:pPr>
              <w:spacing w:line="240" w:lineRule="auto"/>
              <w:ind w:firstLine="0" w:firstLineChars="0"/>
              <w:rPr>
                <w:color w:val="000000"/>
                <w:sz w:val="21"/>
              </w:rPr>
            </w:pPr>
            <w:r>
              <w:rPr>
                <w:color w:val="000000"/>
                <w:sz w:val="21"/>
              </w:rPr>
              <w:t>泄漏事件；润滑油火灾事故、危险废物间火灾事故、柴油储罐火灾事故</w:t>
            </w:r>
          </w:p>
        </w:tc>
        <w:tc>
          <w:tcPr>
            <w:tcW w:w="3443" w:type="dxa"/>
            <w:noWrap w:val="0"/>
            <w:vAlign w:val="center"/>
          </w:tcPr>
          <w:p>
            <w:pPr>
              <w:spacing w:line="240" w:lineRule="auto"/>
              <w:ind w:firstLine="0" w:firstLineChars="0"/>
              <w:rPr>
                <w:color w:val="000000"/>
                <w:sz w:val="21"/>
              </w:rPr>
            </w:pPr>
            <w:r>
              <w:rPr>
                <w:color w:val="000000"/>
                <w:sz w:val="21"/>
              </w:rPr>
              <w:t>增加了危险废物区泄露事故、危险废物区火灾事故、柴油火灾事故、润滑油火灾事故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noWrap w:val="0"/>
            <w:vAlign w:val="center"/>
          </w:tcPr>
          <w:p>
            <w:pPr>
              <w:spacing w:line="240" w:lineRule="auto"/>
              <w:ind w:firstLine="0" w:firstLineChars="0"/>
              <w:rPr>
                <w:color w:val="000000"/>
                <w:sz w:val="21"/>
              </w:rPr>
            </w:pPr>
            <w:r>
              <w:rPr>
                <w:color w:val="000000"/>
                <w:sz w:val="21"/>
              </w:rPr>
              <w:t>风险等级</w:t>
            </w:r>
          </w:p>
        </w:tc>
        <w:tc>
          <w:tcPr>
            <w:tcW w:w="1828" w:type="dxa"/>
            <w:noWrap w:val="0"/>
            <w:vAlign w:val="center"/>
          </w:tcPr>
          <w:p>
            <w:pPr>
              <w:spacing w:line="240" w:lineRule="auto"/>
              <w:ind w:firstLine="0" w:firstLineChars="0"/>
              <w:rPr>
                <w:color w:val="000000"/>
                <w:sz w:val="21"/>
              </w:rPr>
            </w:pPr>
            <w:r>
              <w:rPr>
                <w:color w:val="000000"/>
                <w:sz w:val="21"/>
              </w:rPr>
              <w:t>较大</w:t>
            </w:r>
            <w:r>
              <w:rPr>
                <w:rFonts w:hint="eastAsia"/>
                <w:color w:val="000000"/>
                <w:sz w:val="21"/>
              </w:rPr>
              <w:t>(Q1-M1-E1)</w:t>
            </w:r>
          </w:p>
        </w:tc>
        <w:tc>
          <w:tcPr>
            <w:tcW w:w="2435" w:type="dxa"/>
            <w:noWrap w:val="0"/>
            <w:vAlign w:val="center"/>
          </w:tcPr>
          <w:p>
            <w:pPr>
              <w:spacing w:line="240" w:lineRule="auto"/>
              <w:ind w:firstLine="420"/>
              <w:jc w:val="center"/>
              <w:rPr>
                <w:color w:val="000000"/>
                <w:sz w:val="21"/>
              </w:rPr>
            </w:pPr>
            <w:r>
              <w:rPr>
                <w:rFonts w:hint="eastAsia"/>
                <w:color w:val="000000"/>
                <w:sz w:val="21"/>
              </w:rPr>
              <w:t>较大</w:t>
            </w:r>
            <w:r>
              <w:rPr>
                <w:color w:val="000000"/>
                <w:sz w:val="21"/>
              </w:rPr>
              <w:t>【</w:t>
            </w:r>
            <w:r>
              <w:rPr>
                <w:rFonts w:hint="eastAsia"/>
                <w:color w:val="000000"/>
                <w:sz w:val="21"/>
              </w:rPr>
              <w:t>较大</w:t>
            </w:r>
            <w:r>
              <w:rPr>
                <w:color w:val="000000"/>
                <w:sz w:val="21"/>
              </w:rPr>
              <w:t>-大气（Q1-M1-E1）+一般-水（Q1-M2-E3）】</w:t>
            </w:r>
          </w:p>
        </w:tc>
        <w:tc>
          <w:tcPr>
            <w:tcW w:w="3443" w:type="dxa"/>
            <w:noWrap w:val="0"/>
            <w:vAlign w:val="center"/>
          </w:tcPr>
          <w:p>
            <w:pPr>
              <w:spacing w:line="240" w:lineRule="auto"/>
              <w:ind w:firstLine="420"/>
              <w:rPr>
                <w:color w:val="000000"/>
                <w:sz w:val="21"/>
              </w:rPr>
            </w:pPr>
            <w:r>
              <w:rPr>
                <w:color w:val="000000"/>
                <w:sz w:val="21"/>
              </w:rPr>
              <w:t>区分了水和大气的风险等级</w:t>
            </w:r>
          </w:p>
        </w:tc>
      </w:tr>
    </w:tbl>
    <w:p>
      <w:pPr>
        <w:ind w:firstLine="480"/>
        <w:rPr>
          <w:color w:val="000000"/>
        </w:rPr>
      </w:pPr>
    </w:p>
    <w:p>
      <w:pPr>
        <w:ind w:firstLine="480"/>
        <w:rPr>
          <w:color w:val="000000"/>
        </w:rPr>
      </w:pPr>
      <w:r>
        <w:rPr>
          <w:color w:val="000000"/>
        </w:rPr>
        <w:t>（三）突发环境事件应急预案修编情况</w:t>
      </w:r>
    </w:p>
    <w:p>
      <w:pPr>
        <w:ind w:firstLine="480"/>
        <w:rPr>
          <w:color w:val="000000"/>
        </w:rPr>
      </w:pPr>
      <w:r>
        <w:rPr>
          <w:color w:val="000000"/>
        </w:rPr>
        <w:t>修订突发环境事件应急预案，根据企业现有实际情况，青鹏公司对《重庆永荣青鹏水泥有限公司突发环境事件应急预案》（2016年版）进行了修订，青鹏公司应急预案2016年版与2019年修订版的变更情况见表2。</w:t>
      </w:r>
    </w:p>
    <w:p>
      <w:pPr>
        <w:spacing w:line="240" w:lineRule="auto"/>
        <w:ind w:firstLine="422"/>
        <w:jc w:val="center"/>
        <w:rPr>
          <w:b/>
          <w:bCs/>
          <w:color w:val="000000"/>
          <w:sz w:val="21"/>
        </w:rPr>
      </w:pPr>
      <w:r>
        <w:rPr>
          <w:b/>
          <w:bCs/>
          <w:sz w:val="21"/>
        </w:rPr>
        <w:t>表2  修订情况一览表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137"/>
        <w:gridCol w:w="2268"/>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81" w:type="dxa"/>
            <w:tcBorders>
              <w:tl2br w:val="single" w:color="auto" w:sz="4" w:space="0"/>
            </w:tcBorders>
            <w:noWrap w:val="0"/>
            <w:vAlign w:val="center"/>
          </w:tcPr>
          <w:p>
            <w:pPr>
              <w:spacing w:line="240" w:lineRule="auto"/>
              <w:ind w:firstLine="420"/>
              <w:jc w:val="right"/>
              <w:rPr>
                <w:color w:val="000000"/>
                <w:sz w:val="21"/>
              </w:rPr>
            </w:pPr>
            <w:r>
              <w:rPr>
                <w:color w:val="000000"/>
                <w:sz w:val="21"/>
              </w:rPr>
              <w:t>版本</w:t>
            </w:r>
          </w:p>
          <w:p>
            <w:pPr>
              <w:spacing w:line="240" w:lineRule="auto"/>
              <w:ind w:firstLine="0" w:firstLineChars="0"/>
              <w:jc w:val="left"/>
              <w:rPr>
                <w:color w:val="000000"/>
                <w:sz w:val="21"/>
              </w:rPr>
            </w:pPr>
            <w:r>
              <w:rPr>
                <w:color w:val="000000"/>
                <w:sz w:val="21"/>
              </w:rPr>
              <w:t>特征</w:t>
            </w:r>
          </w:p>
        </w:tc>
        <w:tc>
          <w:tcPr>
            <w:tcW w:w="2137" w:type="dxa"/>
            <w:noWrap w:val="0"/>
            <w:vAlign w:val="center"/>
          </w:tcPr>
          <w:p>
            <w:pPr>
              <w:spacing w:line="240" w:lineRule="auto"/>
              <w:ind w:firstLine="420"/>
              <w:jc w:val="center"/>
              <w:rPr>
                <w:color w:val="000000"/>
                <w:sz w:val="21"/>
              </w:rPr>
            </w:pPr>
            <w:r>
              <w:rPr>
                <w:color w:val="000000"/>
                <w:sz w:val="21"/>
              </w:rPr>
              <w:t>2016年版</w:t>
            </w:r>
          </w:p>
        </w:tc>
        <w:tc>
          <w:tcPr>
            <w:tcW w:w="2268" w:type="dxa"/>
            <w:noWrap w:val="0"/>
            <w:vAlign w:val="center"/>
          </w:tcPr>
          <w:p>
            <w:pPr>
              <w:spacing w:line="240" w:lineRule="auto"/>
              <w:ind w:firstLine="420"/>
              <w:jc w:val="center"/>
              <w:rPr>
                <w:color w:val="000000"/>
                <w:sz w:val="21"/>
              </w:rPr>
            </w:pPr>
            <w:r>
              <w:rPr>
                <w:color w:val="000000"/>
                <w:sz w:val="21"/>
              </w:rPr>
              <w:t>2019年修订版</w:t>
            </w:r>
          </w:p>
        </w:tc>
        <w:tc>
          <w:tcPr>
            <w:tcW w:w="3301" w:type="dxa"/>
            <w:noWrap w:val="0"/>
            <w:vAlign w:val="center"/>
          </w:tcPr>
          <w:p>
            <w:pPr>
              <w:spacing w:line="240" w:lineRule="auto"/>
              <w:ind w:firstLine="420"/>
              <w:jc w:val="center"/>
              <w:rPr>
                <w:color w:val="000000"/>
                <w:sz w:val="21"/>
              </w:rPr>
            </w:pPr>
            <w:r>
              <w:rPr>
                <w:color w:val="000000"/>
                <w:sz w:val="21"/>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81" w:type="dxa"/>
            <w:noWrap w:val="0"/>
            <w:vAlign w:val="center"/>
          </w:tcPr>
          <w:p>
            <w:pPr>
              <w:spacing w:line="240" w:lineRule="auto"/>
              <w:ind w:firstLine="420"/>
              <w:jc w:val="center"/>
              <w:rPr>
                <w:color w:val="000000"/>
                <w:sz w:val="21"/>
              </w:rPr>
            </w:pPr>
            <w:r>
              <w:rPr>
                <w:color w:val="000000"/>
                <w:sz w:val="21"/>
              </w:rPr>
              <w:t>应急队伍</w:t>
            </w:r>
          </w:p>
        </w:tc>
        <w:tc>
          <w:tcPr>
            <w:tcW w:w="2137" w:type="dxa"/>
            <w:noWrap w:val="0"/>
            <w:vAlign w:val="center"/>
          </w:tcPr>
          <w:p>
            <w:pPr>
              <w:spacing w:line="240" w:lineRule="auto"/>
              <w:ind w:firstLine="420"/>
              <w:jc w:val="center"/>
              <w:rPr>
                <w:color w:val="000000"/>
                <w:sz w:val="21"/>
              </w:rPr>
            </w:pPr>
            <w:r>
              <w:rPr>
                <w:color w:val="000000"/>
                <w:sz w:val="21"/>
              </w:rPr>
              <w:t>总指挥、应急救援小队</w:t>
            </w:r>
          </w:p>
        </w:tc>
        <w:tc>
          <w:tcPr>
            <w:tcW w:w="2268" w:type="dxa"/>
            <w:noWrap w:val="0"/>
            <w:vAlign w:val="center"/>
          </w:tcPr>
          <w:p>
            <w:pPr>
              <w:spacing w:line="240" w:lineRule="auto"/>
              <w:ind w:firstLine="420"/>
              <w:jc w:val="center"/>
              <w:rPr>
                <w:color w:val="000000"/>
                <w:sz w:val="21"/>
              </w:rPr>
            </w:pPr>
            <w:r>
              <w:rPr>
                <w:color w:val="000000"/>
                <w:sz w:val="21"/>
              </w:rPr>
              <w:t>应急指挥部、应急处置组、警戒疏散组、综合保障组</w:t>
            </w:r>
          </w:p>
        </w:tc>
        <w:tc>
          <w:tcPr>
            <w:tcW w:w="3301" w:type="dxa"/>
            <w:noWrap w:val="0"/>
            <w:vAlign w:val="center"/>
          </w:tcPr>
          <w:p>
            <w:pPr>
              <w:spacing w:line="240" w:lineRule="auto"/>
              <w:ind w:firstLine="420"/>
              <w:jc w:val="center"/>
              <w:rPr>
                <w:color w:val="000000"/>
                <w:sz w:val="21"/>
              </w:rPr>
            </w:pPr>
            <w:r>
              <w:rPr>
                <w:color w:val="000000"/>
                <w:sz w:val="21"/>
              </w:rPr>
              <w:t>更改了各应急小组的命名，根据实际情况更新了应急人员名单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81" w:type="dxa"/>
            <w:noWrap w:val="0"/>
            <w:vAlign w:val="center"/>
          </w:tcPr>
          <w:p>
            <w:pPr>
              <w:spacing w:line="240" w:lineRule="auto"/>
              <w:ind w:firstLine="420"/>
              <w:jc w:val="center"/>
              <w:rPr>
                <w:color w:val="000000"/>
                <w:sz w:val="21"/>
              </w:rPr>
            </w:pPr>
            <w:r>
              <w:rPr>
                <w:color w:val="000000"/>
                <w:sz w:val="21"/>
              </w:rPr>
              <w:t>应急等级</w:t>
            </w:r>
          </w:p>
        </w:tc>
        <w:tc>
          <w:tcPr>
            <w:tcW w:w="2137" w:type="dxa"/>
            <w:noWrap w:val="0"/>
            <w:vAlign w:val="center"/>
          </w:tcPr>
          <w:p>
            <w:pPr>
              <w:spacing w:line="240" w:lineRule="auto"/>
              <w:ind w:firstLine="0" w:firstLineChars="0"/>
              <w:rPr>
                <w:color w:val="000000"/>
                <w:sz w:val="21"/>
              </w:rPr>
            </w:pPr>
            <w:r>
              <w:rPr>
                <w:color w:val="000000"/>
                <w:sz w:val="21"/>
              </w:rPr>
              <w:t>企业重大环境事件级、企业较大环境事件级、企业一般环境事件级</w:t>
            </w:r>
          </w:p>
        </w:tc>
        <w:tc>
          <w:tcPr>
            <w:tcW w:w="2268" w:type="dxa"/>
            <w:noWrap w:val="0"/>
            <w:vAlign w:val="center"/>
          </w:tcPr>
          <w:p>
            <w:pPr>
              <w:spacing w:line="240" w:lineRule="auto"/>
              <w:ind w:firstLine="0" w:firstLineChars="0"/>
              <w:rPr>
                <w:color w:val="000000"/>
                <w:sz w:val="21"/>
              </w:rPr>
            </w:pPr>
            <w:r>
              <w:rPr>
                <w:color w:val="000000"/>
                <w:sz w:val="21"/>
              </w:rPr>
              <w:t>企业级、社会联动级</w:t>
            </w:r>
          </w:p>
        </w:tc>
        <w:tc>
          <w:tcPr>
            <w:tcW w:w="3301" w:type="dxa"/>
            <w:noWrap w:val="0"/>
            <w:vAlign w:val="center"/>
          </w:tcPr>
          <w:p>
            <w:pPr>
              <w:spacing w:line="240" w:lineRule="auto"/>
              <w:ind w:firstLine="420"/>
              <w:jc w:val="center"/>
              <w:rPr>
                <w:color w:val="000000"/>
                <w:sz w:val="21"/>
              </w:rPr>
            </w:pPr>
            <w:r>
              <w:rPr>
                <w:color w:val="000000"/>
                <w:sz w:val="21"/>
              </w:rPr>
              <w:t>将预警、应急响应的等级简化为企业级和社会联动级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1" w:type="dxa"/>
            <w:noWrap w:val="0"/>
            <w:vAlign w:val="center"/>
          </w:tcPr>
          <w:p>
            <w:pPr>
              <w:spacing w:line="240" w:lineRule="auto"/>
              <w:ind w:firstLine="420"/>
              <w:jc w:val="center"/>
              <w:rPr>
                <w:color w:val="000000"/>
                <w:sz w:val="21"/>
              </w:rPr>
            </w:pPr>
            <w:r>
              <w:rPr>
                <w:color w:val="000000"/>
                <w:sz w:val="21"/>
              </w:rPr>
              <w:t>应急处置措施</w:t>
            </w:r>
          </w:p>
        </w:tc>
        <w:tc>
          <w:tcPr>
            <w:tcW w:w="2137" w:type="dxa"/>
            <w:noWrap w:val="0"/>
            <w:vAlign w:val="center"/>
          </w:tcPr>
          <w:p>
            <w:pPr>
              <w:spacing w:line="240" w:lineRule="auto"/>
              <w:ind w:firstLine="0" w:firstLineChars="0"/>
              <w:rPr>
                <w:color w:val="000000"/>
                <w:sz w:val="21"/>
              </w:rPr>
            </w:pPr>
            <w:r>
              <w:rPr>
                <w:color w:val="000000"/>
                <w:sz w:val="21"/>
              </w:rPr>
              <w:t>氨水储罐、润滑油库房、柴油储罐、泄漏事故处置</w:t>
            </w:r>
          </w:p>
        </w:tc>
        <w:tc>
          <w:tcPr>
            <w:tcW w:w="2268" w:type="dxa"/>
            <w:noWrap w:val="0"/>
            <w:vAlign w:val="center"/>
          </w:tcPr>
          <w:p>
            <w:pPr>
              <w:spacing w:line="240" w:lineRule="auto"/>
              <w:ind w:firstLine="0" w:firstLineChars="0"/>
              <w:rPr>
                <w:color w:val="000000"/>
                <w:sz w:val="21"/>
              </w:rPr>
            </w:pPr>
            <w:r>
              <w:rPr>
                <w:color w:val="000000"/>
                <w:sz w:val="21"/>
              </w:rPr>
              <w:t>氨水储罐、润滑油库房、柴油储罐、危险废物间泄漏事故处置；润滑油火灾事故柴油储罐泄漏事故柴油火灾事故处置</w:t>
            </w:r>
          </w:p>
          <w:p>
            <w:pPr>
              <w:spacing w:line="240" w:lineRule="auto"/>
              <w:ind w:firstLine="420"/>
              <w:jc w:val="center"/>
              <w:rPr>
                <w:color w:val="000000"/>
                <w:sz w:val="21"/>
              </w:rPr>
            </w:pPr>
          </w:p>
        </w:tc>
        <w:tc>
          <w:tcPr>
            <w:tcW w:w="3301" w:type="dxa"/>
            <w:noWrap w:val="0"/>
            <w:vAlign w:val="center"/>
          </w:tcPr>
          <w:p>
            <w:pPr>
              <w:spacing w:line="240" w:lineRule="auto"/>
              <w:ind w:firstLine="0" w:firstLineChars="0"/>
              <w:rPr>
                <w:color w:val="000000"/>
                <w:sz w:val="21"/>
              </w:rPr>
            </w:pPr>
            <w:r>
              <w:rPr>
                <w:color w:val="000000"/>
                <w:sz w:val="21"/>
              </w:rPr>
              <w:t>新增了危险废物间泄漏事故处置措施，润滑油火灾事故柴油储罐泄漏事故柴油火灾事故处置措施</w:t>
            </w:r>
          </w:p>
        </w:tc>
      </w:tr>
    </w:tbl>
    <w:p>
      <w:pPr>
        <w:ind w:firstLine="480"/>
        <w:rPr>
          <w:color w:val="000000"/>
        </w:rPr>
      </w:pPr>
    </w:p>
    <w:p>
      <w:pPr>
        <w:ind w:firstLine="480"/>
        <w:rPr>
          <w:color w:val="000000"/>
        </w:rPr>
      </w:pPr>
      <w:r>
        <w:rPr>
          <w:color w:val="000000"/>
        </w:rPr>
        <w:t>（四）演练暴露问题及问题清单</w:t>
      </w:r>
    </w:p>
    <w:p>
      <w:pPr>
        <w:ind w:firstLine="480"/>
        <w:rPr>
          <w:color w:val="000000"/>
        </w:rPr>
      </w:pPr>
      <w:r>
        <w:rPr>
          <w:color w:val="000000"/>
        </w:rPr>
        <w:t>评审和演练突发环境事件应急预案，2016年青鹏公司编制完成了《重庆用荣光青鹏水泥有限公司突发环境事件应急预案》（2016年版），通过近三年的使用，16年版应急预案存在操作性已经不强，应急预案体系有更新，应急处置人员有变动，风险物质、风险事故、风险等级和应急处置措施有所变化等问题，结合以上问题，建议2019年版应急预案应更加结合实际，更新应急预案体系，简化应急等级，更新应急队伍及人员名单、风险事故和应急处置措施等，《重庆永荣青鹏水泥有限公司突发环境事件应急预案》（2019年修订版）完善了以上问题，使本预案更具有可操作性。</w:t>
      </w:r>
    </w:p>
    <w:p>
      <w:pPr>
        <w:ind w:firstLine="482"/>
        <w:rPr>
          <w:b/>
          <w:bCs/>
          <w:color w:val="000000"/>
        </w:rPr>
      </w:pPr>
      <w:r>
        <w:rPr>
          <w:b/>
          <w:bCs/>
          <w:color w:val="000000"/>
        </w:rPr>
        <w:t>二、重点内容说明</w:t>
      </w:r>
    </w:p>
    <w:p>
      <w:pPr>
        <w:ind w:firstLine="480"/>
        <w:rPr>
          <w:color w:val="000000"/>
        </w:rPr>
      </w:pPr>
      <w:r>
        <w:rPr>
          <w:color w:val="000000"/>
        </w:rPr>
        <w:t>《重庆永荣青鹏水泥有限公司突发环境事件应急预案》（2019年修订版）主要内容包括突发环境事件的应急响应分级、可能发生的突发环境事件情景下需要采取的应急措施，向可能影响的居民或单位通报的内容和方式，向环境主管部门和有关部门报告的内容和方式，以及与政府部门预案的衔接方式。</w:t>
      </w:r>
    </w:p>
    <w:p>
      <w:pPr>
        <w:ind w:firstLine="482"/>
        <w:rPr>
          <w:b/>
          <w:color w:val="000000"/>
        </w:rPr>
      </w:pPr>
      <w:r>
        <w:rPr>
          <w:b/>
          <w:color w:val="000000"/>
        </w:rPr>
        <w:t>三、征求意见及采纳情况</w:t>
      </w:r>
    </w:p>
    <w:p>
      <w:pPr>
        <w:ind w:firstLine="480"/>
        <w:rPr>
          <w:color w:val="000000"/>
        </w:rPr>
      </w:pPr>
      <w:r>
        <w:rPr>
          <w:color w:val="000000"/>
        </w:rPr>
        <w:t>2019年10月，组织有关部门人员，对应急预案进行了评审并向周边居民和可能受影响单位征求意见，共电话、口头、书面征求意见10人次，提出问题意向，公司采纳了相关意见并对《重庆永荣青鹏水泥有限公司突发环境事件应急预案》（2019年修订版）进行修改完善。征求意见及采纳情况见表3。</w:t>
      </w:r>
    </w:p>
    <w:p>
      <w:pPr>
        <w:adjustRightInd w:val="0"/>
        <w:snapToGrid w:val="0"/>
        <w:spacing w:line="240" w:lineRule="auto"/>
        <w:ind w:firstLine="422"/>
        <w:jc w:val="center"/>
        <w:rPr>
          <w:b/>
          <w:bCs/>
          <w:color w:val="000000"/>
          <w:sz w:val="21"/>
        </w:rPr>
      </w:pPr>
      <w:r>
        <w:rPr>
          <w:b/>
          <w:bCs/>
          <w:color w:val="000000"/>
          <w:sz w:val="21"/>
        </w:rPr>
        <w:t>表3  征求意见及采纳情况说明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6226"/>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序号</w:t>
            </w:r>
          </w:p>
        </w:tc>
        <w:tc>
          <w:tcPr>
            <w:tcW w:w="6226" w:type="dxa"/>
            <w:noWrap w:val="0"/>
            <w:vAlign w:val="center"/>
          </w:tcPr>
          <w:p>
            <w:pPr>
              <w:spacing w:line="240" w:lineRule="auto"/>
              <w:ind w:firstLine="420"/>
              <w:jc w:val="center"/>
              <w:rPr>
                <w:color w:val="000000"/>
                <w:sz w:val="21"/>
              </w:rPr>
            </w:pPr>
            <w:r>
              <w:rPr>
                <w:color w:val="000000"/>
                <w:sz w:val="21"/>
              </w:rPr>
              <w:t>征求的意见</w:t>
            </w:r>
          </w:p>
        </w:tc>
        <w:tc>
          <w:tcPr>
            <w:tcW w:w="1669" w:type="dxa"/>
            <w:noWrap w:val="0"/>
            <w:vAlign w:val="center"/>
          </w:tcPr>
          <w:p>
            <w:pPr>
              <w:spacing w:line="240" w:lineRule="auto"/>
              <w:ind w:firstLine="0" w:firstLineChars="0"/>
              <w:rPr>
                <w:color w:val="000000"/>
                <w:sz w:val="21"/>
              </w:rPr>
            </w:pPr>
            <w:r>
              <w:rPr>
                <w:color w:val="000000"/>
                <w:sz w:val="21"/>
              </w:rPr>
              <w:t>采纳情况说明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1</w:t>
            </w:r>
          </w:p>
        </w:tc>
        <w:tc>
          <w:tcPr>
            <w:tcW w:w="6226" w:type="dxa"/>
            <w:noWrap w:val="0"/>
            <w:vAlign w:val="center"/>
          </w:tcPr>
          <w:p>
            <w:pPr>
              <w:spacing w:line="240" w:lineRule="auto"/>
              <w:ind w:firstLine="420"/>
              <w:rPr>
                <w:color w:val="000000"/>
                <w:sz w:val="21"/>
              </w:rPr>
            </w:pPr>
            <w:r>
              <w:rPr>
                <w:color w:val="000000"/>
                <w:sz w:val="21"/>
              </w:rPr>
              <w:t>提出可能发生的突发事件及其影响范围和后果</w:t>
            </w:r>
          </w:p>
        </w:tc>
        <w:tc>
          <w:tcPr>
            <w:tcW w:w="1669" w:type="dxa"/>
            <w:noWrap w:val="0"/>
            <w:vAlign w:val="center"/>
          </w:tcPr>
          <w:p>
            <w:pPr>
              <w:spacing w:line="240" w:lineRule="auto"/>
              <w:ind w:firstLine="420"/>
              <w:jc w:val="center"/>
              <w:rPr>
                <w:color w:val="000000"/>
                <w:sz w:val="21"/>
              </w:rPr>
            </w:pPr>
            <w:r>
              <w:rPr>
                <w:color w:val="000000"/>
                <w:sz w:val="21"/>
              </w:rPr>
              <w:t>已采纳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2</w:t>
            </w:r>
          </w:p>
        </w:tc>
        <w:tc>
          <w:tcPr>
            <w:tcW w:w="6226" w:type="dxa"/>
            <w:noWrap w:val="0"/>
            <w:vAlign w:val="center"/>
          </w:tcPr>
          <w:p>
            <w:pPr>
              <w:spacing w:line="240" w:lineRule="auto"/>
              <w:ind w:firstLine="420"/>
              <w:rPr>
                <w:color w:val="000000"/>
                <w:sz w:val="21"/>
              </w:rPr>
            </w:pPr>
            <w:r>
              <w:rPr>
                <w:color w:val="000000"/>
                <w:sz w:val="21"/>
              </w:rPr>
              <w:t>预案的编制应严格按照国家法律法规及相关标准编制</w:t>
            </w:r>
          </w:p>
        </w:tc>
        <w:tc>
          <w:tcPr>
            <w:tcW w:w="1669" w:type="dxa"/>
            <w:noWrap w:val="0"/>
            <w:vAlign w:val="center"/>
          </w:tcPr>
          <w:p>
            <w:pPr>
              <w:spacing w:line="240" w:lineRule="auto"/>
              <w:ind w:firstLine="420"/>
              <w:jc w:val="center"/>
              <w:rPr>
                <w:color w:val="000000"/>
                <w:sz w:val="21"/>
              </w:rPr>
            </w:pPr>
            <w:r>
              <w:rPr>
                <w:color w:val="000000"/>
                <w:sz w:val="21"/>
              </w:rPr>
              <w:t>已采纳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3</w:t>
            </w:r>
          </w:p>
        </w:tc>
        <w:tc>
          <w:tcPr>
            <w:tcW w:w="6226" w:type="dxa"/>
            <w:noWrap w:val="0"/>
            <w:vAlign w:val="center"/>
          </w:tcPr>
          <w:p>
            <w:pPr>
              <w:spacing w:line="240" w:lineRule="auto"/>
              <w:ind w:firstLine="420"/>
              <w:rPr>
                <w:color w:val="000000"/>
                <w:sz w:val="21"/>
              </w:rPr>
            </w:pPr>
            <w:r>
              <w:rPr>
                <w:color w:val="000000"/>
                <w:sz w:val="21"/>
              </w:rPr>
              <w:t>预案中针对可能受事件影响的职工、周边群众要提出具体的疏散撤离及安置的方式方法</w:t>
            </w:r>
          </w:p>
        </w:tc>
        <w:tc>
          <w:tcPr>
            <w:tcW w:w="1669" w:type="dxa"/>
            <w:noWrap w:val="0"/>
            <w:vAlign w:val="center"/>
          </w:tcPr>
          <w:p>
            <w:pPr>
              <w:spacing w:line="240" w:lineRule="auto"/>
              <w:ind w:firstLine="420"/>
              <w:jc w:val="center"/>
              <w:rPr>
                <w:color w:val="000000"/>
                <w:sz w:val="21"/>
              </w:rPr>
            </w:pPr>
            <w:r>
              <w:rPr>
                <w:color w:val="000000"/>
                <w:sz w:val="21"/>
              </w:rPr>
              <w:t>已采纳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4</w:t>
            </w:r>
          </w:p>
        </w:tc>
        <w:tc>
          <w:tcPr>
            <w:tcW w:w="6226" w:type="dxa"/>
            <w:noWrap w:val="0"/>
            <w:vAlign w:val="center"/>
          </w:tcPr>
          <w:p>
            <w:pPr>
              <w:spacing w:line="240" w:lineRule="auto"/>
              <w:ind w:firstLine="420"/>
              <w:rPr>
                <w:color w:val="000000"/>
                <w:sz w:val="21"/>
              </w:rPr>
            </w:pPr>
            <w:r>
              <w:rPr>
                <w:color w:val="000000"/>
                <w:sz w:val="21"/>
              </w:rPr>
              <w:t>现场处置措施要有针对性及切合实际</w:t>
            </w:r>
          </w:p>
        </w:tc>
        <w:tc>
          <w:tcPr>
            <w:tcW w:w="1669" w:type="dxa"/>
            <w:noWrap w:val="0"/>
            <w:vAlign w:val="center"/>
          </w:tcPr>
          <w:p>
            <w:pPr>
              <w:spacing w:line="240" w:lineRule="auto"/>
              <w:ind w:firstLine="420"/>
              <w:jc w:val="center"/>
              <w:rPr>
                <w:color w:val="000000"/>
                <w:sz w:val="21"/>
              </w:rPr>
            </w:pPr>
            <w:r>
              <w:rPr>
                <w:color w:val="000000"/>
                <w:sz w:val="21"/>
              </w:rPr>
              <w:t>已采纳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5</w:t>
            </w:r>
          </w:p>
        </w:tc>
        <w:tc>
          <w:tcPr>
            <w:tcW w:w="6226" w:type="dxa"/>
            <w:noWrap w:val="0"/>
            <w:vAlign w:val="center"/>
          </w:tcPr>
          <w:p>
            <w:pPr>
              <w:spacing w:line="240" w:lineRule="auto"/>
              <w:ind w:firstLine="420"/>
              <w:rPr>
                <w:color w:val="000000"/>
                <w:sz w:val="21"/>
              </w:rPr>
            </w:pPr>
            <w:r>
              <w:rPr>
                <w:color w:val="000000"/>
                <w:sz w:val="21"/>
              </w:rPr>
              <w:t>预案中事件的分级、预警及应急响应要条理清晰</w:t>
            </w:r>
          </w:p>
        </w:tc>
        <w:tc>
          <w:tcPr>
            <w:tcW w:w="1669" w:type="dxa"/>
            <w:noWrap w:val="0"/>
            <w:vAlign w:val="center"/>
          </w:tcPr>
          <w:p>
            <w:pPr>
              <w:spacing w:line="240" w:lineRule="auto"/>
              <w:ind w:firstLine="420"/>
              <w:jc w:val="center"/>
              <w:rPr>
                <w:color w:val="000000"/>
                <w:sz w:val="21"/>
              </w:rPr>
            </w:pPr>
            <w:r>
              <w:rPr>
                <w:color w:val="000000"/>
                <w:sz w:val="21"/>
              </w:rPr>
              <w:t>已采纳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7" w:type="dxa"/>
            <w:noWrap w:val="0"/>
            <w:vAlign w:val="center"/>
          </w:tcPr>
          <w:p>
            <w:pPr>
              <w:spacing w:line="240" w:lineRule="auto"/>
              <w:ind w:firstLine="0" w:firstLineChars="0"/>
              <w:rPr>
                <w:color w:val="000000"/>
                <w:sz w:val="21"/>
              </w:rPr>
            </w:pPr>
            <w:r>
              <w:rPr>
                <w:color w:val="000000"/>
                <w:sz w:val="21"/>
              </w:rPr>
              <w:t>6</w:t>
            </w:r>
          </w:p>
        </w:tc>
        <w:tc>
          <w:tcPr>
            <w:tcW w:w="6226" w:type="dxa"/>
            <w:noWrap w:val="0"/>
            <w:vAlign w:val="center"/>
          </w:tcPr>
          <w:p>
            <w:pPr>
              <w:spacing w:line="240" w:lineRule="auto"/>
              <w:ind w:firstLine="420"/>
              <w:rPr>
                <w:color w:val="000000"/>
                <w:sz w:val="21"/>
              </w:rPr>
            </w:pPr>
            <w:r>
              <w:rPr>
                <w:color w:val="000000"/>
                <w:sz w:val="21"/>
              </w:rPr>
              <w:t>预案中应急组织中人员的职责要详细、具体，相应的责任要落实到人员岗位上</w:t>
            </w:r>
          </w:p>
        </w:tc>
        <w:tc>
          <w:tcPr>
            <w:tcW w:w="1669" w:type="dxa"/>
            <w:noWrap w:val="0"/>
            <w:vAlign w:val="center"/>
          </w:tcPr>
          <w:p>
            <w:pPr>
              <w:spacing w:line="240" w:lineRule="auto"/>
              <w:ind w:firstLine="420"/>
              <w:jc w:val="center"/>
              <w:rPr>
                <w:color w:val="000000"/>
                <w:sz w:val="21"/>
              </w:rPr>
            </w:pPr>
            <w:r>
              <w:rPr>
                <w:color w:val="000000"/>
                <w:sz w:val="21"/>
              </w:rPr>
              <w:t>已采纳</w:t>
            </w:r>
          </w:p>
        </w:tc>
      </w:tr>
    </w:tbl>
    <w:p>
      <w:pPr>
        <w:ind w:firstLine="482"/>
        <w:rPr>
          <w:b/>
          <w:bCs/>
          <w:color w:val="000000"/>
        </w:rPr>
      </w:pPr>
      <w:r>
        <w:rPr>
          <w:b/>
          <w:bCs/>
          <w:color w:val="000000"/>
        </w:rPr>
        <w:t>四、专家评审情况</w:t>
      </w:r>
    </w:p>
    <w:p>
      <w:pPr>
        <w:ind w:firstLine="480"/>
      </w:pPr>
      <w:r>
        <w:t>2019年11月14日，组织专家对本预案进行了评审，编制小组按照专家意见对预案进行了修改和完善，并于2019年</w:t>
      </w:r>
      <w:r>
        <w:rPr>
          <w:rFonts w:hint="eastAsia"/>
        </w:rPr>
        <w:t>11</w:t>
      </w:r>
      <w:r>
        <w:t xml:space="preserve">月 </w:t>
      </w:r>
      <w:r>
        <w:rPr>
          <w:rFonts w:hint="eastAsia"/>
        </w:rPr>
        <w:t>28</w:t>
      </w:r>
      <w:r>
        <w:t>日正式发布实施。</w:t>
      </w:r>
    </w:p>
    <w:p>
      <w:pPr>
        <w:spacing w:line="240" w:lineRule="auto"/>
        <w:ind w:firstLine="0" w:firstLineChars="0"/>
        <w:jc w:val="center"/>
        <w:rPr>
          <w:color w:val="000000"/>
          <w:sz w:val="21"/>
        </w:rPr>
      </w:pPr>
      <w:bookmarkStart w:id="565" w:name="_Toc18161_WPSOffice_Level1"/>
      <w:r>
        <w:rPr>
          <w:b/>
          <w:bCs/>
          <w:sz w:val="32"/>
          <w:szCs w:val="32"/>
        </w:rPr>
        <w:t>目录</w:t>
      </w:r>
      <w:r>
        <w:rPr>
          <w:color w:val="000000"/>
          <w:sz w:val="21"/>
        </w:rPr>
        <w:fldChar w:fldCharType="begin"/>
      </w:r>
      <w:r>
        <w:rPr>
          <w:rStyle w:val="45"/>
          <w:rFonts w:ascii="Times New Roman" w:hAnsi="Times New Roman" w:eastAsia="宋体"/>
          <w:b w:val="0"/>
          <w:color w:val="000000"/>
          <w:sz w:val="21"/>
          <w:szCs w:val="21"/>
        </w:rPr>
        <w:instrText xml:space="preserve">TOC \o "1-3" \h \u </w:instrText>
      </w:r>
      <w:r>
        <w:rPr>
          <w:color w:val="000000"/>
          <w:sz w:val="21"/>
        </w:rPr>
        <w:fldChar w:fldCharType="separate"/>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_Toc27973 </w:instrText>
      </w:r>
      <w:r>
        <w:rPr>
          <w:b w:val="0"/>
        </w:rPr>
        <w:fldChar w:fldCharType="separate"/>
      </w:r>
      <w:r>
        <w:rPr>
          <w:b w:val="0"/>
        </w:rPr>
        <w:t>1 总则</w:t>
      </w:r>
      <w:r>
        <w:rPr>
          <w:b w:val="0"/>
        </w:rPr>
        <w:tab/>
      </w:r>
      <w:r>
        <w:rPr>
          <w:b w:val="0"/>
        </w:rPr>
        <w:fldChar w:fldCharType="begin"/>
      </w:r>
      <w:r>
        <w:rPr>
          <w:b w:val="0"/>
        </w:rPr>
        <w:instrText xml:space="preserve"> PAGEREF _Toc27973 </w:instrText>
      </w:r>
      <w:r>
        <w:rPr>
          <w:b w:val="0"/>
        </w:rPr>
        <w:fldChar w:fldCharType="separate"/>
      </w:r>
      <w:r>
        <w:rPr>
          <w:b w:val="0"/>
        </w:rPr>
        <w:t>1</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_Toc5338 </w:instrText>
      </w:r>
      <w:r>
        <w:fldChar w:fldCharType="separate"/>
      </w:r>
      <w:r>
        <w:rPr>
          <w:rFonts w:ascii="Times New Roman" w:hAnsi="Times New Roman"/>
          <w:lang w:val="zh-CN"/>
        </w:rPr>
        <w:t>1.1 编制目的</w:t>
      </w:r>
      <w:r>
        <w:tab/>
      </w:r>
      <w:r>
        <w:fldChar w:fldCharType="begin"/>
      </w:r>
      <w:r>
        <w:instrText xml:space="preserve"> PAGEREF _Toc5338 </w:instrText>
      </w:r>
      <w:r>
        <w:fldChar w:fldCharType="separate"/>
      </w:r>
      <w:r>
        <w:t>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_Toc31212 </w:instrText>
      </w:r>
      <w:r>
        <w:fldChar w:fldCharType="separate"/>
      </w:r>
      <w:r>
        <w:rPr>
          <w:rFonts w:ascii="Times New Roman" w:hAnsi="Times New Roman"/>
          <w:lang w:val="zh-CN"/>
        </w:rPr>
        <w:t>1.2 编制依据</w:t>
      </w:r>
      <w:r>
        <w:tab/>
      </w:r>
      <w:r>
        <w:fldChar w:fldCharType="begin"/>
      </w:r>
      <w:r>
        <w:instrText xml:space="preserve"> PAGEREF _Toc31212 </w:instrText>
      </w:r>
      <w:r>
        <w:fldChar w:fldCharType="separate"/>
      </w:r>
      <w:r>
        <w:t>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_Toc9140 </w:instrText>
      </w:r>
      <w:r>
        <w:fldChar w:fldCharType="separate"/>
      </w:r>
      <w:r>
        <w:rPr>
          <w:rFonts w:ascii="Times New Roman" w:hAnsi="Times New Roman"/>
          <w:lang w:val="zh-CN"/>
        </w:rPr>
        <w:t>1.</w:t>
      </w:r>
      <w:r>
        <w:rPr>
          <w:rFonts w:ascii="Times New Roman" w:hAnsi="Times New Roman"/>
        </w:rPr>
        <w:t>3</w:t>
      </w:r>
      <w:r>
        <w:rPr>
          <w:rFonts w:ascii="Times New Roman" w:hAnsi="Times New Roman"/>
          <w:lang w:val="zh-CN"/>
        </w:rPr>
        <w:t xml:space="preserve"> 适用范围</w:t>
      </w:r>
      <w:r>
        <w:tab/>
      </w:r>
      <w:r>
        <w:fldChar w:fldCharType="begin"/>
      </w:r>
      <w:r>
        <w:instrText xml:space="preserve"> PAGEREF _Toc9140 </w:instrText>
      </w:r>
      <w:r>
        <w:fldChar w:fldCharType="separate"/>
      </w:r>
      <w:r>
        <w:t>2</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_Toc5649 </w:instrText>
      </w:r>
      <w:r>
        <w:fldChar w:fldCharType="separate"/>
      </w:r>
      <w:r>
        <w:rPr>
          <w:rFonts w:ascii="Times New Roman" w:hAnsi="Times New Roman"/>
        </w:rPr>
        <w:t>1.4编制原则</w:t>
      </w:r>
      <w:r>
        <w:tab/>
      </w:r>
      <w:r>
        <w:fldChar w:fldCharType="begin"/>
      </w:r>
      <w:r>
        <w:instrText xml:space="preserve"> PAGEREF _Toc5649 </w:instrText>
      </w:r>
      <w:r>
        <w:fldChar w:fldCharType="separate"/>
      </w:r>
      <w:r>
        <w:t>2</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_Toc16337 </w:instrText>
      </w:r>
      <w:r>
        <w:fldChar w:fldCharType="separate"/>
      </w:r>
      <w:r>
        <w:rPr>
          <w:rFonts w:ascii="Times New Roman" w:hAnsi="Times New Roman"/>
          <w:lang w:val="zh-CN"/>
        </w:rPr>
        <w:t>1.</w:t>
      </w:r>
      <w:r>
        <w:rPr>
          <w:rFonts w:ascii="Times New Roman" w:hAnsi="Times New Roman"/>
        </w:rPr>
        <w:t>5</w:t>
      </w:r>
      <w:r>
        <w:rPr>
          <w:rFonts w:ascii="Times New Roman" w:hAnsi="Times New Roman"/>
          <w:lang w:val="zh-CN"/>
        </w:rPr>
        <w:t xml:space="preserve"> 应急预案体系</w:t>
      </w:r>
      <w:r>
        <w:tab/>
      </w:r>
      <w:r>
        <w:fldChar w:fldCharType="begin"/>
      </w:r>
      <w:r>
        <w:instrText xml:space="preserve"> PAGEREF _Toc16337 </w:instrText>
      </w:r>
      <w:r>
        <w:fldChar w:fldCharType="separate"/>
      </w:r>
      <w:r>
        <w:t>3</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_Toc4158 </w:instrText>
      </w:r>
      <w:r>
        <w:rPr>
          <w:i w:val="0"/>
        </w:rPr>
        <w:fldChar w:fldCharType="separate"/>
      </w:r>
      <w:r>
        <w:rPr>
          <w:rFonts w:ascii="Times New Roman" w:hAnsi="Times New Roman"/>
          <w:i w:val="0"/>
        </w:rPr>
        <w:t>1.5.1与公司内部预案的衔接</w:t>
      </w:r>
      <w:r>
        <w:rPr>
          <w:i w:val="0"/>
        </w:rPr>
        <w:tab/>
      </w:r>
      <w:r>
        <w:rPr>
          <w:i w:val="0"/>
        </w:rPr>
        <w:fldChar w:fldCharType="begin"/>
      </w:r>
      <w:r>
        <w:rPr>
          <w:i w:val="0"/>
        </w:rPr>
        <w:instrText xml:space="preserve"> PAGEREF _Toc4158 </w:instrText>
      </w:r>
      <w:r>
        <w:rPr>
          <w:i w:val="0"/>
        </w:rPr>
        <w:fldChar w:fldCharType="separate"/>
      </w:r>
      <w:r>
        <w:rPr>
          <w:i w:val="0"/>
        </w:rPr>
        <w:t>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_Toc1375 </w:instrText>
      </w:r>
      <w:r>
        <w:rPr>
          <w:i w:val="0"/>
        </w:rPr>
        <w:fldChar w:fldCharType="separate"/>
      </w:r>
      <w:r>
        <w:rPr>
          <w:rFonts w:ascii="Times New Roman" w:hAnsi="Times New Roman"/>
          <w:i w:val="0"/>
        </w:rPr>
        <w:t>1.5.2 与上级部门预案的衔接</w:t>
      </w:r>
      <w:r>
        <w:rPr>
          <w:i w:val="0"/>
        </w:rPr>
        <w:tab/>
      </w:r>
      <w:r>
        <w:rPr>
          <w:i w:val="0"/>
        </w:rPr>
        <w:fldChar w:fldCharType="begin"/>
      </w:r>
      <w:r>
        <w:rPr>
          <w:i w:val="0"/>
        </w:rPr>
        <w:instrText xml:space="preserve"> PAGEREF _Toc1375 </w:instrText>
      </w:r>
      <w:r>
        <w:rPr>
          <w:i w:val="0"/>
        </w:rPr>
        <w:fldChar w:fldCharType="separate"/>
      </w:r>
      <w:r>
        <w:rPr>
          <w:i w:val="0"/>
        </w:rPr>
        <w:t>3</w:t>
      </w:r>
      <w:r>
        <w:rPr>
          <w:i w:val="0"/>
        </w:rPr>
        <w:fldChar w:fldCharType="end"/>
      </w:r>
      <w:r>
        <w:rPr>
          <w:i w:val="0"/>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_Toc17522 </w:instrText>
      </w:r>
      <w:r>
        <w:rPr>
          <w:b w:val="0"/>
        </w:rPr>
        <w:fldChar w:fldCharType="separate"/>
      </w:r>
      <w:r>
        <w:rPr>
          <w:rFonts w:ascii="Times New Roman" w:hAnsi="Times New Roman"/>
          <w:b w:val="0"/>
        </w:rPr>
        <w:t>2 公司基本信息</w:t>
      </w:r>
      <w:r>
        <w:rPr>
          <w:b w:val="0"/>
        </w:rPr>
        <w:tab/>
      </w:r>
      <w:r>
        <w:rPr>
          <w:b w:val="0"/>
        </w:rPr>
        <w:fldChar w:fldCharType="begin"/>
      </w:r>
      <w:r>
        <w:rPr>
          <w:b w:val="0"/>
        </w:rPr>
        <w:instrText xml:space="preserve"> PAGEREF _Toc17522 </w:instrText>
      </w:r>
      <w:r>
        <w:rPr>
          <w:b w:val="0"/>
        </w:rPr>
        <w:fldChar w:fldCharType="separate"/>
      </w:r>
      <w:r>
        <w:rPr>
          <w:b w:val="0"/>
        </w:rPr>
        <w:t>5</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_Toc30406 </w:instrText>
      </w:r>
      <w:r>
        <w:fldChar w:fldCharType="separate"/>
      </w:r>
      <w:r>
        <w:rPr>
          <w:rFonts w:ascii="Times New Roman" w:hAnsi="Times New Roman"/>
          <w:lang w:val="zh-CN"/>
        </w:rPr>
        <w:t>2.1 项目概况</w:t>
      </w:r>
      <w:r>
        <w:tab/>
      </w:r>
      <w:r>
        <w:fldChar w:fldCharType="begin"/>
      </w:r>
      <w:r>
        <w:instrText xml:space="preserve"> PAGEREF _Toc30406 </w:instrText>
      </w:r>
      <w:r>
        <w:fldChar w:fldCharType="separate"/>
      </w:r>
      <w:r>
        <w:t>5</w:t>
      </w:r>
      <w:r>
        <w:fldChar w:fldCharType="end"/>
      </w:r>
      <w:r>
        <w:rPr>
          <w:color w:val="000000"/>
        </w:rPr>
        <w:fldChar w:fldCharType="end"/>
      </w:r>
    </w:p>
    <w:p>
      <w:pPr>
        <w:pStyle w:val="16"/>
        <w:tabs>
          <w:tab w:val="right" w:leader="dot" w:pos="8306"/>
          <w:tab w:val="clear" w:pos="9344"/>
        </w:tabs>
        <w:ind w:firstLine="400"/>
        <w:rPr>
          <w:rFonts w:ascii="Times New Roman" w:hAnsi="Times New Roman"/>
          <w:b w:val="0"/>
        </w:rPr>
      </w:pPr>
      <w:r>
        <w:rPr>
          <w:rFonts w:ascii="Times New Roman" w:hAnsi="Times New Roman"/>
          <w:b w:val="0"/>
        </w:rPr>
        <w:fldChar w:fldCharType="begin"/>
      </w:r>
      <w:r>
        <w:rPr>
          <w:rFonts w:ascii="Times New Roman" w:hAnsi="Times New Roman"/>
          <w:b w:val="0"/>
        </w:rPr>
        <w:instrText xml:space="preserve"> HYPERLINK \l _Toc28753 </w:instrText>
      </w:r>
      <w:r>
        <w:rPr>
          <w:rFonts w:ascii="Times New Roman" w:hAnsi="Times New Roman"/>
          <w:b w:val="0"/>
        </w:rPr>
        <w:fldChar w:fldCharType="separate"/>
      </w:r>
      <w:r>
        <w:rPr>
          <w:rFonts w:ascii="Times New Roman" w:hAnsi="Times New Roman"/>
          <w:b w:val="0"/>
        </w:rPr>
        <w:t>3 环境风险源和环境风险评价</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_Toc28753 </w:instrText>
      </w:r>
      <w:r>
        <w:rPr>
          <w:rFonts w:ascii="Times New Roman" w:hAnsi="Times New Roman"/>
          <w:b w:val="0"/>
        </w:rPr>
        <w:fldChar w:fldCharType="separate"/>
      </w:r>
      <w:r>
        <w:rPr>
          <w:rFonts w:ascii="Times New Roman" w:hAnsi="Times New Roman"/>
          <w:b w:val="0"/>
        </w:rPr>
        <w:t>6</w:t>
      </w:r>
      <w:r>
        <w:rPr>
          <w:rFonts w:ascii="Times New Roman" w:hAnsi="Times New Roman"/>
          <w:b w:val="0"/>
        </w:rPr>
        <w:fldChar w:fldCharType="end"/>
      </w:r>
      <w:r>
        <w:rPr>
          <w:rFonts w:ascii="Times New Roman" w:hAnsi="Times New Roman"/>
          <w:b w:val="0"/>
        </w:rPr>
        <w:fldChar w:fldCharType="end"/>
      </w:r>
    </w:p>
    <w:p>
      <w:pPr>
        <w:pStyle w:val="17"/>
        <w:tabs>
          <w:tab w:val="right" w:leader="dot" w:pos="8306"/>
        </w:tabs>
        <w:ind w:firstLine="420"/>
      </w:pPr>
      <w:r>
        <w:rPr>
          <w:color w:val="000000"/>
        </w:rPr>
        <w:fldChar w:fldCharType="begin"/>
      </w:r>
      <w:r>
        <w:instrText xml:space="preserve"> HYPERLINK \l _Toc29836 </w:instrText>
      </w:r>
      <w:r>
        <w:fldChar w:fldCharType="separate"/>
      </w:r>
      <w:r>
        <w:rPr>
          <w:rFonts w:ascii="Times New Roman" w:hAnsi="Times New Roman"/>
          <w:lang w:val="zh-CN"/>
        </w:rPr>
        <w:t>3.1 环境风险物质识别</w:t>
      </w:r>
      <w:r>
        <w:tab/>
      </w:r>
      <w:r>
        <w:fldChar w:fldCharType="begin"/>
      </w:r>
      <w:r>
        <w:instrText xml:space="preserve"> PAGEREF _Toc29836 </w:instrText>
      </w:r>
      <w:r>
        <w:fldChar w:fldCharType="separate"/>
      </w:r>
      <w:r>
        <w:t>6</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_Toc28145 </w:instrText>
      </w:r>
      <w:r>
        <w:fldChar w:fldCharType="separate"/>
      </w:r>
      <w:r>
        <w:rPr>
          <w:rFonts w:ascii="Times New Roman" w:hAnsi="Times New Roman"/>
          <w:lang w:val="zh-CN"/>
        </w:rPr>
        <w:t>3.2 环境风险单元</w:t>
      </w:r>
      <w:r>
        <w:tab/>
      </w:r>
      <w:r>
        <w:fldChar w:fldCharType="begin"/>
      </w:r>
      <w:r>
        <w:instrText xml:space="preserve"> PAGEREF _Toc28145 </w:instrText>
      </w:r>
      <w:r>
        <w:fldChar w:fldCharType="separate"/>
      </w:r>
      <w:r>
        <w:t>6</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_Toc9588 </w:instrText>
      </w:r>
      <w:r>
        <w:fldChar w:fldCharType="separate"/>
      </w:r>
      <w:r>
        <w:rPr>
          <w:rFonts w:ascii="Times New Roman" w:hAnsi="Times New Roman"/>
          <w:lang w:val="zh-CN"/>
        </w:rPr>
        <w:t>3.3 突发环境事件情景</w:t>
      </w:r>
      <w:r>
        <w:tab/>
      </w:r>
      <w:r>
        <w:fldChar w:fldCharType="begin"/>
      </w:r>
      <w:r>
        <w:instrText xml:space="preserve"> PAGEREF _Toc9588 </w:instrText>
      </w:r>
      <w:r>
        <w:fldChar w:fldCharType="separate"/>
      </w:r>
      <w:r>
        <w:t>7</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_Toc12805 </w:instrText>
      </w:r>
      <w:r>
        <w:fldChar w:fldCharType="separate"/>
      </w:r>
      <w:r>
        <w:rPr>
          <w:rFonts w:ascii="Times New Roman" w:hAnsi="Times New Roman"/>
          <w:lang w:val="zh-CN"/>
        </w:rPr>
        <w:t>3.4 突发环境事件危害后果</w:t>
      </w:r>
      <w:r>
        <w:tab/>
      </w:r>
      <w:r>
        <w:fldChar w:fldCharType="begin"/>
      </w:r>
      <w:r>
        <w:instrText xml:space="preserve"> PAGEREF _Toc12805 </w:instrText>
      </w:r>
      <w:r>
        <w:fldChar w:fldCharType="separate"/>
      </w:r>
      <w:r>
        <w:t>8</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_Toc22644 </w:instrText>
      </w:r>
      <w:r>
        <w:rPr>
          <w:b w:val="0"/>
        </w:rPr>
        <w:fldChar w:fldCharType="separate"/>
      </w:r>
      <w:r>
        <w:rPr>
          <w:rFonts w:ascii="Times New Roman" w:hAnsi="Times New Roman"/>
          <w:b w:val="0"/>
        </w:rPr>
        <w:t>4 环境保护目标</w:t>
      </w:r>
      <w:r>
        <w:rPr>
          <w:b w:val="0"/>
        </w:rPr>
        <w:tab/>
      </w:r>
      <w:r>
        <w:rPr>
          <w:b w:val="0"/>
        </w:rPr>
        <w:fldChar w:fldCharType="begin"/>
      </w:r>
      <w:r>
        <w:rPr>
          <w:b w:val="0"/>
        </w:rPr>
        <w:instrText xml:space="preserve"> PAGEREF _Toc22644 </w:instrText>
      </w:r>
      <w:r>
        <w:rPr>
          <w:b w:val="0"/>
        </w:rPr>
        <w:fldChar w:fldCharType="separate"/>
      </w:r>
      <w:r>
        <w:rPr>
          <w:b w:val="0"/>
        </w:rPr>
        <w:t>9</w:t>
      </w:r>
      <w:r>
        <w:rPr>
          <w:b w:val="0"/>
        </w:rPr>
        <w:fldChar w:fldCharType="end"/>
      </w:r>
      <w:r>
        <w:rPr>
          <w:b w:val="0"/>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_Toc4214 </w:instrText>
      </w:r>
      <w:r>
        <w:rPr>
          <w:b w:val="0"/>
        </w:rPr>
        <w:fldChar w:fldCharType="separate"/>
      </w:r>
      <w:r>
        <w:rPr>
          <w:rFonts w:ascii="Times New Roman" w:hAnsi="Times New Roman"/>
          <w:b w:val="0"/>
        </w:rPr>
        <w:t>5 应急救援组织及职责</w:t>
      </w:r>
      <w:r>
        <w:rPr>
          <w:b w:val="0"/>
        </w:rPr>
        <w:tab/>
      </w:r>
      <w:r>
        <w:rPr>
          <w:b w:val="0"/>
        </w:rPr>
        <w:fldChar w:fldCharType="begin"/>
      </w:r>
      <w:r>
        <w:rPr>
          <w:b w:val="0"/>
        </w:rPr>
        <w:instrText xml:space="preserve"> PAGEREF _Toc4214 </w:instrText>
      </w:r>
      <w:r>
        <w:rPr>
          <w:b w:val="0"/>
        </w:rPr>
        <w:fldChar w:fldCharType="separate"/>
      </w:r>
      <w:r>
        <w:rPr>
          <w:b w:val="0"/>
        </w:rPr>
        <w:t>10</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_Toc30578 </w:instrText>
      </w:r>
      <w:r>
        <w:fldChar w:fldCharType="separate"/>
      </w:r>
      <w:r>
        <w:rPr>
          <w:rFonts w:ascii="Times New Roman" w:hAnsi="Times New Roman"/>
          <w:szCs w:val="28"/>
          <w:lang w:val="zh-CN"/>
        </w:rPr>
        <w:t>5.1 应急组织体系</w:t>
      </w:r>
      <w:r>
        <w:tab/>
      </w:r>
      <w:r>
        <w:fldChar w:fldCharType="begin"/>
      </w:r>
      <w:r>
        <w:instrText xml:space="preserve"> PAGEREF _Toc30578 </w:instrText>
      </w:r>
      <w:r>
        <w:fldChar w:fldCharType="separate"/>
      </w:r>
      <w:r>
        <w:t>10</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_Toc8873 </w:instrText>
      </w:r>
      <w:r>
        <w:fldChar w:fldCharType="separate"/>
      </w:r>
      <w:r>
        <w:rPr>
          <w:rFonts w:ascii="Times New Roman" w:hAnsi="Times New Roman"/>
        </w:rPr>
        <w:t>5.1.2应急救援机构</w:t>
      </w:r>
      <w:r>
        <w:tab/>
      </w:r>
      <w:r>
        <w:fldChar w:fldCharType="begin"/>
      </w:r>
      <w:r>
        <w:instrText xml:space="preserve"> PAGEREF _Toc8873 </w:instrText>
      </w:r>
      <w:r>
        <w:fldChar w:fldCharType="separate"/>
      </w:r>
      <w:r>
        <w:t>10</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_Toc17664 </w:instrText>
      </w:r>
      <w:r>
        <w:fldChar w:fldCharType="separate"/>
      </w:r>
      <w:r>
        <w:rPr>
          <w:rFonts w:ascii="Times New Roman" w:hAnsi="Times New Roman"/>
          <w:szCs w:val="28"/>
          <w:lang w:val="zh-CN"/>
        </w:rPr>
        <w:t>5.2 应急救援队伍及职责</w:t>
      </w:r>
      <w:r>
        <w:tab/>
      </w:r>
      <w:r>
        <w:fldChar w:fldCharType="begin"/>
      </w:r>
      <w:r>
        <w:instrText xml:space="preserve"> PAGEREF _Toc17664 </w:instrText>
      </w:r>
      <w:r>
        <w:fldChar w:fldCharType="separate"/>
      </w:r>
      <w:r>
        <w:t>11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_Toc28688 </w:instrText>
      </w:r>
      <w:r>
        <w:fldChar w:fldCharType="separate"/>
      </w:r>
      <w:r>
        <w:rPr>
          <w:rFonts w:ascii="Times New Roman" w:hAnsi="Times New Roman"/>
          <w:szCs w:val="28"/>
        </w:rPr>
        <w:t>5.3 外部应急救援力量</w:t>
      </w:r>
      <w:r>
        <w:tab/>
      </w:r>
      <w:r>
        <w:fldChar w:fldCharType="begin"/>
      </w:r>
      <w:r>
        <w:instrText xml:space="preserve"> PAGEREF _Toc28688 </w:instrText>
      </w:r>
      <w:r>
        <w:fldChar w:fldCharType="separate"/>
      </w:r>
      <w:r>
        <w:t>12</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_Toc3417 </w:instrText>
      </w:r>
      <w:r>
        <w:rPr>
          <w:b w:val="0"/>
        </w:rPr>
        <w:fldChar w:fldCharType="separate"/>
      </w:r>
      <w:r>
        <w:rPr>
          <w:rFonts w:ascii="Times New Roman" w:hAnsi="Times New Roman"/>
          <w:b w:val="0"/>
        </w:rPr>
        <w:t>6 预防预警</w:t>
      </w:r>
      <w:r>
        <w:rPr>
          <w:b w:val="0"/>
        </w:rPr>
        <w:tab/>
      </w:r>
      <w:r>
        <w:rPr>
          <w:b w:val="0"/>
        </w:rPr>
        <w:fldChar w:fldCharType="begin"/>
      </w:r>
      <w:r>
        <w:rPr>
          <w:b w:val="0"/>
        </w:rPr>
        <w:instrText xml:space="preserve"> PAGEREF _Toc3417 </w:instrText>
      </w:r>
      <w:r>
        <w:rPr>
          <w:b w:val="0"/>
        </w:rPr>
        <w:fldChar w:fldCharType="separate"/>
      </w:r>
      <w:r>
        <w:rPr>
          <w:b w:val="0"/>
        </w:rPr>
        <w:t>14</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_Toc5509 </w:instrText>
      </w:r>
      <w:r>
        <w:fldChar w:fldCharType="separate"/>
      </w:r>
      <w:r>
        <w:rPr>
          <w:rFonts w:ascii="Times New Roman" w:hAnsi="Times New Roman"/>
          <w:lang w:val="zh-CN"/>
        </w:rPr>
        <w:t>6.1 预防</w:t>
      </w:r>
      <w:r>
        <w:tab/>
      </w:r>
      <w:r>
        <w:fldChar w:fldCharType="begin"/>
      </w:r>
      <w:r>
        <w:instrText xml:space="preserve"> PAGEREF _Toc5509 </w:instrText>
      </w:r>
      <w:r>
        <w:fldChar w:fldCharType="separate"/>
      </w:r>
      <w:r>
        <w:t>14</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_Toc27289 </w:instrText>
      </w:r>
      <w:r>
        <w:rPr>
          <w:i w:val="0"/>
        </w:rPr>
        <w:fldChar w:fldCharType="separate"/>
      </w:r>
      <w:r>
        <w:rPr>
          <w:rFonts w:ascii="Times New Roman" w:hAnsi="Times New Roman"/>
          <w:i w:val="0"/>
        </w:rPr>
        <w:t>6.1.1监控方式方法</w:t>
      </w:r>
      <w:r>
        <w:rPr>
          <w:i w:val="0"/>
        </w:rPr>
        <w:tab/>
      </w:r>
      <w:r>
        <w:rPr>
          <w:i w:val="0"/>
        </w:rPr>
        <w:fldChar w:fldCharType="begin"/>
      </w:r>
      <w:r>
        <w:rPr>
          <w:i w:val="0"/>
        </w:rPr>
        <w:instrText xml:space="preserve"> PAGEREF _Toc27289 </w:instrText>
      </w:r>
      <w:r>
        <w:rPr>
          <w:i w:val="0"/>
        </w:rPr>
        <w:fldChar w:fldCharType="separate"/>
      </w:r>
      <w:r>
        <w:rPr>
          <w:i w:val="0"/>
        </w:rPr>
        <w:t>14</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_Toc14722 </w:instrText>
      </w:r>
      <w:r>
        <w:rPr>
          <w:i w:val="0"/>
        </w:rPr>
        <w:fldChar w:fldCharType="separate"/>
      </w:r>
      <w:r>
        <w:rPr>
          <w:rFonts w:hint="eastAsia" w:ascii="Times New Roman" w:hAnsi="Times New Roman"/>
          <w:i w:val="0"/>
        </w:rPr>
        <w:t>6</w:t>
      </w:r>
      <w:r>
        <w:rPr>
          <w:rFonts w:ascii="Times New Roman" w:hAnsi="Times New Roman"/>
          <w:i w:val="0"/>
        </w:rPr>
        <w:t>.1.2预防措施</w:t>
      </w:r>
      <w:r>
        <w:rPr>
          <w:i w:val="0"/>
        </w:rPr>
        <w:tab/>
      </w:r>
      <w:r>
        <w:rPr>
          <w:i w:val="0"/>
        </w:rPr>
        <w:fldChar w:fldCharType="begin"/>
      </w:r>
      <w:r>
        <w:rPr>
          <w:i w:val="0"/>
        </w:rPr>
        <w:instrText xml:space="preserve"> PAGEREF _Toc14722 </w:instrText>
      </w:r>
      <w:r>
        <w:rPr>
          <w:i w:val="0"/>
        </w:rPr>
        <w:fldChar w:fldCharType="separate"/>
      </w:r>
      <w:r>
        <w:rPr>
          <w:i w:val="0"/>
        </w:rPr>
        <w:t>14</w:t>
      </w:r>
      <w:r>
        <w:rPr>
          <w:i w:val="0"/>
        </w:rPr>
        <w:fldChar w:fldCharType="end"/>
      </w:r>
      <w:r>
        <w:rPr>
          <w:i w:val="0"/>
          <w:color w:val="000000"/>
        </w:rPr>
        <w:fldChar w:fldCharType="end"/>
      </w:r>
    </w:p>
    <w:p>
      <w:pPr>
        <w:pStyle w:val="17"/>
        <w:tabs>
          <w:tab w:val="right" w:leader="dot" w:pos="8306"/>
        </w:tabs>
        <w:ind w:firstLine="420"/>
      </w:pPr>
      <w:r>
        <w:rPr>
          <w:color w:val="000000"/>
        </w:rPr>
        <w:fldChar w:fldCharType="begin"/>
      </w:r>
      <w:r>
        <w:instrText xml:space="preserve"> HYPERLINK \l _Toc23946 </w:instrText>
      </w:r>
      <w:r>
        <w:fldChar w:fldCharType="separate"/>
      </w:r>
      <w:r>
        <w:rPr>
          <w:rFonts w:ascii="Times New Roman" w:hAnsi="Times New Roman"/>
          <w:lang w:val="zh-CN"/>
        </w:rPr>
        <w:t>6.2 预警</w:t>
      </w:r>
      <w:r>
        <w:tab/>
      </w:r>
      <w:r>
        <w:fldChar w:fldCharType="begin"/>
      </w:r>
      <w:r>
        <w:instrText xml:space="preserve"> PAGEREF _Toc23946 </w:instrText>
      </w:r>
      <w:r>
        <w:fldChar w:fldCharType="separate"/>
      </w:r>
      <w:r>
        <w:t>15</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_Toc3486 </w:instrText>
      </w:r>
      <w:r>
        <w:rPr>
          <w:i w:val="0"/>
        </w:rPr>
        <w:fldChar w:fldCharType="separate"/>
      </w:r>
      <w:r>
        <w:rPr>
          <w:rFonts w:ascii="Times New Roman" w:hAnsi="Times New Roman"/>
          <w:i w:val="0"/>
        </w:rPr>
        <w:t>6.2.1预警情景</w:t>
      </w:r>
      <w:r>
        <w:rPr>
          <w:i w:val="0"/>
        </w:rPr>
        <w:tab/>
      </w:r>
      <w:r>
        <w:rPr>
          <w:i w:val="0"/>
        </w:rPr>
        <w:fldChar w:fldCharType="begin"/>
      </w:r>
      <w:r>
        <w:rPr>
          <w:i w:val="0"/>
        </w:rPr>
        <w:instrText xml:space="preserve"> PAGEREF _Toc3486 </w:instrText>
      </w:r>
      <w:r>
        <w:rPr>
          <w:i w:val="0"/>
        </w:rPr>
        <w:fldChar w:fldCharType="separate"/>
      </w:r>
      <w:r>
        <w:rPr>
          <w:i w:val="0"/>
        </w:rPr>
        <w:t>15</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_Toc32138 </w:instrText>
      </w:r>
      <w:r>
        <w:rPr>
          <w:i w:val="0"/>
        </w:rPr>
        <w:fldChar w:fldCharType="separate"/>
      </w:r>
      <w:r>
        <w:rPr>
          <w:rFonts w:ascii="Times New Roman" w:hAnsi="Times New Roman"/>
          <w:i w:val="0"/>
        </w:rPr>
        <w:t>6.2.2 预警分级</w:t>
      </w:r>
      <w:r>
        <w:rPr>
          <w:i w:val="0"/>
        </w:rPr>
        <w:tab/>
      </w:r>
      <w:r>
        <w:rPr>
          <w:i w:val="0"/>
        </w:rPr>
        <w:fldChar w:fldCharType="begin"/>
      </w:r>
      <w:r>
        <w:rPr>
          <w:i w:val="0"/>
        </w:rPr>
        <w:instrText xml:space="preserve"> PAGEREF _Toc32138 </w:instrText>
      </w:r>
      <w:r>
        <w:rPr>
          <w:i w:val="0"/>
        </w:rPr>
        <w:fldChar w:fldCharType="separate"/>
      </w:r>
      <w:r>
        <w:rPr>
          <w:i w:val="0"/>
        </w:rPr>
        <w:t>15</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_Toc28480 </w:instrText>
      </w:r>
      <w:r>
        <w:rPr>
          <w:i w:val="0"/>
        </w:rPr>
        <w:fldChar w:fldCharType="separate"/>
      </w:r>
      <w:r>
        <w:rPr>
          <w:rFonts w:ascii="Times New Roman" w:hAnsi="Times New Roman"/>
          <w:i w:val="0"/>
        </w:rPr>
        <w:t>6.2.3预警信息发布</w:t>
      </w:r>
      <w:r>
        <w:rPr>
          <w:i w:val="0"/>
        </w:rPr>
        <w:tab/>
      </w:r>
      <w:r>
        <w:rPr>
          <w:i w:val="0"/>
        </w:rPr>
        <w:fldChar w:fldCharType="begin"/>
      </w:r>
      <w:r>
        <w:rPr>
          <w:i w:val="0"/>
        </w:rPr>
        <w:instrText xml:space="preserve"> PAGEREF _Toc28480 </w:instrText>
      </w:r>
      <w:r>
        <w:rPr>
          <w:i w:val="0"/>
        </w:rPr>
        <w:fldChar w:fldCharType="separate"/>
      </w:r>
      <w:r>
        <w:rPr>
          <w:i w:val="0"/>
        </w:rPr>
        <w:t>16</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_Toc20451 </w:instrText>
      </w:r>
      <w:r>
        <w:rPr>
          <w:i w:val="0"/>
        </w:rPr>
        <w:fldChar w:fldCharType="separate"/>
      </w:r>
      <w:r>
        <w:rPr>
          <w:rFonts w:ascii="Times New Roman" w:hAnsi="Times New Roman"/>
          <w:i w:val="0"/>
        </w:rPr>
        <w:t>6.2.4 预警行动</w:t>
      </w:r>
      <w:r>
        <w:rPr>
          <w:i w:val="0"/>
        </w:rPr>
        <w:tab/>
      </w:r>
      <w:r>
        <w:rPr>
          <w:i w:val="0"/>
        </w:rPr>
        <w:fldChar w:fldCharType="begin"/>
      </w:r>
      <w:r>
        <w:rPr>
          <w:i w:val="0"/>
        </w:rPr>
        <w:instrText xml:space="preserve"> PAGEREF _Toc20451 </w:instrText>
      </w:r>
      <w:r>
        <w:rPr>
          <w:i w:val="0"/>
        </w:rPr>
        <w:fldChar w:fldCharType="separate"/>
      </w:r>
      <w:r>
        <w:rPr>
          <w:i w:val="0"/>
        </w:rPr>
        <w:t>17</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_Toc24088 </w:instrText>
      </w:r>
      <w:r>
        <w:rPr>
          <w:i w:val="0"/>
        </w:rPr>
        <w:fldChar w:fldCharType="separate"/>
      </w:r>
      <w:r>
        <w:rPr>
          <w:rFonts w:ascii="Times New Roman" w:hAnsi="Times New Roman"/>
          <w:i w:val="0"/>
        </w:rPr>
        <w:t>6.2.5 预警解除</w:t>
      </w:r>
      <w:r>
        <w:rPr>
          <w:i w:val="0"/>
        </w:rPr>
        <w:tab/>
      </w:r>
      <w:r>
        <w:rPr>
          <w:i w:val="0"/>
        </w:rPr>
        <w:fldChar w:fldCharType="begin"/>
      </w:r>
      <w:r>
        <w:rPr>
          <w:i w:val="0"/>
        </w:rPr>
        <w:instrText xml:space="preserve"> PAGEREF _Toc24088 </w:instrText>
      </w:r>
      <w:r>
        <w:rPr>
          <w:i w:val="0"/>
        </w:rPr>
        <w:fldChar w:fldCharType="separate"/>
      </w:r>
      <w:r>
        <w:rPr>
          <w:i w:val="0"/>
        </w:rPr>
        <w:t>17</w:t>
      </w:r>
      <w:r>
        <w:rPr>
          <w:i w:val="0"/>
        </w:rPr>
        <w:fldChar w:fldCharType="end"/>
      </w:r>
      <w:r>
        <w:rPr>
          <w:i w:val="0"/>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_Toc28363 </w:instrText>
      </w:r>
      <w:r>
        <w:rPr>
          <w:b w:val="0"/>
        </w:rPr>
        <w:fldChar w:fldCharType="separate"/>
      </w:r>
      <w:r>
        <w:rPr>
          <w:rFonts w:ascii="Times New Roman" w:hAnsi="Times New Roman"/>
          <w:b w:val="0"/>
        </w:rPr>
        <w:t>7 信息报告与处置</w:t>
      </w:r>
      <w:r>
        <w:rPr>
          <w:b w:val="0"/>
        </w:rPr>
        <w:tab/>
      </w:r>
      <w:r>
        <w:rPr>
          <w:b w:val="0"/>
        </w:rPr>
        <w:fldChar w:fldCharType="begin"/>
      </w:r>
      <w:r>
        <w:rPr>
          <w:b w:val="0"/>
        </w:rPr>
        <w:instrText xml:space="preserve"> PAGEREF _Toc28363 </w:instrText>
      </w:r>
      <w:r>
        <w:rPr>
          <w:b w:val="0"/>
        </w:rPr>
        <w:fldChar w:fldCharType="separate"/>
      </w:r>
      <w:r>
        <w:rPr>
          <w:b w:val="0"/>
        </w:rPr>
        <w:t>18</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_Toc26540 </w:instrText>
      </w:r>
      <w:r>
        <w:fldChar w:fldCharType="separate"/>
      </w:r>
      <w:r>
        <w:rPr>
          <w:rFonts w:ascii="Times New Roman" w:hAnsi="Times New Roman"/>
        </w:rPr>
        <w:t>7.1报警、通讯方式</w:t>
      </w:r>
      <w:r>
        <w:tab/>
      </w:r>
      <w:r>
        <w:fldChar w:fldCharType="begin"/>
      </w:r>
      <w:r>
        <w:instrText xml:space="preserve"> PAGEREF _Toc26540 </w:instrText>
      </w:r>
      <w:r>
        <w:fldChar w:fldCharType="separate"/>
      </w:r>
      <w:r>
        <w:t>18</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_Toc9551 </w:instrText>
      </w:r>
      <w:r>
        <w:rPr>
          <w:i w:val="0"/>
        </w:rPr>
        <w:fldChar w:fldCharType="separate"/>
      </w:r>
      <w:r>
        <w:rPr>
          <w:rFonts w:ascii="Times New Roman" w:hAnsi="Times New Roman"/>
          <w:i w:val="0"/>
        </w:rPr>
        <w:t>7.1.1 24小时有效报警装置</w:t>
      </w:r>
      <w:r>
        <w:rPr>
          <w:i w:val="0"/>
        </w:rPr>
        <w:tab/>
      </w:r>
      <w:r>
        <w:rPr>
          <w:i w:val="0"/>
        </w:rPr>
        <w:fldChar w:fldCharType="begin"/>
      </w:r>
      <w:r>
        <w:rPr>
          <w:i w:val="0"/>
        </w:rPr>
        <w:instrText xml:space="preserve"> PAGEREF _Toc9551 </w:instrText>
      </w:r>
      <w:r>
        <w:rPr>
          <w:i w:val="0"/>
        </w:rPr>
        <w:fldChar w:fldCharType="separate"/>
      </w:r>
      <w:r>
        <w:rPr>
          <w:i w:val="0"/>
        </w:rPr>
        <w:t>18</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_Toc14340 </w:instrText>
      </w:r>
      <w:r>
        <w:rPr>
          <w:i w:val="0"/>
        </w:rPr>
        <w:fldChar w:fldCharType="separate"/>
      </w:r>
      <w:r>
        <w:rPr>
          <w:rFonts w:ascii="Times New Roman" w:hAnsi="Times New Roman"/>
          <w:i w:val="0"/>
        </w:rPr>
        <w:t>7.1.2内部、外部通讯联络手段</w:t>
      </w:r>
      <w:r>
        <w:rPr>
          <w:i w:val="0"/>
        </w:rPr>
        <w:tab/>
      </w:r>
      <w:r>
        <w:rPr>
          <w:i w:val="0"/>
        </w:rPr>
        <w:fldChar w:fldCharType="begin"/>
      </w:r>
      <w:r>
        <w:rPr>
          <w:i w:val="0"/>
        </w:rPr>
        <w:instrText xml:space="preserve"> PAGEREF _Toc14340 </w:instrText>
      </w:r>
      <w:r>
        <w:rPr>
          <w:i w:val="0"/>
        </w:rPr>
        <w:fldChar w:fldCharType="separate"/>
      </w:r>
      <w:r>
        <w:rPr>
          <w:i w:val="0"/>
        </w:rPr>
        <w:t>18</w:t>
      </w:r>
      <w:r>
        <w:rPr>
          <w:i w:val="0"/>
        </w:rPr>
        <w:fldChar w:fldCharType="end"/>
      </w:r>
      <w:r>
        <w:rPr>
          <w:i w:val="0"/>
          <w:color w:val="000000"/>
        </w:rPr>
        <w:fldChar w:fldCharType="end"/>
      </w:r>
    </w:p>
    <w:p>
      <w:pPr>
        <w:pStyle w:val="17"/>
        <w:tabs>
          <w:tab w:val="right" w:leader="dot" w:pos="8306"/>
        </w:tabs>
        <w:ind w:firstLine="420"/>
      </w:pPr>
      <w:r>
        <w:rPr>
          <w:color w:val="000000"/>
        </w:rPr>
        <w:fldChar w:fldCharType="begin"/>
      </w:r>
      <w:r>
        <w:instrText xml:space="preserve"> HYPERLINK \l _Toc4029 </w:instrText>
      </w:r>
      <w:r>
        <w:fldChar w:fldCharType="separate"/>
      </w:r>
      <w:r>
        <w:rPr>
          <w:rFonts w:ascii="Times New Roman" w:hAnsi="Times New Roman"/>
        </w:rPr>
        <w:t>7.2事故信息报告</w:t>
      </w:r>
      <w:r>
        <w:tab/>
      </w:r>
      <w:r>
        <w:fldChar w:fldCharType="begin"/>
      </w:r>
      <w:r>
        <w:instrText xml:space="preserve"> PAGEREF _Toc4029 </w:instrText>
      </w:r>
      <w:r>
        <w:fldChar w:fldCharType="separate"/>
      </w:r>
      <w:r>
        <w:t>18</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_Toc16629 </w:instrText>
      </w:r>
      <w:r>
        <w:rPr>
          <w:i w:val="0"/>
        </w:rPr>
        <w:fldChar w:fldCharType="separate"/>
      </w:r>
      <w:r>
        <w:rPr>
          <w:rFonts w:ascii="Times New Roman" w:hAnsi="Times New Roman"/>
          <w:i w:val="0"/>
        </w:rPr>
        <w:t>7.2.1内部报告</w:t>
      </w:r>
      <w:r>
        <w:rPr>
          <w:i w:val="0"/>
        </w:rPr>
        <w:tab/>
      </w:r>
      <w:r>
        <w:rPr>
          <w:i w:val="0"/>
        </w:rPr>
        <w:fldChar w:fldCharType="begin"/>
      </w:r>
      <w:r>
        <w:rPr>
          <w:i w:val="0"/>
        </w:rPr>
        <w:instrText xml:space="preserve"> PAGEREF _Toc16629 </w:instrText>
      </w:r>
      <w:r>
        <w:rPr>
          <w:i w:val="0"/>
        </w:rPr>
        <w:fldChar w:fldCharType="separate"/>
      </w:r>
      <w:r>
        <w:rPr>
          <w:i w:val="0"/>
        </w:rPr>
        <w:t>18</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_Toc3152 </w:instrText>
      </w:r>
      <w:r>
        <w:rPr>
          <w:i w:val="0"/>
        </w:rPr>
        <w:fldChar w:fldCharType="separate"/>
      </w:r>
      <w:r>
        <w:rPr>
          <w:rFonts w:ascii="Times New Roman" w:hAnsi="Times New Roman"/>
          <w:i w:val="0"/>
        </w:rPr>
        <w:t>7.2.2 外部报告</w:t>
      </w:r>
      <w:r>
        <w:rPr>
          <w:i w:val="0"/>
        </w:rPr>
        <w:tab/>
      </w:r>
      <w:r>
        <w:rPr>
          <w:i w:val="0"/>
        </w:rPr>
        <w:fldChar w:fldCharType="begin"/>
      </w:r>
      <w:r>
        <w:rPr>
          <w:i w:val="0"/>
        </w:rPr>
        <w:instrText xml:space="preserve"> PAGEREF _Toc3152 </w:instrText>
      </w:r>
      <w:r>
        <w:rPr>
          <w:i w:val="0"/>
        </w:rPr>
        <w:fldChar w:fldCharType="separate"/>
      </w:r>
      <w:r>
        <w:rPr>
          <w:i w:val="0"/>
        </w:rPr>
        <w:t>19</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_Toc13480 </w:instrText>
      </w:r>
      <w:r>
        <w:rPr>
          <w:i w:val="0"/>
        </w:rPr>
        <w:fldChar w:fldCharType="separate"/>
      </w:r>
      <w:r>
        <w:rPr>
          <w:rFonts w:ascii="Times New Roman" w:hAnsi="Times New Roman"/>
          <w:i w:val="0"/>
        </w:rPr>
        <w:t>7.2.3应急报告方式及内容</w:t>
      </w:r>
      <w:r>
        <w:rPr>
          <w:i w:val="0"/>
        </w:rPr>
        <w:tab/>
      </w:r>
      <w:r>
        <w:rPr>
          <w:i w:val="0"/>
        </w:rPr>
        <w:fldChar w:fldCharType="begin"/>
      </w:r>
      <w:r>
        <w:rPr>
          <w:i w:val="0"/>
        </w:rPr>
        <w:instrText xml:space="preserve"> PAGEREF _Toc13480 </w:instrText>
      </w:r>
      <w:r>
        <w:rPr>
          <w:i w:val="0"/>
        </w:rPr>
        <w:fldChar w:fldCharType="separate"/>
      </w:r>
      <w:r>
        <w:rPr>
          <w:i w:val="0"/>
        </w:rPr>
        <w:t>19</w:t>
      </w:r>
      <w:r>
        <w:rPr>
          <w:i w:val="0"/>
        </w:rPr>
        <w:fldChar w:fldCharType="end"/>
      </w:r>
      <w:r>
        <w:rPr>
          <w:i w:val="0"/>
          <w:color w:val="000000"/>
        </w:rPr>
        <w:fldChar w:fldCharType="end"/>
      </w:r>
    </w:p>
    <w:p>
      <w:pPr>
        <w:pStyle w:val="17"/>
        <w:tabs>
          <w:tab w:val="right" w:leader="dot" w:pos="8306"/>
        </w:tabs>
        <w:ind w:firstLine="420"/>
      </w:pPr>
      <w:r>
        <w:rPr>
          <w:color w:val="000000"/>
        </w:rPr>
        <w:fldChar w:fldCharType="begin"/>
      </w:r>
      <w:r>
        <w:instrText xml:space="preserve"> HYPERLINK \l _Toc26139 </w:instrText>
      </w:r>
      <w:r>
        <w:fldChar w:fldCharType="separate"/>
      </w:r>
      <w:r>
        <w:rPr>
          <w:rFonts w:ascii="Times New Roman" w:hAnsi="Times New Roman"/>
        </w:rPr>
        <w:t>7</w:t>
      </w:r>
      <w:r>
        <w:rPr>
          <w:rFonts w:ascii="Times New Roman" w:hAnsi="Times New Roman"/>
          <w:lang w:val="zh-CN"/>
        </w:rPr>
        <w:t>.3信息通报</w:t>
      </w:r>
      <w:r>
        <w:tab/>
      </w:r>
      <w:r>
        <w:fldChar w:fldCharType="begin"/>
      </w:r>
      <w:r>
        <w:instrText xml:space="preserve"> PAGEREF _Toc26139 </w:instrText>
      </w:r>
      <w:r>
        <w:fldChar w:fldCharType="separate"/>
      </w:r>
      <w:r>
        <w:t>19</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_Toc13628 </w:instrText>
      </w:r>
      <w:r>
        <w:rPr>
          <w:b w:val="0"/>
        </w:rPr>
        <w:fldChar w:fldCharType="separate"/>
      </w:r>
      <w:r>
        <w:rPr>
          <w:rFonts w:ascii="Times New Roman" w:hAnsi="Times New Roman"/>
          <w:b w:val="0"/>
        </w:rPr>
        <w:t>8</w:t>
      </w:r>
      <w:r>
        <w:rPr>
          <w:rFonts w:ascii="Times New Roman" w:hAnsi="Times New Roman"/>
          <w:b w:val="0"/>
          <w:lang w:val="zh-CN"/>
        </w:rPr>
        <w:t>应急响应</w:t>
      </w:r>
      <w:r>
        <w:rPr>
          <w:b w:val="0"/>
        </w:rPr>
        <w:tab/>
      </w:r>
      <w:r>
        <w:rPr>
          <w:b w:val="0"/>
        </w:rPr>
        <w:fldChar w:fldCharType="begin"/>
      </w:r>
      <w:r>
        <w:rPr>
          <w:b w:val="0"/>
        </w:rPr>
        <w:instrText xml:space="preserve"> PAGEREF _Toc13628 </w:instrText>
      </w:r>
      <w:r>
        <w:rPr>
          <w:b w:val="0"/>
        </w:rPr>
        <w:fldChar w:fldCharType="separate"/>
      </w:r>
      <w:r>
        <w:rPr>
          <w:b w:val="0"/>
        </w:rPr>
        <w:t>20</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_Toc13462 </w:instrText>
      </w:r>
      <w:r>
        <w:fldChar w:fldCharType="separate"/>
      </w:r>
      <w:r>
        <w:rPr>
          <w:rFonts w:ascii="Times New Roman" w:hAnsi="Times New Roman"/>
        </w:rPr>
        <w:t>8</w:t>
      </w:r>
      <w:r>
        <w:rPr>
          <w:rFonts w:ascii="Times New Roman" w:hAnsi="Times New Roman"/>
          <w:lang w:val="zh-CN"/>
        </w:rPr>
        <w:t>.1 应急响应分级</w:t>
      </w:r>
      <w:r>
        <w:tab/>
      </w:r>
      <w:r>
        <w:fldChar w:fldCharType="begin"/>
      </w:r>
      <w:r>
        <w:instrText xml:space="preserve"> PAGEREF _Toc13462 </w:instrText>
      </w:r>
      <w:r>
        <w:fldChar w:fldCharType="separate"/>
      </w:r>
      <w:r>
        <w:t>20</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_Toc27334 </w:instrText>
      </w:r>
      <w:r>
        <w:fldChar w:fldCharType="separate"/>
      </w:r>
      <w:r>
        <w:rPr>
          <w:rFonts w:ascii="Times New Roman" w:hAnsi="Times New Roman"/>
        </w:rPr>
        <w:t>8</w:t>
      </w:r>
      <w:r>
        <w:rPr>
          <w:rFonts w:ascii="Times New Roman" w:hAnsi="Times New Roman"/>
          <w:lang w:val="zh-CN"/>
        </w:rPr>
        <w:t>.2 响应程序</w:t>
      </w:r>
      <w:r>
        <w:tab/>
      </w:r>
      <w:r>
        <w:fldChar w:fldCharType="begin"/>
      </w:r>
      <w:r>
        <w:instrText xml:space="preserve"> PAGEREF _Toc27334 </w:instrText>
      </w:r>
      <w:r>
        <w:fldChar w:fldCharType="separate"/>
      </w:r>
      <w:r>
        <w:t>20</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_Toc31790 </w:instrText>
      </w:r>
      <w:r>
        <w:rPr>
          <w:i w:val="0"/>
        </w:rPr>
        <w:fldChar w:fldCharType="separate"/>
      </w:r>
      <w:r>
        <w:rPr>
          <w:rFonts w:ascii="Times New Roman" w:hAnsi="Times New Roman"/>
          <w:i w:val="0"/>
        </w:rPr>
        <w:t>8</w:t>
      </w:r>
      <w:r>
        <w:rPr>
          <w:rFonts w:ascii="Times New Roman" w:hAnsi="Times New Roman"/>
          <w:i w:val="0"/>
          <w:lang w:val="zh-CN"/>
        </w:rPr>
        <w:t>.2.1 应急响应启动条件</w:t>
      </w:r>
      <w:r>
        <w:rPr>
          <w:i w:val="0"/>
        </w:rPr>
        <w:tab/>
      </w:r>
      <w:r>
        <w:rPr>
          <w:i w:val="0"/>
        </w:rPr>
        <w:fldChar w:fldCharType="begin"/>
      </w:r>
      <w:r>
        <w:rPr>
          <w:i w:val="0"/>
        </w:rPr>
        <w:instrText xml:space="preserve"> PAGEREF _Toc31790 </w:instrText>
      </w:r>
      <w:r>
        <w:rPr>
          <w:i w:val="0"/>
        </w:rPr>
        <w:fldChar w:fldCharType="separate"/>
      </w:r>
      <w:r>
        <w:rPr>
          <w:i w:val="0"/>
        </w:rPr>
        <w:t>20</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_Toc31222 </w:instrText>
      </w:r>
      <w:r>
        <w:rPr>
          <w:i w:val="0"/>
        </w:rPr>
        <w:fldChar w:fldCharType="separate"/>
      </w:r>
      <w:r>
        <w:rPr>
          <w:rFonts w:ascii="Times New Roman" w:hAnsi="Times New Roman"/>
          <w:i w:val="0"/>
        </w:rPr>
        <w:t>8.2.2 应急响应流程</w:t>
      </w:r>
      <w:r>
        <w:rPr>
          <w:i w:val="0"/>
        </w:rPr>
        <w:tab/>
      </w:r>
      <w:r>
        <w:rPr>
          <w:i w:val="0"/>
        </w:rPr>
        <w:fldChar w:fldCharType="begin"/>
      </w:r>
      <w:r>
        <w:rPr>
          <w:i w:val="0"/>
        </w:rPr>
        <w:instrText xml:space="preserve"> PAGEREF _Toc31222 </w:instrText>
      </w:r>
      <w:r>
        <w:rPr>
          <w:i w:val="0"/>
        </w:rPr>
        <w:fldChar w:fldCharType="separate"/>
      </w:r>
      <w:r>
        <w:rPr>
          <w:i w:val="0"/>
        </w:rPr>
        <w:t>21</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_Toc16592 </w:instrText>
      </w:r>
      <w:r>
        <w:rPr>
          <w:i w:val="0"/>
        </w:rPr>
        <w:fldChar w:fldCharType="separate"/>
      </w:r>
      <w:r>
        <w:rPr>
          <w:rFonts w:ascii="Times New Roman" w:hAnsi="Times New Roman"/>
          <w:i w:val="0"/>
        </w:rPr>
        <w:t>8.2.2 接警与响应级别确定</w:t>
      </w:r>
      <w:r>
        <w:rPr>
          <w:i w:val="0"/>
        </w:rPr>
        <w:tab/>
      </w:r>
      <w:r>
        <w:rPr>
          <w:i w:val="0"/>
        </w:rPr>
        <w:fldChar w:fldCharType="begin"/>
      </w:r>
      <w:r>
        <w:rPr>
          <w:i w:val="0"/>
        </w:rPr>
        <w:instrText xml:space="preserve"> PAGEREF _Toc16592 </w:instrText>
      </w:r>
      <w:r>
        <w:rPr>
          <w:i w:val="0"/>
        </w:rPr>
        <w:fldChar w:fldCharType="separate"/>
      </w:r>
      <w:r>
        <w:rPr>
          <w:i w:val="0"/>
        </w:rPr>
        <w:t>21</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_Toc26914 </w:instrText>
      </w:r>
      <w:r>
        <w:rPr>
          <w:i w:val="0"/>
        </w:rPr>
        <w:fldChar w:fldCharType="separate"/>
      </w:r>
      <w:r>
        <w:rPr>
          <w:rFonts w:ascii="Times New Roman" w:hAnsi="Times New Roman"/>
          <w:i w:val="0"/>
        </w:rPr>
        <w:t>8.2.3应急启动</w:t>
      </w:r>
      <w:r>
        <w:rPr>
          <w:i w:val="0"/>
        </w:rPr>
        <w:tab/>
      </w:r>
      <w:r>
        <w:rPr>
          <w:i w:val="0"/>
        </w:rPr>
        <w:fldChar w:fldCharType="begin"/>
      </w:r>
      <w:r>
        <w:rPr>
          <w:i w:val="0"/>
        </w:rPr>
        <w:instrText xml:space="preserve"> PAGEREF _Toc26914 </w:instrText>
      </w:r>
      <w:r>
        <w:rPr>
          <w:i w:val="0"/>
        </w:rPr>
        <w:fldChar w:fldCharType="separate"/>
      </w:r>
      <w:r>
        <w:rPr>
          <w:i w:val="0"/>
        </w:rPr>
        <w:t>21</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_Toc321 </w:instrText>
      </w:r>
      <w:r>
        <w:rPr>
          <w:i w:val="0"/>
        </w:rPr>
        <w:fldChar w:fldCharType="separate"/>
      </w:r>
      <w:r>
        <w:rPr>
          <w:rFonts w:ascii="Times New Roman" w:hAnsi="Times New Roman"/>
          <w:i w:val="0"/>
        </w:rPr>
        <w:t>8.2.5先期处置</w:t>
      </w:r>
      <w:r>
        <w:rPr>
          <w:i w:val="0"/>
        </w:rPr>
        <w:tab/>
      </w:r>
      <w:r>
        <w:rPr>
          <w:i w:val="0"/>
        </w:rPr>
        <w:fldChar w:fldCharType="begin"/>
      </w:r>
      <w:r>
        <w:rPr>
          <w:i w:val="0"/>
        </w:rPr>
        <w:instrText xml:space="preserve"> PAGEREF _Toc321 </w:instrText>
      </w:r>
      <w:r>
        <w:rPr>
          <w:i w:val="0"/>
        </w:rPr>
        <w:fldChar w:fldCharType="separate"/>
      </w:r>
      <w:r>
        <w:rPr>
          <w:i w:val="0"/>
        </w:rPr>
        <w:t>22</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_Toc11922 </w:instrText>
      </w:r>
      <w:r>
        <w:rPr>
          <w:i w:val="0"/>
        </w:rPr>
        <w:fldChar w:fldCharType="separate"/>
      </w:r>
      <w:r>
        <w:rPr>
          <w:rFonts w:ascii="Times New Roman" w:hAnsi="Times New Roman"/>
          <w:i w:val="0"/>
        </w:rPr>
        <w:t>8.2.4应急指挥</w:t>
      </w:r>
      <w:r>
        <w:rPr>
          <w:i w:val="0"/>
        </w:rPr>
        <w:tab/>
      </w:r>
      <w:r>
        <w:rPr>
          <w:i w:val="0"/>
        </w:rPr>
        <w:fldChar w:fldCharType="begin"/>
      </w:r>
      <w:r>
        <w:rPr>
          <w:i w:val="0"/>
        </w:rPr>
        <w:instrText xml:space="preserve"> PAGEREF _Toc11922 </w:instrText>
      </w:r>
      <w:r>
        <w:rPr>
          <w:i w:val="0"/>
        </w:rPr>
        <w:fldChar w:fldCharType="separate"/>
      </w:r>
      <w:r>
        <w:rPr>
          <w:i w:val="0"/>
        </w:rPr>
        <w:t>22</w:t>
      </w:r>
      <w:r>
        <w:rPr>
          <w:i w:val="0"/>
        </w:rPr>
        <w:fldChar w:fldCharType="end"/>
      </w:r>
      <w:r>
        <w:rPr>
          <w:i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_Toc2754 </w:instrText>
      </w:r>
      <w:r>
        <w:rPr>
          <w:color w:val="000000"/>
        </w:rPr>
        <w:fldChar w:fldCharType="separate"/>
      </w:r>
      <w:r>
        <w:rPr>
          <w:color w:val="000000"/>
        </w:rPr>
        <w:t>8.3突发环境事件现场应急措施</w:t>
      </w:r>
      <w:r>
        <w:rPr>
          <w:color w:val="000000"/>
        </w:rPr>
        <w:tab/>
      </w:r>
      <w:r>
        <w:rPr>
          <w:color w:val="000000"/>
        </w:rPr>
        <w:fldChar w:fldCharType="begin"/>
      </w:r>
      <w:r>
        <w:rPr>
          <w:color w:val="000000"/>
        </w:rPr>
        <w:instrText xml:space="preserve"> PAGEREF _Toc2754 </w:instrText>
      </w:r>
      <w:r>
        <w:rPr>
          <w:color w:val="000000"/>
        </w:rPr>
        <w:fldChar w:fldCharType="separate"/>
      </w:r>
      <w:r>
        <w:rPr>
          <w:color w:val="000000"/>
        </w:rPr>
        <w:t>22</w:t>
      </w:r>
      <w:r>
        <w:rPr>
          <w:color w:val="000000"/>
        </w:rP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_Toc14910 </w:instrText>
      </w:r>
      <w:r>
        <w:rPr>
          <w:i w:val="0"/>
        </w:rPr>
        <w:fldChar w:fldCharType="separate"/>
      </w:r>
      <w:r>
        <w:rPr>
          <w:rFonts w:ascii="Times New Roman" w:hAnsi="Times New Roman"/>
          <w:i w:val="0"/>
        </w:rPr>
        <w:t>8.3.1氨水储罐、柴油储罐、润滑油库房、危险废物区泄漏事故处置</w:t>
      </w:r>
      <w:r>
        <w:rPr>
          <w:i w:val="0"/>
        </w:rPr>
        <w:tab/>
      </w:r>
      <w:r>
        <w:rPr>
          <w:i w:val="0"/>
        </w:rPr>
        <w:fldChar w:fldCharType="begin"/>
      </w:r>
      <w:r>
        <w:rPr>
          <w:i w:val="0"/>
        </w:rPr>
        <w:instrText xml:space="preserve"> PAGEREF _Toc14910 </w:instrText>
      </w:r>
      <w:r>
        <w:rPr>
          <w:i w:val="0"/>
        </w:rPr>
        <w:fldChar w:fldCharType="separate"/>
      </w:r>
      <w:r>
        <w:rPr>
          <w:i w:val="0"/>
        </w:rPr>
        <w:t>22</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_Toc20053 </w:instrText>
      </w:r>
      <w:r>
        <w:rPr>
          <w:i w:val="0"/>
        </w:rPr>
        <w:fldChar w:fldCharType="separate"/>
      </w:r>
      <w:r>
        <w:rPr>
          <w:rFonts w:ascii="Times New Roman" w:hAnsi="Times New Roman"/>
          <w:i w:val="0"/>
        </w:rPr>
        <w:t>8.3.3柴油储罐、润滑油库房、危险废物区发生火灾事故处置</w:t>
      </w:r>
      <w:r>
        <w:rPr>
          <w:i w:val="0"/>
        </w:rPr>
        <w:tab/>
      </w:r>
      <w:r>
        <w:rPr>
          <w:i w:val="0"/>
        </w:rPr>
        <w:fldChar w:fldCharType="begin"/>
      </w:r>
      <w:r>
        <w:rPr>
          <w:i w:val="0"/>
        </w:rPr>
        <w:instrText xml:space="preserve"> PAGEREF _Toc20053 </w:instrText>
      </w:r>
      <w:r>
        <w:rPr>
          <w:i w:val="0"/>
        </w:rPr>
        <w:fldChar w:fldCharType="separate"/>
      </w:r>
      <w:r>
        <w:rPr>
          <w:i w:val="0"/>
        </w:rPr>
        <w:t>23</w:t>
      </w:r>
      <w:r>
        <w:rPr>
          <w:i w:val="0"/>
        </w:rPr>
        <w:fldChar w:fldCharType="end"/>
      </w:r>
      <w:r>
        <w:rPr>
          <w:i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_Toc7771 </w:instrText>
      </w:r>
      <w:r>
        <w:rPr>
          <w:color w:val="000000"/>
        </w:rPr>
        <w:fldChar w:fldCharType="separate"/>
      </w:r>
      <w:r>
        <w:rPr>
          <w:color w:val="000000"/>
        </w:rPr>
        <w:t>8.4人员疏散方案</w:t>
      </w:r>
      <w:r>
        <w:rPr>
          <w:color w:val="000000"/>
        </w:rPr>
        <w:tab/>
      </w:r>
      <w:r>
        <w:rPr>
          <w:color w:val="000000"/>
        </w:rPr>
        <w:fldChar w:fldCharType="begin"/>
      </w:r>
      <w:r>
        <w:rPr>
          <w:color w:val="000000"/>
        </w:rPr>
        <w:instrText xml:space="preserve"> PAGEREF _Toc7771 </w:instrText>
      </w:r>
      <w:r>
        <w:rPr>
          <w:color w:val="000000"/>
        </w:rPr>
        <w:fldChar w:fldCharType="separate"/>
      </w:r>
      <w:r>
        <w:rPr>
          <w:color w:val="000000"/>
        </w:rPr>
        <w:t>23</w:t>
      </w:r>
      <w:r>
        <w:rPr>
          <w:color w:val="000000"/>
        </w:rP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_Toc28055 </w:instrText>
      </w:r>
      <w:r>
        <w:rPr>
          <w:i w:val="0"/>
        </w:rPr>
        <w:fldChar w:fldCharType="separate"/>
      </w:r>
      <w:r>
        <w:rPr>
          <w:rFonts w:ascii="Times New Roman" w:hAnsi="Times New Roman"/>
          <w:i w:val="0"/>
        </w:rPr>
        <w:t>8.4.1事故现场人员的撤离</w:t>
      </w:r>
      <w:r>
        <w:rPr>
          <w:i w:val="0"/>
        </w:rPr>
        <w:tab/>
      </w:r>
      <w:r>
        <w:rPr>
          <w:i w:val="0"/>
        </w:rPr>
        <w:fldChar w:fldCharType="begin"/>
      </w:r>
      <w:r>
        <w:rPr>
          <w:i w:val="0"/>
        </w:rPr>
        <w:instrText xml:space="preserve"> PAGEREF _Toc28055 </w:instrText>
      </w:r>
      <w:r>
        <w:rPr>
          <w:i w:val="0"/>
        </w:rPr>
        <w:fldChar w:fldCharType="separate"/>
      </w:r>
      <w:r>
        <w:rPr>
          <w:i w:val="0"/>
        </w:rPr>
        <w:t>23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_Toc21864 </w:instrText>
      </w:r>
      <w:r>
        <w:rPr>
          <w:i w:val="0"/>
        </w:rPr>
        <w:fldChar w:fldCharType="separate"/>
      </w:r>
      <w:r>
        <w:rPr>
          <w:rFonts w:ascii="Times New Roman" w:hAnsi="Times New Roman"/>
          <w:i w:val="0"/>
        </w:rPr>
        <w:t>8.4.2抢救人员在撤离前、撤离后的报告</w:t>
      </w:r>
      <w:r>
        <w:rPr>
          <w:i w:val="0"/>
        </w:rPr>
        <w:tab/>
      </w:r>
      <w:r>
        <w:rPr>
          <w:i w:val="0"/>
        </w:rPr>
        <w:fldChar w:fldCharType="begin"/>
      </w:r>
      <w:r>
        <w:rPr>
          <w:i w:val="0"/>
        </w:rPr>
        <w:instrText xml:space="preserve"> PAGEREF _Toc21864 </w:instrText>
      </w:r>
      <w:r>
        <w:rPr>
          <w:i w:val="0"/>
        </w:rPr>
        <w:fldChar w:fldCharType="separate"/>
      </w:r>
      <w:r>
        <w:rPr>
          <w:i w:val="0"/>
        </w:rPr>
        <w:t>23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_Toc22943 </w:instrText>
      </w:r>
      <w:r>
        <w:rPr>
          <w:i w:val="0"/>
        </w:rPr>
        <w:fldChar w:fldCharType="separate"/>
      </w:r>
      <w:r>
        <w:rPr>
          <w:rFonts w:ascii="Times New Roman" w:hAnsi="Times New Roman"/>
          <w:i w:val="0"/>
        </w:rPr>
        <w:t>8.4.3周边区域单位人员疏散的方式、方法</w:t>
      </w:r>
      <w:r>
        <w:rPr>
          <w:i w:val="0"/>
        </w:rPr>
        <w:tab/>
      </w:r>
      <w:r>
        <w:rPr>
          <w:i w:val="0"/>
        </w:rPr>
        <w:fldChar w:fldCharType="begin"/>
      </w:r>
      <w:r>
        <w:rPr>
          <w:i w:val="0"/>
        </w:rPr>
        <w:instrText xml:space="preserve"> PAGEREF _Toc22943 </w:instrText>
      </w:r>
      <w:r>
        <w:rPr>
          <w:i w:val="0"/>
        </w:rPr>
        <w:fldChar w:fldCharType="separate"/>
      </w:r>
      <w:r>
        <w:rPr>
          <w:i w:val="0"/>
        </w:rPr>
        <w:t>24</w:t>
      </w:r>
      <w:r>
        <w:rPr>
          <w:i w:val="0"/>
        </w:rPr>
        <w:fldChar w:fldCharType="end"/>
      </w:r>
      <w:r>
        <w:rPr>
          <w:i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_Toc2681 </w:instrText>
      </w:r>
      <w:r>
        <w:rPr>
          <w:color w:val="000000"/>
        </w:rPr>
        <w:fldChar w:fldCharType="separate"/>
      </w:r>
      <w:r>
        <w:rPr>
          <w:color w:val="000000"/>
        </w:rPr>
        <w:t>8.5报警、通讯方式</w:t>
      </w:r>
      <w:r>
        <w:rPr>
          <w:color w:val="000000"/>
        </w:rPr>
        <w:tab/>
      </w:r>
      <w:r>
        <w:rPr>
          <w:color w:val="000000"/>
        </w:rPr>
        <w:fldChar w:fldCharType="begin"/>
      </w:r>
      <w:r>
        <w:rPr>
          <w:color w:val="000000"/>
        </w:rPr>
        <w:instrText xml:space="preserve"> PAGEREF _Toc2681 </w:instrText>
      </w:r>
      <w:r>
        <w:rPr>
          <w:color w:val="000000"/>
        </w:rPr>
        <w:fldChar w:fldCharType="separate"/>
      </w:r>
      <w:r>
        <w:rPr>
          <w:color w:val="000000"/>
        </w:rPr>
        <w:t>24</w:t>
      </w:r>
      <w:r>
        <w:rPr>
          <w:color w:val="000000"/>
        </w:rPr>
        <w:fldChar w:fldCharType="end"/>
      </w:r>
      <w:r>
        <w:rPr>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_Toc8438 </w:instrText>
      </w:r>
      <w:r>
        <w:rPr>
          <w:color w:val="000000"/>
        </w:rPr>
        <w:fldChar w:fldCharType="separate"/>
      </w:r>
      <w:r>
        <w:rPr>
          <w:color w:val="000000"/>
        </w:rPr>
        <w:t>8.6事故现场隔离区的划定</w:t>
      </w:r>
      <w:r>
        <w:rPr>
          <w:color w:val="000000"/>
        </w:rPr>
        <w:tab/>
      </w:r>
      <w:r>
        <w:rPr>
          <w:color w:val="000000"/>
        </w:rPr>
        <w:fldChar w:fldCharType="begin"/>
      </w:r>
      <w:r>
        <w:rPr>
          <w:color w:val="000000"/>
        </w:rPr>
        <w:instrText xml:space="preserve"> PAGEREF _Toc8438 </w:instrText>
      </w:r>
      <w:r>
        <w:rPr>
          <w:color w:val="000000"/>
        </w:rPr>
        <w:fldChar w:fldCharType="separate"/>
      </w:r>
      <w:r>
        <w:rPr>
          <w:color w:val="000000"/>
        </w:rPr>
        <w:t>25</w:t>
      </w:r>
      <w:r>
        <w:rPr>
          <w:color w:val="000000"/>
        </w:rPr>
        <w:fldChar w:fldCharType="end"/>
      </w:r>
      <w:r>
        <w:rPr>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_Toc12045 </w:instrText>
      </w:r>
      <w:r>
        <w:rPr>
          <w:color w:val="000000"/>
        </w:rPr>
        <w:fldChar w:fldCharType="separate"/>
      </w:r>
      <w:r>
        <w:rPr>
          <w:color w:val="000000"/>
        </w:rPr>
        <w:t>8.7事故现场周围区域的道路隔离或交通疏导办法</w:t>
      </w:r>
      <w:r>
        <w:rPr>
          <w:color w:val="000000"/>
        </w:rPr>
        <w:tab/>
      </w:r>
      <w:r>
        <w:rPr>
          <w:color w:val="000000"/>
        </w:rPr>
        <w:fldChar w:fldCharType="begin"/>
      </w:r>
      <w:r>
        <w:rPr>
          <w:color w:val="000000"/>
        </w:rPr>
        <w:instrText xml:space="preserve"> PAGEREF _Toc12045 </w:instrText>
      </w:r>
      <w:r>
        <w:rPr>
          <w:color w:val="000000"/>
        </w:rPr>
        <w:fldChar w:fldCharType="separate"/>
      </w:r>
      <w:r>
        <w:rPr>
          <w:color w:val="000000"/>
        </w:rPr>
        <w:t>25</w:t>
      </w:r>
      <w:r>
        <w:rPr>
          <w:color w:val="000000"/>
        </w:rPr>
        <w:fldChar w:fldCharType="end"/>
      </w:r>
      <w:r>
        <w:rPr>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_Toc27153 </w:instrText>
      </w:r>
      <w:r>
        <w:rPr>
          <w:color w:val="000000"/>
        </w:rPr>
        <w:fldChar w:fldCharType="separate"/>
      </w:r>
      <w:r>
        <w:rPr>
          <w:color w:val="000000"/>
        </w:rPr>
        <w:t>8.8抢险、救援</w:t>
      </w:r>
      <w:r>
        <w:rPr>
          <w:color w:val="000000"/>
        </w:rPr>
        <w:tab/>
      </w:r>
      <w:r>
        <w:rPr>
          <w:color w:val="000000"/>
        </w:rPr>
        <w:fldChar w:fldCharType="begin"/>
      </w:r>
      <w:r>
        <w:rPr>
          <w:color w:val="000000"/>
        </w:rPr>
        <w:instrText xml:space="preserve"> PAGEREF _Toc27153 </w:instrText>
      </w:r>
      <w:r>
        <w:rPr>
          <w:color w:val="000000"/>
        </w:rPr>
        <w:fldChar w:fldCharType="separate"/>
      </w:r>
      <w:r>
        <w:rPr>
          <w:color w:val="000000"/>
        </w:rPr>
        <w:t>25</w:t>
      </w:r>
      <w:r>
        <w:rPr>
          <w:color w:val="000000"/>
        </w:rP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_Toc15200 </w:instrText>
      </w:r>
      <w:r>
        <w:rPr>
          <w:i w:val="0"/>
        </w:rPr>
        <w:fldChar w:fldCharType="separate"/>
      </w:r>
      <w:r>
        <w:rPr>
          <w:rFonts w:ascii="Times New Roman" w:hAnsi="Times New Roman"/>
          <w:i w:val="0"/>
          <w:szCs w:val="24"/>
        </w:rPr>
        <w:t>8.8.1抢救原则</w:t>
      </w:r>
      <w:r>
        <w:rPr>
          <w:i w:val="0"/>
        </w:rPr>
        <w:tab/>
      </w:r>
      <w:r>
        <w:rPr>
          <w:i w:val="0"/>
        </w:rPr>
        <w:fldChar w:fldCharType="begin"/>
      </w:r>
      <w:r>
        <w:rPr>
          <w:i w:val="0"/>
        </w:rPr>
        <w:instrText xml:space="preserve"> PAGEREF _Toc15200 </w:instrText>
      </w:r>
      <w:r>
        <w:rPr>
          <w:i w:val="0"/>
        </w:rPr>
        <w:fldChar w:fldCharType="separate"/>
      </w:r>
      <w:r>
        <w:rPr>
          <w:i w:val="0"/>
        </w:rPr>
        <w:t>25</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_Toc27089 </w:instrText>
      </w:r>
      <w:r>
        <w:rPr>
          <w:i w:val="0"/>
        </w:rPr>
        <w:fldChar w:fldCharType="separate"/>
      </w:r>
      <w:r>
        <w:rPr>
          <w:rFonts w:ascii="Times New Roman" w:hAnsi="Times New Roman"/>
          <w:i w:val="0"/>
        </w:rPr>
        <w:t>8.8.2人员防护</w:t>
      </w:r>
      <w:r>
        <w:rPr>
          <w:i w:val="0"/>
        </w:rPr>
        <w:tab/>
      </w:r>
      <w:r>
        <w:rPr>
          <w:i w:val="0"/>
        </w:rPr>
        <w:fldChar w:fldCharType="begin"/>
      </w:r>
      <w:r>
        <w:rPr>
          <w:i w:val="0"/>
        </w:rPr>
        <w:instrText xml:space="preserve"> PAGEREF _Toc27089 </w:instrText>
      </w:r>
      <w:r>
        <w:rPr>
          <w:i w:val="0"/>
        </w:rPr>
        <w:fldChar w:fldCharType="separate"/>
      </w:r>
      <w:r>
        <w:rPr>
          <w:i w:val="0"/>
        </w:rPr>
        <w:t>26</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_Toc15126 </w:instrText>
      </w:r>
      <w:r>
        <w:rPr>
          <w:i w:val="0"/>
        </w:rPr>
        <w:fldChar w:fldCharType="separate"/>
      </w:r>
      <w:r>
        <w:rPr>
          <w:rFonts w:ascii="Times New Roman" w:hAnsi="Times New Roman"/>
          <w:i w:val="0"/>
        </w:rPr>
        <w:t>8.8.3人员监护</w:t>
      </w:r>
      <w:r>
        <w:rPr>
          <w:i w:val="0"/>
        </w:rPr>
        <w:tab/>
      </w:r>
      <w:r>
        <w:rPr>
          <w:i w:val="0"/>
        </w:rPr>
        <w:fldChar w:fldCharType="begin"/>
      </w:r>
      <w:r>
        <w:rPr>
          <w:i w:val="0"/>
        </w:rPr>
        <w:instrText xml:space="preserve"> PAGEREF _Toc15126 </w:instrText>
      </w:r>
      <w:r>
        <w:rPr>
          <w:i w:val="0"/>
        </w:rPr>
        <w:fldChar w:fldCharType="separate"/>
      </w:r>
      <w:r>
        <w:rPr>
          <w:i w:val="0"/>
        </w:rPr>
        <w:t>26</w:t>
      </w:r>
      <w:r>
        <w:rPr>
          <w:i w:val="0"/>
        </w:rPr>
        <w:fldChar w:fldCharType="end"/>
      </w:r>
      <w:r>
        <w:rPr>
          <w:i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_Toc9836 </w:instrText>
      </w:r>
      <w:r>
        <w:rPr>
          <w:color w:val="000000"/>
        </w:rPr>
        <w:fldChar w:fldCharType="separate"/>
      </w:r>
      <w:r>
        <w:rPr>
          <w:color w:val="000000"/>
        </w:rPr>
        <w:t>8.9控制事故扩大的措施</w:t>
      </w:r>
      <w:r>
        <w:rPr>
          <w:color w:val="000000"/>
        </w:rPr>
        <w:tab/>
      </w:r>
      <w:r>
        <w:rPr>
          <w:color w:val="000000"/>
        </w:rPr>
        <w:fldChar w:fldCharType="begin"/>
      </w:r>
      <w:r>
        <w:rPr>
          <w:color w:val="000000"/>
        </w:rPr>
        <w:instrText xml:space="preserve"> PAGEREF _Toc9836 </w:instrText>
      </w:r>
      <w:r>
        <w:rPr>
          <w:color w:val="000000"/>
        </w:rPr>
        <w:fldChar w:fldCharType="separate"/>
      </w:r>
      <w:r>
        <w:rPr>
          <w:color w:val="000000"/>
        </w:rPr>
        <w:t>26</w:t>
      </w:r>
      <w:r>
        <w:rPr>
          <w:color w:val="000000"/>
        </w:rP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_Toc10279 </w:instrText>
      </w:r>
      <w:r>
        <w:rPr>
          <w:b w:val="0"/>
        </w:rPr>
        <w:fldChar w:fldCharType="separate"/>
      </w:r>
      <w:r>
        <w:rPr>
          <w:rFonts w:ascii="Times New Roman" w:hAnsi="Times New Roman"/>
          <w:b w:val="0"/>
        </w:rPr>
        <w:t>9 应急设备与物资</w:t>
      </w:r>
      <w:r>
        <w:rPr>
          <w:b w:val="0"/>
        </w:rPr>
        <w:tab/>
      </w:r>
      <w:r>
        <w:rPr>
          <w:b w:val="0"/>
        </w:rPr>
        <w:fldChar w:fldCharType="begin"/>
      </w:r>
      <w:r>
        <w:rPr>
          <w:b w:val="0"/>
        </w:rPr>
        <w:instrText xml:space="preserve"> PAGEREF _Toc10279 </w:instrText>
      </w:r>
      <w:r>
        <w:rPr>
          <w:b w:val="0"/>
        </w:rPr>
        <w:fldChar w:fldCharType="separate"/>
      </w:r>
      <w:r>
        <w:rPr>
          <w:b w:val="0"/>
        </w:rPr>
        <w:t>27</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_Toc29744 </w:instrText>
      </w:r>
      <w:r>
        <w:fldChar w:fldCharType="separate"/>
      </w:r>
      <w:r>
        <w:rPr>
          <w:rFonts w:ascii="Times New Roman" w:hAnsi="Times New Roman"/>
        </w:rPr>
        <w:t>9.1应急设备与物资的准备</w:t>
      </w:r>
      <w:r>
        <w:tab/>
      </w:r>
      <w:r>
        <w:fldChar w:fldCharType="begin"/>
      </w:r>
      <w:r>
        <w:instrText xml:space="preserve"> PAGEREF _Toc29744 </w:instrText>
      </w:r>
      <w:r>
        <w:fldChar w:fldCharType="separate"/>
      </w:r>
      <w:r>
        <w:t>27</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_Toc1813 </w:instrText>
      </w:r>
      <w:r>
        <w:fldChar w:fldCharType="separate"/>
      </w:r>
      <w:r>
        <w:rPr>
          <w:rFonts w:ascii="Times New Roman" w:hAnsi="Times New Roman"/>
        </w:rPr>
        <w:t>9.2应急设备与物资的启用</w:t>
      </w:r>
      <w:r>
        <w:tab/>
      </w:r>
      <w:r>
        <w:fldChar w:fldCharType="begin"/>
      </w:r>
      <w:r>
        <w:instrText xml:space="preserve"> PAGEREF _Toc1813 </w:instrText>
      </w:r>
      <w:r>
        <w:fldChar w:fldCharType="separate"/>
      </w:r>
      <w:r>
        <w:t>27</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_Toc26969 </w:instrText>
      </w:r>
      <w:r>
        <w:rPr>
          <w:b w:val="0"/>
        </w:rPr>
        <w:fldChar w:fldCharType="separate"/>
      </w:r>
      <w:r>
        <w:rPr>
          <w:rFonts w:ascii="Times New Roman" w:hAnsi="Times New Roman"/>
          <w:b w:val="0"/>
        </w:rPr>
        <w:t>10 应急监测</w:t>
      </w:r>
      <w:r>
        <w:rPr>
          <w:b w:val="0"/>
        </w:rPr>
        <w:tab/>
      </w:r>
      <w:r>
        <w:rPr>
          <w:b w:val="0"/>
        </w:rPr>
        <w:fldChar w:fldCharType="begin"/>
      </w:r>
      <w:r>
        <w:rPr>
          <w:b w:val="0"/>
        </w:rPr>
        <w:instrText xml:space="preserve"> PAGEREF _Toc26969 </w:instrText>
      </w:r>
      <w:r>
        <w:rPr>
          <w:b w:val="0"/>
        </w:rPr>
        <w:fldChar w:fldCharType="separate"/>
      </w:r>
      <w:r>
        <w:rPr>
          <w:b w:val="0"/>
        </w:rPr>
        <w:t>28</w:t>
      </w:r>
      <w:r>
        <w:rPr>
          <w:b w:val="0"/>
        </w:rPr>
        <w:fldChar w:fldCharType="end"/>
      </w:r>
      <w:r>
        <w:rPr>
          <w:b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_Toc12773 </w:instrText>
      </w:r>
      <w:r>
        <w:rPr>
          <w:color w:val="000000"/>
        </w:rPr>
        <w:fldChar w:fldCharType="separate"/>
      </w:r>
      <w:r>
        <w:rPr>
          <w:color w:val="000000"/>
        </w:rPr>
        <w:t>10.1应急监测方案</w:t>
      </w:r>
      <w:r>
        <w:rPr>
          <w:color w:val="000000"/>
        </w:rPr>
        <w:tab/>
      </w:r>
      <w:r>
        <w:rPr>
          <w:color w:val="000000"/>
        </w:rPr>
        <w:fldChar w:fldCharType="begin"/>
      </w:r>
      <w:r>
        <w:rPr>
          <w:color w:val="000000"/>
        </w:rPr>
        <w:instrText xml:space="preserve"> PAGEREF _Toc12773 </w:instrText>
      </w:r>
      <w:r>
        <w:rPr>
          <w:color w:val="000000"/>
        </w:rPr>
        <w:fldChar w:fldCharType="separate"/>
      </w:r>
      <w:r>
        <w:rPr>
          <w:color w:val="000000"/>
        </w:rPr>
        <w:t>28</w:t>
      </w:r>
      <w:r>
        <w:rPr>
          <w:color w:val="000000"/>
        </w:rP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_Toc2470 </w:instrText>
      </w:r>
      <w:r>
        <w:fldChar w:fldCharType="separate"/>
      </w:r>
      <w:r>
        <w:rPr>
          <w:rFonts w:ascii="Times New Roman" w:hAnsi="Times New Roman"/>
        </w:rPr>
        <w:t>10.2监测人员防护措施</w:t>
      </w:r>
      <w:r>
        <w:tab/>
      </w:r>
      <w:r>
        <w:fldChar w:fldCharType="begin"/>
      </w:r>
      <w:r>
        <w:instrText xml:space="preserve"> PAGEREF _Toc2470 </w:instrText>
      </w:r>
      <w:r>
        <w:fldChar w:fldCharType="separate"/>
      </w:r>
      <w:r>
        <w:t>28</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_Toc12261 </w:instrText>
      </w:r>
      <w:r>
        <w:fldChar w:fldCharType="separate"/>
      </w:r>
      <w:r>
        <w:rPr>
          <w:rFonts w:ascii="Times New Roman" w:hAnsi="Times New Roman"/>
        </w:rPr>
        <w:t>10.3监测信息报告</w:t>
      </w:r>
      <w:r>
        <w:tab/>
      </w:r>
      <w:r>
        <w:fldChar w:fldCharType="begin"/>
      </w:r>
      <w:r>
        <w:instrText xml:space="preserve"> PAGEREF _Toc12261 </w:instrText>
      </w:r>
      <w:r>
        <w:fldChar w:fldCharType="separate"/>
      </w:r>
      <w:r>
        <w:t>29</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_Toc12179 </w:instrText>
      </w:r>
      <w:r>
        <w:rPr>
          <w:b w:val="0"/>
        </w:rPr>
        <w:fldChar w:fldCharType="separate"/>
      </w:r>
      <w:r>
        <w:rPr>
          <w:rFonts w:ascii="Times New Roman" w:hAnsi="Times New Roman"/>
          <w:b w:val="0"/>
        </w:rPr>
        <w:t>11 应急终止</w:t>
      </w:r>
      <w:r>
        <w:rPr>
          <w:b w:val="0"/>
        </w:rPr>
        <w:tab/>
      </w:r>
      <w:r>
        <w:rPr>
          <w:b w:val="0"/>
        </w:rPr>
        <w:fldChar w:fldCharType="begin"/>
      </w:r>
      <w:r>
        <w:rPr>
          <w:b w:val="0"/>
        </w:rPr>
        <w:instrText xml:space="preserve"> PAGEREF _Toc12179 </w:instrText>
      </w:r>
      <w:r>
        <w:rPr>
          <w:b w:val="0"/>
        </w:rPr>
        <w:fldChar w:fldCharType="separate"/>
      </w:r>
      <w:r>
        <w:rPr>
          <w:b w:val="0"/>
        </w:rPr>
        <w:t>30</w:t>
      </w:r>
      <w:r>
        <w:rPr>
          <w:b w:val="0"/>
        </w:rPr>
        <w:fldChar w:fldCharType="end"/>
      </w:r>
      <w:r>
        <w:rPr>
          <w:b w:val="0"/>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_Toc10362 </w:instrText>
      </w:r>
      <w:r>
        <w:rPr>
          <w:color w:val="000000"/>
        </w:rPr>
        <w:fldChar w:fldCharType="separate"/>
      </w:r>
      <w:r>
        <w:rPr>
          <w:color w:val="000000"/>
        </w:rPr>
        <w:t>11.1应急终止的条件</w:t>
      </w:r>
      <w:r>
        <w:rPr>
          <w:color w:val="000000"/>
        </w:rPr>
        <w:tab/>
      </w:r>
      <w:r>
        <w:rPr>
          <w:color w:val="000000"/>
        </w:rPr>
        <w:fldChar w:fldCharType="begin"/>
      </w:r>
      <w:r>
        <w:rPr>
          <w:color w:val="000000"/>
        </w:rPr>
        <w:instrText xml:space="preserve"> PAGEREF _Toc10362 </w:instrText>
      </w:r>
      <w:r>
        <w:rPr>
          <w:color w:val="000000"/>
        </w:rPr>
        <w:fldChar w:fldCharType="separate"/>
      </w:r>
      <w:r>
        <w:rPr>
          <w:color w:val="000000"/>
        </w:rPr>
        <w:t>30</w:t>
      </w:r>
      <w:r>
        <w:rPr>
          <w:color w:val="000000"/>
        </w:rPr>
        <w:fldChar w:fldCharType="end"/>
      </w:r>
      <w:r>
        <w:rPr>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_Toc10335 </w:instrText>
      </w:r>
      <w:r>
        <w:rPr>
          <w:color w:val="000000"/>
        </w:rPr>
        <w:fldChar w:fldCharType="separate"/>
      </w:r>
      <w:r>
        <w:rPr>
          <w:color w:val="000000"/>
        </w:rPr>
        <w:t>11.2应急终止的程序</w:t>
      </w:r>
      <w:r>
        <w:rPr>
          <w:color w:val="000000"/>
        </w:rPr>
        <w:tab/>
      </w:r>
      <w:r>
        <w:rPr>
          <w:color w:val="000000"/>
        </w:rPr>
        <w:fldChar w:fldCharType="begin"/>
      </w:r>
      <w:r>
        <w:rPr>
          <w:color w:val="000000"/>
        </w:rPr>
        <w:instrText xml:space="preserve"> PAGEREF _Toc10335 </w:instrText>
      </w:r>
      <w:r>
        <w:rPr>
          <w:color w:val="000000"/>
        </w:rPr>
        <w:fldChar w:fldCharType="separate"/>
      </w:r>
      <w:r>
        <w:rPr>
          <w:color w:val="000000"/>
        </w:rPr>
        <w:t>30</w:t>
      </w:r>
      <w:r>
        <w:rPr>
          <w:color w:val="000000"/>
        </w:rPr>
        <w:fldChar w:fldCharType="end"/>
      </w:r>
      <w:r>
        <w:rPr>
          <w:color w:val="000000"/>
        </w:rPr>
        <w:fldChar w:fldCharType="end"/>
      </w:r>
    </w:p>
    <w:p>
      <w:pPr>
        <w:pStyle w:val="17"/>
        <w:tabs>
          <w:tab w:val="right" w:leader="dot" w:pos="8306"/>
        </w:tabs>
        <w:ind w:firstLine="420"/>
        <w:rPr>
          <w:color w:val="000000"/>
        </w:rPr>
      </w:pPr>
      <w:r>
        <w:rPr>
          <w:color w:val="000000"/>
        </w:rPr>
        <w:fldChar w:fldCharType="begin"/>
      </w:r>
      <w:r>
        <w:rPr>
          <w:color w:val="000000"/>
        </w:rPr>
        <w:instrText xml:space="preserve"> HYPERLINK \l _Toc12689 </w:instrText>
      </w:r>
      <w:r>
        <w:rPr>
          <w:color w:val="000000"/>
        </w:rPr>
        <w:fldChar w:fldCharType="separate"/>
      </w:r>
      <w:r>
        <w:rPr>
          <w:color w:val="000000"/>
        </w:rPr>
        <w:t>11.3应急终止后的行动</w:t>
      </w:r>
      <w:r>
        <w:rPr>
          <w:color w:val="000000"/>
        </w:rPr>
        <w:tab/>
      </w:r>
      <w:r>
        <w:rPr>
          <w:color w:val="000000"/>
        </w:rPr>
        <w:fldChar w:fldCharType="begin"/>
      </w:r>
      <w:r>
        <w:rPr>
          <w:color w:val="000000"/>
        </w:rPr>
        <w:instrText xml:space="preserve"> PAGEREF _Toc12689 </w:instrText>
      </w:r>
      <w:r>
        <w:rPr>
          <w:color w:val="000000"/>
        </w:rPr>
        <w:fldChar w:fldCharType="separate"/>
      </w:r>
      <w:r>
        <w:rPr>
          <w:color w:val="000000"/>
        </w:rPr>
        <w:t>30</w:t>
      </w:r>
      <w:r>
        <w:rPr>
          <w:color w:val="000000"/>
        </w:rP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_Toc24905 </w:instrText>
      </w:r>
      <w:r>
        <w:rPr>
          <w:b w:val="0"/>
        </w:rPr>
        <w:fldChar w:fldCharType="separate"/>
      </w:r>
      <w:r>
        <w:rPr>
          <w:rFonts w:ascii="Times New Roman" w:hAnsi="Times New Roman"/>
          <w:b w:val="0"/>
        </w:rPr>
        <w:t>12 后期处置</w:t>
      </w:r>
      <w:r>
        <w:rPr>
          <w:b w:val="0"/>
        </w:rPr>
        <w:tab/>
      </w:r>
      <w:r>
        <w:rPr>
          <w:b w:val="0"/>
        </w:rPr>
        <w:fldChar w:fldCharType="begin"/>
      </w:r>
      <w:r>
        <w:rPr>
          <w:b w:val="0"/>
        </w:rPr>
        <w:instrText xml:space="preserve"> PAGEREF _Toc24905 </w:instrText>
      </w:r>
      <w:r>
        <w:rPr>
          <w:b w:val="0"/>
        </w:rPr>
        <w:fldChar w:fldCharType="separate"/>
      </w:r>
      <w:r>
        <w:rPr>
          <w:b w:val="0"/>
        </w:rPr>
        <w:t>31</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_Toc32360 </w:instrText>
      </w:r>
      <w:r>
        <w:fldChar w:fldCharType="separate"/>
      </w:r>
      <w:r>
        <w:rPr>
          <w:rFonts w:ascii="Times New Roman" w:hAnsi="Times New Roman"/>
        </w:rPr>
        <w:t>12.1事故现场保护</w:t>
      </w:r>
      <w:r>
        <w:tab/>
      </w:r>
      <w:r>
        <w:fldChar w:fldCharType="begin"/>
      </w:r>
      <w:r>
        <w:instrText xml:space="preserve"> PAGEREF _Toc32360 </w:instrText>
      </w:r>
      <w:r>
        <w:fldChar w:fldCharType="separate"/>
      </w:r>
      <w:r>
        <w:t>31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_Toc14247 </w:instrText>
      </w:r>
      <w:r>
        <w:fldChar w:fldCharType="separate"/>
      </w:r>
      <w:r>
        <w:rPr>
          <w:rFonts w:ascii="Times New Roman" w:hAnsi="Times New Roman"/>
        </w:rPr>
        <w:t>12.2事故污染物处理</w:t>
      </w:r>
      <w:r>
        <w:tab/>
      </w:r>
      <w:r>
        <w:fldChar w:fldCharType="begin"/>
      </w:r>
      <w:r>
        <w:instrText xml:space="preserve"> PAGEREF _Toc14247 </w:instrText>
      </w:r>
      <w:r>
        <w:fldChar w:fldCharType="separate"/>
      </w:r>
      <w:r>
        <w:t>31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_Toc22983 </w:instrText>
      </w:r>
      <w:r>
        <w:fldChar w:fldCharType="separate"/>
      </w:r>
      <w:r>
        <w:rPr>
          <w:rFonts w:ascii="Times New Roman" w:hAnsi="Times New Roman"/>
        </w:rPr>
        <w:t>12.3生态恢复</w:t>
      </w:r>
      <w:r>
        <w:tab/>
      </w:r>
      <w:r>
        <w:fldChar w:fldCharType="begin"/>
      </w:r>
      <w:r>
        <w:instrText xml:space="preserve"> PAGEREF _Toc22983 </w:instrText>
      </w:r>
      <w:r>
        <w:fldChar w:fldCharType="separate"/>
      </w:r>
      <w:r>
        <w:t>31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_Toc19140 </w:instrText>
      </w:r>
      <w:r>
        <w:fldChar w:fldCharType="separate"/>
      </w:r>
      <w:r>
        <w:rPr>
          <w:rFonts w:ascii="Times New Roman" w:hAnsi="Times New Roman"/>
        </w:rPr>
        <w:t>12.4善后</w:t>
      </w:r>
      <w:r>
        <w:tab/>
      </w:r>
      <w:r>
        <w:fldChar w:fldCharType="begin"/>
      </w:r>
      <w:r>
        <w:instrText xml:space="preserve"> PAGEREF _Toc19140 </w:instrText>
      </w:r>
      <w:r>
        <w:fldChar w:fldCharType="separate"/>
      </w:r>
      <w:r>
        <w:t>31</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_Toc28389 </w:instrText>
      </w:r>
      <w:r>
        <w:fldChar w:fldCharType="separate"/>
      </w:r>
      <w:r>
        <w:rPr>
          <w:rFonts w:ascii="Times New Roman" w:hAnsi="Times New Roman"/>
        </w:rPr>
        <w:t>12.5救援效果和应急经验总结</w:t>
      </w:r>
      <w:r>
        <w:tab/>
      </w:r>
      <w:r>
        <w:fldChar w:fldCharType="begin"/>
      </w:r>
      <w:r>
        <w:instrText xml:space="preserve"> PAGEREF _Toc28389 </w:instrText>
      </w:r>
      <w:r>
        <w:fldChar w:fldCharType="separate"/>
      </w:r>
      <w:r>
        <w:t>31</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_Toc26027 </w:instrText>
      </w:r>
      <w:r>
        <w:rPr>
          <w:b w:val="0"/>
        </w:rPr>
        <w:fldChar w:fldCharType="separate"/>
      </w:r>
      <w:r>
        <w:rPr>
          <w:rFonts w:ascii="Times New Roman" w:hAnsi="Times New Roman"/>
          <w:b w:val="0"/>
        </w:rPr>
        <w:t>13 应急保障</w:t>
      </w:r>
      <w:r>
        <w:rPr>
          <w:b w:val="0"/>
        </w:rPr>
        <w:tab/>
      </w:r>
      <w:r>
        <w:rPr>
          <w:b w:val="0"/>
        </w:rPr>
        <w:fldChar w:fldCharType="begin"/>
      </w:r>
      <w:r>
        <w:rPr>
          <w:b w:val="0"/>
        </w:rPr>
        <w:instrText xml:space="preserve"> PAGEREF _Toc26027 </w:instrText>
      </w:r>
      <w:r>
        <w:rPr>
          <w:b w:val="0"/>
        </w:rPr>
        <w:fldChar w:fldCharType="separate"/>
      </w:r>
      <w:r>
        <w:rPr>
          <w:b w:val="0"/>
        </w:rPr>
        <w:t>32</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_Toc16009 </w:instrText>
      </w:r>
      <w:r>
        <w:fldChar w:fldCharType="separate"/>
      </w:r>
      <w:r>
        <w:rPr>
          <w:rFonts w:ascii="Times New Roman" w:hAnsi="Times New Roman"/>
        </w:rPr>
        <w:t xml:space="preserve">13.1 </w:t>
      </w:r>
      <w:r>
        <w:rPr>
          <w:rFonts w:ascii="Times New Roman" w:hAnsi="Times New Roman"/>
          <w:lang w:val="zh-CN"/>
        </w:rPr>
        <w:t>通信与信息保障</w:t>
      </w:r>
      <w:r>
        <w:tab/>
      </w:r>
      <w:r>
        <w:fldChar w:fldCharType="begin"/>
      </w:r>
      <w:r>
        <w:instrText xml:space="preserve"> PAGEREF _Toc16009 </w:instrText>
      </w:r>
      <w:r>
        <w:fldChar w:fldCharType="separate"/>
      </w:r>
      <w:r>
        <w:t>32</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_Toc2121 </w:instrText>
      </w:r>
      <w:r>
        <w:fldChar w:fldCharType="separate"/>
      </w:r>
      <w:r>
        <w:rPr>
          <w:rFonts w:ascii="Times New Roman" w:hAnsi="Times New Roman"/>
        </w:rPr>
        <w:t xml:space="preserve">13.2 </w:t>
      </w:r>
      <w:r>
        <w:rPr>
          <w:rFonts w:ascii="Times New Roman" w:hAnsi="Times New Roman"/>
          <w:lang w:val="zh-CN"/>
        </w:rPr>
        <w:t>应急队伍保障</w:t>
      </w:r>
      <w:r>
        <w:tab/>
      </w:r>
      <w:r>
        <w:fldChar w:fldCharType="begin"/>
      </w:r>
      <w:r>
        <w:instrText xml:space="preserve"> PAGEREF _Toc2121 </w:instrText>
      </w:r>
      <w:r>
        <w:fldChar w:fldCharType="separate"/>
      </w:r>
      <w:r>
        <w:t>32</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_Toc18990 </w:instrText>
      </w:r>
      <w:r>
        <w:fldChar w:fldCharType="separate"/>
      </w:r>
      <w:r>
        <w:rPr>
          <w:rFonts w:ascii="Times New Roman" w:hAnsi="Times New Roman"/>
          <w:lang w:val="zh-CN"/>
        </w:rPr>
        <w:t>1</w:t>
      </w:r>
      <w:r>
        <w:rPr>
          <w:rFonts w:ascii="Times New Roman" w:hAnsi="Times New Roman"/>
        </w:rPr>
        <w:t>3</w:t>
      </w:r>
      <w:r>
        <w:rPr>
          <w:rFonts w:ascii="Times New Roman" w:hAnsi="Times New Roman"/>
          <w:lang w:val="zh-CN"/>
        </w:rPr>
        <w:t>.</w:t>
      </w:r>
      <w:r>
        <w:rPr>
          <w:rFonts w:ascii="Times New Roman" w:hAnsi="Times New Roman"/>
        </w:rPr>
        <w:t>3</w:t>
      </w:r>
      <w:r>
        <w:rPr>
          <w:rFonts w:ascii="Times New Roman" w:hAnsi="Times New Roman"/>
          <w:lang w:val="zh-CN"/>
        </w:rPr>
        <w:t xml:space="preserve"> 应急物资装备保障</w:t>
      </w:r>
      <w:r>
        <w:tab/>
      </w:r>
      <w:r>
        <w:fldChar w:fldCharType="begin"/>
      </w:r>
      <w:r>
        <w:instrText xml:space="preserve"> PAGEREF _Toc18990 </w:instrText>
      </w:r>
      <w:r>
        <w:fldChar w:fldCharType="separate"/>
      </w:r>
      <w:r>
        <w:t>32</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_Toc4740 </w:instrText>
      </w:r>
      <w:r>
        <w:fldChar w:fldCharType="separate"/>
      </w:r>
      <w:r>
        <w:rPr>
          <w:rFonts w:ascii="Times New Roman" w:hAnsi="Times New Roman"/>
          <w:lang w:val="zh-CN"/>
        </w:rPr>
        <w:t>1</w:t>
      </w:r>
      <w:r>
        <w:rPr>
          <w:rFonts w:ascii="Times New Roman" w:hAnsi="Times New Roman"/>
        </w:rPr>
        <w:t>3</w:t>
      </w:r>
      <w:r>
        <w:rPr>
          <w:rFonts w:ascii="Times New Roman" w:hAnsi="Times New Roman"/>
          <w:lang w:val="zh-CN"/>
        </w:rPr>
        <w:t>.</w:t>
      </w:r>
      <w:r>
        <w:rPr>
          <w:rFonts w:ascii="Times New Roman" w:hAnsi="Times New Roman"/>
        </w:rPr>
        <w:t>4</w:t>
      </w:r>
      <w:r>
        <w:rPr>
          <w:rFonts w:ascii="Times New Roman" w:hAnsi="Times New Roman"/>
          <w:lang w:val="zh-CN"/>
        </w:rPr>
        <w:t xml:space="preserve"> 应急资金保障</w:t>
      </w:r>
      <w:r>
        <w:tab/>
      </w:r>
      <w:r>
        <w:fldChar w:fldCharType="begin"/>
      </w:r>
      <w:r>
        <w:instrText xml:space="preserve"> PAGEREF _Toc4740 </w:instrText>
      </w:r>
      <w:r>
        <w:fldChar w:fldCharType="separate"/>
      </w:r>
      <w:r>
        <w:t>32</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_Toc3366 </w:instrText>
      </w:r>
      <w:r>
        <w:rPr>
          <w:b w:val="0"/>
        </w:rPr>
        <w:fldChar w:fldCharType="separate"/>
      </w:r>
      <w:r>
        <w:rPr>
          <w:rFonts w:ascii="Times New Roman" w:hAnsi="Times New Roman"/>
          <w:b w:val="0"/>
        </w:rPr>
        <w:t>14应急预案管理</w:t>
      </w:r>
      <w:r>
        <w:rPr>
          <w:b w:val="0"/>
        </w:rPr>
        <w:tab/>
      </w:r>
      <w:r>
        <w:rPr>
          <w:b w:val="0"/>
        </w:rPr>
        <w:fldChar w:fldCharType="begin"/>
      </w:r>
      <w:r>
        <w:rPr>
          <w:b w:val="0"/>
        </w:rPr>
        <w:instrText xml:space="preserve"> PAGEREF _Toc3366 </w:instrText>
      </w:r>
      <w:r>
        <w:rPr>
          <w:b w:val="0"/>
        </w:rPr>
        <w:fldChar w:fldCharType="separate"/>
      </w:r>
      <w:r>
        <w:rPr>
          <w:b w:val="0"/>
        </w:rPr>
        <w:t>33</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_Toc26945 </w:instrText>
      </w:r>
      <w:r>
        <w:fldChar w:fldCharType="separate"/>
      </w:r>
      <w:r>
        <w:rPr>
          <w:rFonts w:ascii="Times New Roman" w:hAnsi="Times New Roman"/>
        </w:rPr>
        <w:t>14</w:t>
      </w:r>
      <w:r>
        <w:rPr>
          <w:rFonts w:ascii="Times New Roman" w:hAnsi="Times New Roman"/>
          <w:lang w:val="zh-CN"/>
        </w:rPr>
        <w:t>.1 应急预案培训</w:t>
      </w:r>
      <w:r>
        <w:tab/>
      </w:r>
      <w:r>
        <w:fldChar w:fldCharType="begin"/>
      </w:r>
      <w:r>
        <w:instrText xml:space="preserve"> PAGEREF _Toc26945 </w:instrText>
      </w:r>
      <w:r>
        <w:fldChar w:fldCharType="separate"/>
      </w:r>
      <w:r>
        <w:t>33</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_Toc23581 </w:instrText>
      </w:r>
      <w:r>
        <w:rPr>
          <w:i w:val="0"/>
        </w:rPr>
        <w:fldChar w:fldCharType="separate"/>
      </w:r>
      <w:r>
        <w:rPr>
          <w:rFonts w:ascii="Times New Roman" w:hAnsi="Times New Roman"/>
          <w:i w:val="0"/>
        </w:rPr>
        <w:t>14.1.1应急救援人员的培训</w:t>
      </w:r>
      <w:r>
        <w:rPr>
          <w:i w:val="0"/>
        </w:rPr>
        <w:tab/>
      </w:r>
      <w:r>
        <w:rPr>
          <w:i w:val="0"/>
        </w:rPr>
        <w:fldChar w:fldCharType="begin"/>
      </w:r>
      <w:r>
        <w:rPr>
          <w:i w:val="0"/>
        </w:rPr>
        <w:instrText xml:space="preserve"> PAGEREF _Toc23581 </w:instrText>
      </w:r>
      <w:r>
        <w:rPr>
          <w:i w:val="0"/>
        </w:rPr>
        <w:fldChar w:fldCharType="separate"/>
      </w:r>
      <w:r>
        <w:rPr>
          <w:i w:val="0"/>
        </w:rPr>
        <w:t>33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_Toc27761 </w:instrText>
      </w:r>
      <w:r>
        <w:rPr>
          <w:i w:val="0"/>
        </w:rPr>
        <w:fldChar w:fldCharType="separate"/>
      </w:r>
      <w:r>
        <w:rPr>
          <w:rFonts w:ascii="Times New Roman" w:hAnsi="Times New Roman"/>
          <w:i w:val="0"/>
        </w:rPr>
        <w:t>14.1.2对社区或周边人员及相关方应急响应知识的宣传</w:t>
      </w:r>
      <w:r>
        <w:rPr>
          <w:i w:val="0"/>
        </w:rPr>
        <w:tab/>
      </w:r>
      <w:r>
        <w:rPr>
          <w:i w:val="0"/>
        </w:rPr>
        <w:fldChar w:fldCharType="begin"/>
      </w:r>
      <w:r>
        <w:rPr>
          <w:i w:val="0"/>
        </w:rPr>
        <w:instrText xml:space="preserve"> PAGEREF _Toc27761 </w:instrText>
      </w:r>
      <w:r>
        <w:rPr>
          <w:i w:val="0"/>
        </w:rPr>
        <w:fldChar w:fldCharType="separate"/>
      </w:r>
      <w:r>
        <w:rPr>
          <w:i w:val="0"/>
        </w:rPr>
        <w:t>33</w:t>
      </w:r>
      <w:r>
        <w:rPr>
          <w:i w:val="0"/>
        </w:rPr>
        <w:fldChar w:fldCharType="end"/>
      </w:r>
      <w:r>
        <w:rPr>
          <w:i w:val="0"/>
          <w:color w:val="000000"/>
        </w:rPr>
        <w:fldChar w:fldCharType="end"/>
      </w:r>
    </w:p>
    <w:p>
      <w:pPr>
        <w:pStyle w:val="17"/>
        <w:tabs>
          <w:tab w:val="right" w:leader="dot" w:pos="8306"/>
        </w:tabs>
        <w:ind w:firstLine="420"/>
      </w:pPr>
      <w:r>
        <w:rPr>
          <w:color w:val="000000"/>
        </w:rPr>
        <w:fldChar w:fldCharType="begin"/>
      </w:r>
      <w:r>
        <w:instrText xml:space="preserve"> HYPERLINK \l _Toc17769 </w:instrText>
      </w:r>
      <w:r>
        <w:fldChar w:fldCharType="separate"/>
      </w:r>
      <w:r>
        <w:rPr>
          <w:rFonts w:ascii="Times New Roman" w:hAnsi="Times New Roman"/>
        </w:rPr>
        <w:t>14</w:t>
      </w:r>
      <w:r>
        <w:rPr>
          <w:rFonts w:ascii="Times New Roman" w:hAnsi="Times New Roman"/>
          <w:lang w:val="zh-CN"/>
        </w:rPr>
        <w:t>.2 应急预案演练</w:t>
      </w:r>
      <w:r>
        <w:tab/>
      </w:r>
      <w:r>
        <w:fldChar w:fldCharType="begin"/>
      </w:r>
      <w:r>
        <w:instrText xml:space="preserve"> PAGEREF _Toc17769 </w:instrText>
      </w:r>
      <w:r>
        <w:fldChar w:fldCharType="separate"/>
      </w:r>
      <w:r>
        <w:t>33</w:t>
      </w:r>
      <w:r>
        <w:fldChar w:fldCharType="end"/>
      </w:r>
      <w:r>
        <w:rPr>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_Toc3735 </w:instrText>
      </w:r>
      <w:r>
        <w:rPr>
          <w:i w:val="0"/>
        </w:rPr>
        <w:fldChar w:fldCharType="separate"/>
      </w:r>
      <w:r>
        <w:rPr>
          <w:rFonts w:ascii="Times New Roman" w:hAnsi="Times New Roman"/>
          <w:i w:val="0"/>
        </w:rPr>
        <w:t>14.2.1 演练频次</w:t>
      </w:r>
      <w:r>
        <w:rPr>
          <w:i w:val="0"/>
        </w:rPr>
        <w:tab/>
      </w:r>
      <w:r>
        <w:rPr>
          <w:i w:val="0"/>
        </w:rPr>
        <w:fldChar w:fldCharType="begin"/>
      </w:r>
      <w:r>
        <w:rPr>
          <w:i w:val="0"/>
        </w:rPr>
        <w:instrText xml:space="preserve"> PAGEREF _Toc3735 </w:instrText>
      </w:r>
      <w:r>
        <w:rPr>
          <w:i w:val="0"/>
        </w:rPr>
        <w:fldChar w:fldCharType="separate"/>
      </w:r>
      <w:r>
        <w:rPr>
          <w:i w:val="0"/>
        </w:rPr>
        <w:t>33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_Toc8446 </w:instrText>
      </w:r>
      <w:r>
        <w:rPr>
          <w:i w:val="0"/>
        </w:rPr>
        <w:fldChar w:fldCharType="separate"/>
      </w:r>
      <w:r>
        <w:rPr>
          <w:rFonts w:ascii="Times New Roman" w:hAnsi="Times New Roman"/>
          <w:i w:val="0"/>
        </w:rPr>
        <w:t>14.2.2 演练要求</w:t>
      </w:r>
      <w:r>
        <w:rPr>
          <w:i w:val="0"/>
        </w:rPr>
        <w:tab/>
      </w:r>
      <w:r>
        <w:rPr>
          <w:i w:val="0"/>
        </w:rPr>
        <w:fldChar w:fldCharType="begin"/>
      </w:r>
      <w:r>
        <w:rPr>
          <w:i w:val="0"/>
        </w:rPr>
        <w:instrText xml:space="preserve"> PAGEREF _Toc8446 </w:instrText>
      </w:r>
      <w:r>
        <w:rPr>
          <w:i w:val="0"/>
        </w:rPr>
        <w:fldChar w:fldCharType="separate"/>
      </w:r>
      <w:r>
        <w:rPr>
          <w:i w:val="0"/>
        </w:rPr>
        <w:t>33</w:t>
      </w:r>
      <w:r>
        <w:rPr>
          <w:i w:val="0"/>
        </w:rPr>
        <w:fldChar w:fldCharType="end"/>
      </w:r>
      <w:r>
        <w:rPr>
          <w:i w:val="0"/>
          <w:color w:val="000000"/>
        </w:rPr>
        <w:fldChar w:fldCharType="end"/>
      </w:r>
    </w:p>
    <w:p>
      <w:pPr>
        <w:pStyle w:val="10"/>
        <w:tabs>
          <w:tab w:val="right" w:leader="dot" w:pos="8306"/>
        </w:tabs>
        <w:ind w:firstLine="400"/>
        <w:rPr>
          <w:i w:val="0"/>
        </w:rPr>
      </w:pPr>
      <w:r>
        <w:rPr>
          <w:i w:val="0"/>
          <w:color w:val="000000"/>
        </w:rPr>
        <w:fldChar w:fldCharType="begin"/>
      </w:r>
      <w:r>
        <w:rPr>
          <w:i w:val="0"/>
        </w:rPr>
        <w:instrText xml:space="preserve"> HYPERLINK \l _Toc8548 </w:instrText>
      </w:r>
      <w:r>
        <w:rPr>
          <w:i w:val="0"/>
        </w:rPr>
        <w:fldChar w:fldCharType="separate"/>
      </w:r>
      <w:r>
        <w:rPr>
          <w:rFonts w:ascii="Times New Roman" w:hAnsi="Times New Roman"/>
          <w:i w:val="0"/>
        </w:rPr>
        <w:t>14.2.3 演练内容</w:t>
      </w:r>
      <w:r>
        <w:rPr>
          <w:i w:val="0"/>
        </w:rPr>
        <w:tab/>
      </w:r>
      <w:r>
        <w:rPr>
          <w:i w:val="0"/>
        </w:rPr>
        <w:fldChar w:fldCharType="begin"/>
      </w:r>
      <w:r>
        <w:rPr>
          <w:i w:val="0"/>
        </w:rPr>
        <w:instrText xml:space="preserve"> PAGEREF _Toc8548 </w:instrText>
      </w:r>
      <w:r>
        <w:rPr>
          <w:i w:val="0"/>
        </w:rPr>
        <w:fldChar w:fldCharType="separate"/>
      </w:r>
      <w:r>
        <w:rPr>
          <w:i w:val="0"/>
        </w:rPr>
        <w:t>33</w:t>
      </w:r>
      <w:r>
        <w:rPr>
          <w:i w:val="0"/>
        </w:rPr>
        <w:fldChar w:fldCharType="end"/>
      </w:r>
      <w:r>
        <w:rPr>
          <w:i w:val="0"/>
          <w:color w:val="000000"/>
        </w:rPr>
        <w:fldChar w:fldCharType="end"/>
      </w:r>
    </w:p>
    <w:p>
      <w:pPr>
        <w:pStyle w:val="17"/>
        <w:tabs>
          <w:tab w:val="right" w:leader="dot" w:pos="8306"/>
        </w:tabs>
        <w:ind w:firstLine="420"/>
      </w:pPr>
      <w:r>
        <w:rPr>
          <w:color w:val="000000"/>
        </w:rPr>
        <w:fldChar w:fldCharType="begin"/>
      </w:r>
      <w:r>
        <w:instrText xml:space="preserve"> HYPERLINK \l _Toc13584 </w:instrText>
      </w:r>
      <w:r>
        <w:fldChar w:fldCharType="separate"/>
      </w:r>
      <w:r>
        <w:rPr>
          <w:rFonts w:ascii="Times New Roman" w:hAnsi="Times New Roman"/>
        </w:rPr>
        <w:t>14</w:t>
      </w:r>
      <w:r>
        <w:rPr>
          <w:rFonts w:ascii="Times New Roman" w:hAnsi="Times New Roman"/>
          <w:lang w:val="zh-CN"/>
        </w:rPr>
        <w:t>.3 应急预案修订</w:t>
      </w:r>
      <w:r>
        <w:tab/>
      </w:r>
      <w:r>
        <w:fldChar w:fldCharType="begin"/>
      </w:r>
      <w:r>
        <w:instrText xml:space="preserve"> PAGEREF _Toc13584 </w:instrText>
      </w:r>
      <w:r>
        <w:fldChar w:fldCharType="separate"/>
      </w:r>
      <w:r>
        <w:t>34</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_Toc18530 </w:instrText>
      </w:r>
      <w:r>
        <w:fldChar w:fldCharType="separate"/>
      </w:r>
      <w:r>
        <w:rPr>
          <w:rFonts w:ascii="Times New Roman" w:hAnsi="Times New Roman"/>
        </w:rPr>
        <w:t>14</w:t>
      </w:r>
      <w:r>
        <w:rPr>
          <w:rFonts w:ascii="Times New Roman" w:hAnsi="Times New Roman"/>
          <w:lang w:val="zh-CN"/>
        </w:rPr>
        <w:t>.4</w:t>
      </w:r>
      <w:r>
        <w:rPr>
          <w:rFonts w:ascii="Times New Roman" w:hAnsi="Times New Roman"/>
        </w:rPr>
        <w:t xml:space="preserve"> </w:t>
      </w:r>
      <w:r>
        <w:rPr>
          <w:rFonts w:ascii="Times New Roman" w:hAnsi="Times New Roman"/>
          <w:lang w:val="zh-CN"/>
        </w:rPr>
        <w:t>预案的实施</w:t>
      </w:r>
      <w:r>
        <w:tab/>
      </w:r>
      <w:r>
        <w:fldChar w:fldCharType="begin"/>
      </w:r>
      <w:r>
        <w:instrText xml:space="preserve"> PAGEREF _Toc18530 </w:instrText>
      </w:r>
      <w:r>
        <w:fldChar w:fldCharType="separate"/>
      </w:r>
      <w:r>
        <w:t>34</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_Toc15519 </w:instrText>
      </w:r>
      <w:r>
        <w:rPr>
          <w:b w:val="0"/>
        </w:rPr>
        <w:fldChar w:fldCharType="separate"/>
      </w:r>
      <w:r>
        <w:rPr>
          <w:rFonts w:ascii="Times New Roman" w:hAnsi="Times New Roman"/>
          <w:b w:val="0"/>
        </w:rPr>
        <w:t>附件：</w:t>
      </w:r>
      <w:r>
        <w:rPr>
          <w:b w:val="0"/>
        </w:rPr>
        <w:tab/>
      </w:r>
      <w:r>
        <w:rPr>
          <w:b w:val="0"/>
        </w:rPr>
        <w:fldChar w:fldCharType="begin"/>
      </w:r>
      <w:r>
        <w:rPr>
          <w:b w:val="0"/>
        </w:rPr>
        <w:instrText xml:space="preserve"> PAGEREF _Toc15519 </w:instrText>
      </w:r>
      <w:r>
        <w:rPr>
          <w:b w:val="0"/>
        </w:rPr>
        <w:fldChar w:fldCharType="separate"/>
      </w:r>
      <w:r>
        <w:rPr>
          <w:b w:val="0"/>
        </w:rPr>
        <w:t>35</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_Toc18881 </w:instrText>
      </w:r>
      <w:r>
        <w:fldChar w:fldCharType="separate"/>
      </w:r>
      <w:r>
        <w:rPr>
          <w:rFonts w:hint="eastAsia" w:ascii="Times New Roman" w:hAnsi="Times New Roman"/>
          <w:szCs w:val="24"/>
        </w:rPr>
        <w:t>附件1：应急救援物资一览表</w:t>
      </w:r>
      <w:r>
        <w:tab/>
      </w:r>
      <w:r>
        <w:fldChar w:fldCharType="begin"/>
      </w:r>
      <w:r>
        <w:instrText xml:space="preserve"> PAGEREF _Toc18881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_Toc18303 </w:instrText>
      </w:r>
      <w:r>
        <w:fldChar w:fldCharType="separate"/>
      </w:r>
      <w:r>
        <w:rPr>
          <w:rFonts w:ascii="Times New Roman" w:hAnsi="Times New Roman"/>
          <w:szCs w:val="24"/>
        </w:rPr>
        <w:t>附件2：外部应急救援单位及联系电话</w:t>
      </w:r>
      <w:r>
        <w:tab/>
      </w:r>
      <w:r>
        <w:fldChar w:fldCharType="begin"/>
      </w:r>
      <w:r>
        <w:instrText xml:space="preserve"> PAGEREF _Toc18303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_Toc30404 </w:instrText>
      </w:r>
      <w:r>
        <w:fldChar w:fldCharType="separate"/>
      </w:r>
      <w:r>
        <w:rPr>
          <w:rFonts w:hint="eastAsia" w:ascii="Times New Roman" w:hAnsi="Times New Roman"/>
          <w:szCs w:val="24"/>
        </w:rPr>
        <w:t>附件3：应急处置卡</w:t>
      </w:r>
      <w:r>
        <w:tab/>
      </w:r>
      <w:r>
        <w:fldChar w:fldCharType="begin"/>
      </w:r>
      <w:r>
        <w:instrText xml:space="preserve"> PAGEREF _Toc30404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_Toc26534 </w:instrText>
      </w:r>
      <w:r>
        <w:fldChar w:fldCharType="separate"/>
      </w:r>
      <w:r>
        <w:rPr>
          <w:rFonts w:ascii="Times New Roman" w:hAnsi="Times New Roman"/>
          <w:szCs w:val="24"/>
        </w:rPr>
        <w:t>附件</w:t>
      </w:r>
      <w:r>
        <w:rPr>
          <w:rFonts w:hint="eastAsia" w:ascii="Times New Roman" w:hAnsi="Times New Roman"/>
          <w:szCs w:val="24"/>
        </w:rPr>
        <w:t>4</w:t>
      </w:r>
      <w:r>
        <w:rPr>
          <w:rFonts w:ascii="Times New Roman" w:hAnsi="Times New Roman"/>
          <w:szCs w:val="24"/>
        </w:rPr>
        <w:t>：突发环境事件应急预案评审意见表</w:t>
      </w:r>
      <w:r>
        <w:tab/>
      </w:r>
      <w:r>
        <w:fldChar w:fldCharType="begin"/>
      </w:r>
      <w:r>
        <w:instrText xml:space="preserve"> PAGEREF _Toc26534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_Toc28770 </w:instrText>
      </w:r>
      <w:r>
        <w:fldChar w:fldCharType="separate"/>
      </w:r>
      <w:r>
        <w:rPr>
          <w:rFonts w:ascii="Times New Roman" w:hAnsi="Times New Roman"/>
          <w:szCs w:val="24"/>
        </w:rPr>
        <w:t>附件</w:t>
      </w:r>
      <w:r>
        <w:rPr>
          <w:rFonts w:hint="eastAsia" w:ascii="Times New Roman" w:hAnsi="Times New Roman"/>
          <w:szCs w:val="24"/>
        </w:rPr>
        <w:t>5</w:t>
      </w:r>
      <w:r>
        <w:rPr>
          <w:rFonts w:ascii="Times New Roman" w:hAnsi="Times New Roman"/>
          <w:szCs w:val="24"/>
        </w:rPr>
        <w:t>：突发环境事件应急预案评审签到表</w:t>
      </w:r>
      <w:r>
        <w:tab/>
      </w:r>
      <w:r>
        <w:fldChar w:fldCharType="begin"/>
      </w:r>
      <w:r>
        <w:instrText xml:space="preserve"> PAGEREF _Toc28770 </w:instrText>
      </w:r>
      <w:r>
        <w:fldChar w:fldCharType="separate"/>
      </w:r>
      <w:r>
        <w:t>35</w:t>
      </w:r>
      <w:r>
        <w:fldChar w:fldCharType="end"/>
      </w:r>
      <w:r>
        <w:rPr>
          <w:color w:val="000000"/>
        </w:rPr>
        <w:fldChar w:fldCharType="end"/>
      </w:r>
    </w:p>
    <w:p>
      <w:pPr>
        <w:pStyle w:val="16"/>
        <w:tabs>
          <w:tab w:val="right" w:leader="dot" w:pos="8306"/>
          <w:tab w:val="clear" w:pos="9344"/>
        </w:tabs>
        <w:ind w:firstLine="400"/>
        <w:rPr>
          <w:b w:val="0"/>
        </w:rPr>
      </w:pPr>
      <w:r>
        <w:rPr>
          <w:b w:val="0"/>
          <w:color w:val="000000"/>
        </w:rPr>
        <w:fldChar w:fldCharType="begin"/>
      </w:r>
      <w:r>
        <w:rPr>
          <w:b w:val="0"/>
        </w:rPr>
        <w:instrText xml:space="preserve"> HYPERLINK \l _Toc32182 </w:instrText>
      </w:r>
      <w:r>
        <w:rPr>
          <w:b w:val="0"/>
        </w:rPr>
        <w:fldChar w:fldCharType="separate"/>
      </w:r>
      <w:r>
        <w:rPr>
          <w:rFonts w:ascii="Times New Roman" w:hAnsi="Times New Roman"/>
          <w:b w:val="0"/>
        </w:rPr>
        <w:t>附图：</w:t>
      </w:r>
      <w:r>
        <w:rPr>
          <w:b w:val="0"/>
        </w:rPr>
        <w:tab/>
      </w:r>
      <w:r>
        <w:rPr>
          <w:b w:val="0"/>
        </w:rPr>
        <w:fldChar w:fldCharType="begin"/>
      </w:r>
      <w:r>
        <w:rPr>
          <w:b w:val="0"/>
        </w:rPr>
        <w:instrText xml:space="preserve"> PAGEREF _Toc32182 </w:instrText>
      </w:r>
      <w:r>
        <w:rPr>
          <w:b w:val="0"/>
        </w:rPr>
        <w:fldChar w:fldCharType="separate"/>
      </w:r>
      <w:r>
        <w:rPr>
          <w:b w:val="0"/>
        </w:rPr>
        <w:t>35</w:t>
      </w:r>
      <w:r>
        <w:rPr>
          <w:b w:val="0"/>
        </w:rPr>
        <w:fldChar w:fldCharType="end"/>
      </w:r>
      <w:r>
        <w:rPr>
          <w:b w:val="0"/>
          <w:color w:val="000000"/>
        </w:rPr>
        <w:fldChar w:fldCharType="end"/>
      </w:r>
    </w:p>
    <w:p>
      <w:pPr>
        <w:pStyle w:val="17"/>
        <w:tabs>
          <w:tab w:val="right" w:leader="dot" w:pos="8306"/>
        </w:tabs>
        <w:ind w:firstLine="420"/>
      </w:pPr>
      <w:r>
        <w:rPr>
          <w:color w:val="000000"/>
        </w:rPr>
        <w:fldChar w:fldCharType="begin"/>
      </w:r>
      <w:r>
        <w:instrText xml:space="preserve"> HYPERLINK \l _Toc29201 </w:instrText>
      </w:r>
      <w:r>
        <w:fldChar w:fldCharType="separate"/>
      </w:r>
      <w:r>
        <w:rPr>
          <w:rFonts w:ascii="Times New Roman" w:hAnsi="Times New Roman"/>
          <w:szCs w:val="24"/>
        </w:rPr>
        <w:t>附图1：地理位置图</w:t>
      </w:r>
      <w:r>
        <w:tab/>
      </w:r>
      <w:r>
        <w:fldChar w:fldCharType="begin"/>
      </w:r>
      <w:r>
        <w:instrText xml:space="preserve"> PAGEREF _Toc29201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_Toc18215 </w:instrText>
      </w:r>
      <w:r>
        <w:fldChar w:fldCharType="separate"/>
      </w:r>
      <w:r>
        <w:rPr>
          <w:rFonts w:ascii="Times New Roman" w:hAnsi="Times New Roman"/>
          <w:szCs w:val="24"/>
        </w:rPr>
        <w:t>附图2：厂区平面布置图</w:t>
      </w:r>
      <w:r>
        <w:tab/>
      </w:r>
      <w:r>
        <w:fldChar w:fldCharType="begin"/>
      </w:r>
      <w:r>
        <w:instrText xml:space="preserve"> PAGEREF _Toc18215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_Toc23518 </w:instrText>
      </w:r>
      <w:r>
        <w:fldChar w:fldCharType="separate"/>
      </w:r>
      <w:r>
        <w:rPr>
          <w:rFonts w:ascii="Times New Roman" w:hAnsi="Times New Roman"/>
          <w:szCs w:val="24"/>
        </w:rPr>
        <w:t>附图3：大气环境风险受体图</w:t>
      </w:r>
      <w:r>
        <w:tab/>
      </w:r>
      <w:r>
        <w:fldChar w:fldCharType="begin"/>
      </w:r>
      <w:r>
        <w:instrText xml:space="preserve"> PAGEREF _Toc23518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_Toc8833 </w:instrText>
      </w:r>
      <w:r>
        <w:fldChar w:fldCharType="separate"/>
      </w:r>
      <w:r>
        <w:rPr>
          <w:rFonts w:ascii="Times New Roman" w:hAnsi="Times New Roman"/>
          <w:szCs w:val="24"/>
        </w:rPr>
        <w:t>附图4：水环境风险受体图</w:t>
      </w:r>
      <w:r>
        <w:tab/>
      </w:r>
      <w:r>
        <w:fldChar w:fldCharType="begin"/>
      </w:r>
      <w:r>
        <w:instrText xml:space="preserve"> PAGEREF _Toc8833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_Toc15924 </w:instrText>
      </w:r>
      <w:r>
        <w:fldChar w:fldCharType="separate"/>
      </w:r>
      <w:r>
        <w:rPr>
          <w:rFonts w:ascii="Times New Roman" w:hAnsi="Times New Roman"/>
          <w:szCs w:val="24"/>
        </w:rPr>
        <w:t>附图5：应急疏散线路图</w:t>
      </w:r>
      <w:r>
        <w:tab/>
      </w:r>
      <w:r>
        <w:fldChar w:fldCharType="begin"/>
      </w:r>
      <w:r>
        <w:instrText xml:space="preserve"> PAGEREF _Toc15924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_Toc25206 </w:instrText>
      </w:r>
      <w:r>
        <w:fldChar w:fldCharType="separate"/>
      </w:r>
      <w:r>
        <w:rPr>
          <w:rFonts w:ascii="Times New Roman" w:hAnsi="Times New Roman"/>
          <w:szCs w:val="24"/>
        </w:rPr>
        <w:t>附图6：风险单元及应急物资分布图</w:t>
      </w:r>
      <w:r>
        <w:tab/>
      </w:r>
      <w:r>
        <w:fldChar w:fldCharType="begin"/>
      </w:r>
      <w:r>
        <w:instrText xml:space="preserve"> PAGEREF _Toc25206 </w:instrText>
      </w:r>
      <w:r>
        <w:fldChar w:fldCharType="separate"/>
      </w:r>
      <w:r>
        <w:t>35</w:t>
      </w:r>
      <w:r>
        <w:fldChar w:fldCharType="end"/>
      </w:r>
      <w:r>
        <w:rPr>
          <w:color w:val="000000"/>
        </w:rPr>
        <w:fldChar w:fldCharType="end"/>
      </w:r>
    </w:p>
    <w:p>
      <w:pPr>
        <w:pStyle w:val="17"/>
        <w:tabs>
          <w:tab w:val="right" w:leader="dot" w:pos="8306"/>
        </w:tabs>
        <w:ind w:firstLine="420"/>
      </w:pPr>
      <w:r>
        <w:rPr>
          <w:color w:val="000000"/>
        </w:rPr>
        <w:fldChar w:fldCharType="begin"/>
      </w:r>
      <w:r>
        <w:instrText xml:space="preserve"> HYPERLINK \l _Toc32011 </w:instrText>
      </w:r>
      <w:r>
        <w:fldChar w:fldCharType="separate"/>
      </w:r>
      <w:r>
        <w:rPr>
          <w:rFonts w:ascii="Times New Roman" w:hAnsi="Times New Roman"/>
          <w:szCs w:val="24"/>
        </w:rPr>
        <w:t>附图7：雨水与污水管网图</w:t>
      </w:r>
      <w:r>
        <w:tab/>
      </w:r>
      <w:r>
        <w:fldChar w:fldCharType="begin"/>
      </w:r>
      <w:r>
        <w:instrText xml:space="preserve"> PAGEREF _Toc32011 </w:instrText>
      </w:r>
      <w:r>
        <w:fldChar w:fldCharType="separate"/>
      </w:r>
      <w:r>
        <w:t>35</w:t>
      </w:r>
      <w:r>
        <w:fldChar w:fldCharType="end"/>
      </w:r>
      <w:r>
        <w:rPr>
          <w:color w:val="000000"/>
        </w:rPr>
        <w:fldChar w:fldCharType="end"/>
      </w:r>
    </w:p>
    <w:p>
      <w:pPr>
        <w:spacing w:line="240" w:lineRule="auto"/>
        <w:ind w:firstLine="602" w:firstLineChars="0"/>
        <w:jc w:val="center"/>
        <w:rPr>
          <w:color w:val="000000"/>
          <w:sz w:val="21"/>
        </w:rPr>
        <w:sectPr>
          <w:pgSz w:w="11906" w:h="16838"/>
          <w:pgMar w:top="1440" w:right="1800" w:bottom="1440" w:left="1800" w:header="1134" w:footer="992" w:gutter="0"/>
          <w:pgNumType w:start="1"/>
          <w:cols w:space="720" w:num="1"/>
          <w:titlePg/>
          <w:docGrid w:type="lines" w:linePitch="326" w:charSpace="0"/>
        </w:sectPr>
      </w:pPr>
      <w:r>
        <w:rPr>
          <w:color w:val="000000"/>
          <w:sz w:val="21"/>
        </w:rPr>
        <w:fldChar w:fldCharType="end"/>
      </w:r>
    </w:p>
    <w:p>
      <w:pPr>
        <w:spacing w:line="240" w:lineRule="auto"/>
        <w:ind w:firstLine="602" w:firstLineChars="0"/>
        <w:rPr>
          <w:rStyle w:val="45"/>
          <w:rFonts w:ascii="Times New Roman" w:hAnsi="Times New Roman" w:eastAsia="宋体"/>
          <w:color w:val="000000"/>
        </w:rPr>
      </w:pPr>
    </w:p>
    <w:p>
      <w:pPr>
        <w:pStyle w:val="3"/>
      </w:pPr>
      <w:bookmarkStart w:id="566" w:name="_Toc1341"/>
      <w:bookmarkStart w:id="567" w:name="_Toc14718"/>
      <w:bookmarkStart w:id="568" w:name="_Toc27973"/>
      <w:r>
        <w:t>1 总则</w:t>
      </w:r>
      <w:bookmarkEnd w:id="565"/>
      <w:bookmarkEnd w:id="566"/>
      <w:bookmarkEnd w:id="567"/>
      <w:bookmarkEnd w:id="568"/>
    </w:p>
    <w:p>
      <w:pPr>
        <w:pStyle w:val="2"/>
        <w:keepNext w:val="0"/>
        <w:keepLines w:val="0"/>
        <w:spacing w:line="240" w:lineRule="auto"/>
        <w:ind w:firstLine="602"/>
        <w:rPr>
          <w:rFonts w:ascii="Times New Roman" w:hAnsi="Times New Roman"/>
          <w:color w:val="000000"/>
          <w:lang w:val="zh-CN"/>
        </w:rPr>
      </w:pPr>
      <w:bookmarkStart w:id="569" w:name="_Toc531529719"/>
      <w:bookmarkStart w:id="570" w:name="_Toc295467913"/>
      <w:bookmarkStart w:id="571" w:name="_Toc3896_WPSOffice_Level2"/>
      <w:bookmarkStart w:id="572" w:name="_Toc30926_WPSOffice_Level2"/>
      <w:bookmarkStart w:id="573" w:name="_Toc8242"/>
      <w:bookmarkStart w:id="574" w:name="_Toc294080707"/>
      <w:bookmarkStart w:id="575" w:name="_Toc3546"/>
      <w:bookmarkStart w:id="576" w:name="_Toc5338"/>
      <w:r>
        <w:rPr>
          <w:rFonts w:ascii="Times New Roman" w:hAnsi="Times New Roman"/>
          <w:color w:val="000000"/>
          <w:lang w:val="zh-CN"/>
        </w:rPr>
        <w:t>1.1 编制目的</w:t>
      </w:r>
      <w:bookmarkEnd w:id="569"/>
      <w:bookmarkEnd w:id="570"/>
      <w:bookmarkEnd w:id="571"/>
      <w:bookmarkEnd w:id="572"/>
      <w:bookmarkEnd w:id="573"/>
      <w:bookmarkEnd w:id="574"/>
      <w:bookmarkEnd w:id="575"/>
      <w:bookmarkEnd w:id="576"/>
    </w:p>
    <w:p>
      <w:pPr>
        <w:ind w:firstLine="480"/>
        <w:rPr>
          <w:color w:val="000000"/>
        </w:rPr>
      </w:pPr>
      <w:r>
        <w:rPr>
          <w:color w:val="000000"/>
        </w:rPr>
        <w:t>为了预防、控制和消除生产事故过程中可能产生的环境污染，进一步规范公司环境污染事故应急管理工作，明确事故处理过程中各应急小组的职责和任务分工，提高对环境污染事故的应急救援和协同作战能力，保障公司员工和周边民众的生命安全和健康，最大限度的减少企业的环境风险，保护生态环境，杜绝重大环境污染事故的发生，共创环境友好型和谐企业，特制定本预案。</w:t>
      </w:r>
    </w:p>
    <w:p>
      <w:pPr>
        <w:pStyle w:val="2"/>
        <w:ind w:firstLine="602"/>
        <w:rPr>
          <w:rFonts w:ascii="Times New Roman" w:hAnsi="Times New Roman"/>
          <w:color w:val="000000"/>
          <w:lang w:val="zh-CN"/>
        </w:rPr>
      </w:pPr>
      <w:bookmarkStart w:id="577" w:name="_Toc29002"/>
      <w:bookmarkStart w:id="578" w:name="_Toc13665_WPSOffice_Level2"/>
      <w:bookmarkStart w:id="579" w:name="_Toc31212"/>
      <w:bookmarkStart w:id="580" w:name="_Toc11277_WPSOffice_Level2"/>
      <w:bookmarkStart w:id="581" w:name="_Toc294080708"/>
      <w:bookmarkStart w:id="582" w:name="_Toc531529720"/>
      <w:bookmarkStart w:id="583" w:name="_Toc295467914"/>
      <w:bookmarkStart w:id="584" w:name="_Toc10751"/>
      <w:r>
        <w:rPr>
          <w:rFonts w:ascii="Times New Roman" w:hAnsi="Times New Roman"/>
          <w:color w:val="000000"/>
          <w:lang w:val="zh-CN"/>
        </w:rPr>
        <w:t>1.2 编制依据</w:t>
      </w:r>
      <w:bookmarkEnd w:id="577"/>
      <w:bookmarkEnd w:id="578"/>
      <w:bookmarkEnd w:id="579"/>
      <w:bookmarkEnd w:id="580"/>
      <w:bookmarkEnd w:id="581"/>
      <w:bookmarkEnd w:id="582"/>
      <w:bookmarkEnd w:id="583"/>
      <w:bookmarkEnd w:id="584"/>
    </w:p>
    <w:p>
      <w:pPr>
        <w:ind w:firstLine="480"/>
        <w:rPr>
          <w:color w:val="000000"/>
        </w:rPr>
      </w:pPr>
      <w:bookmarkStart w:id="585" w:name="_Toc3896_WPSOffice_Level3"/>
      <w:bookmarkStart w:id="586" w:name="_Toc24768_WPSOffice_Level3"/>
      <w:r>
        <w:rPr>
          <w:color w:val="000000"/>
        </w:rPr>
        <w:t>（1）《中华人民共和国环境保护法》（2015年1月1日起实施）；</w:t>
      </w:r>
    </w:p>
    <w:p>
      <w:pPr>
        <w:ind w:firstLine="480"/>
        <w:rPr>
          <w:color w:val="000000"/>
        </w:rPr>
      </w:pPr>
      <w:r>
        <w:rPr>
          <w:color w:val="000000"/>
        </w:rPr>
        <w:t>（2）《中华人民共和国水污染防治法》（2018年1月1日起实施）；</w:t>
      </w:r>
    </w:p>
    <w:p>
      <w:pPr>
        <w:ind w:firstLine="480"/>
        <w:rPr>
          <w:color w:val="000000"/>
        </w:rPr>
      </w:pPr>
      <w:r>
        <w:rPr>
          <w:color w:val="000000"/>
        </w:rPr>
        <w:t>（3）《中华人民共和国大气污染防治法》（2018年修正，2018年10月26日起实施）；</w:t>
      </w:r>
    </w:p>
    <w:p>
      <w:pPr>
        <w:ind w:firstLine="480"/>
        <w:rPr>
          <w:color w:val="000000"/>
        </w:rPr>
      </w:pPr>
      <w:r>
        <w:rPr>
          <w:color w:val="000000"/>
        </w:rPr>
        <w:t>（4）《中华人民共和国突发事件应对法》（2007年）；</w:t>
      </w:r>
    </w:p>
    <w:p>
      <w:pPr>
        <w:ind w:firstLine="480"/>
        <w:rPr>
          <w:color w:val="000000"/>
        </w:rPr>
      </w:pPr>
      <w:r>
        <w:rPr>
          <w:color w:val="000000"/>
        </w:rPr>
        <w:t>（5）《中华人民共和国安全生产法》（2014年修订）；</w:t>
      </w:r>
    </w:p>
    <w:p>
      <w:pPr>
        <w:ind w:firstLine="480"/>
        <w:rPr>
          <w:color w:val="000000"/>
        </w:rPr>
      </w:pPr>
      <w:r>
        <w:rPr>
          <w:color w:val="000000"/>
        </w:rPr>
        <w:t>（6）《中华人民共和国消防法》（2008年修订）；</w:t>
      </w:r>
    </w:p>
    <w:p>
      <w:pPr>
        <w:ind w:firstLine="480"/>
        <w:rPr>
          <w:color w:val="000000"/>
        </w:rPr>
      </w:pPr>
      <w:r>
        <w:rPr>
          <w:color w:val="000000"/>
        </w:rPr>
        <w:t>（7）《中华人民共和国固体废物污染环境防治法》（2016年修正，2016年11月7日起实施）；</w:t>
      </w:r>
    </w:p>
    <w:p>
      <w:pPr>
        <w:ind w:firstLine="480"/>
        <w:rPr>
          <w:color w:val="000000"/>
        </w:rPr>
      </w:pPr>
      <w:r>
        <w:rPr>
          <w:color w:val="000000"/>
        </w:rPr>
        <w:t>（8）《国务院关于加强环境保护重点工作的意见》（2011年）；</w:t>
      </w:r>
    </w:p>
    <w:p>
      <w:pPr>
        <w:ind w:firstLine="480"/>
        <w:rPr>
          <w:color w:val="000000"/>
        </w:rPr>
      </w:pPr>
      <w:r>
        <w:rPr>
          <w:color w:val="000000"/>
        </w:rPr>
        <w:t>（</w:t>
      </w:r>
      <w:r>
        <w:rPr>
          <w:rFonts w:hint="eastAsia"/>
          <w:color w:val="000000"/>
        </w:rPr>
        <w:t>9</w:t>
      </w:r>
      <w:r>
        <w:rPr>
          <w:color w:val="000000"/>
        </w:rPr>
        <w:t>）《企业事业单位突发环境事件应急预案备案管理办法（试行）》（环发〔2015〕4 号）；</w:t>
      </w:r>
    </w:p>
    <w:p>
      <w:pPr>
        <w:ind w:firstLine="480"/>
        <w:rPr>
          <w:color w:val="000000"/>
        </w:rPr>
      </w:pPr>
      <w:r>
        <w:rPr>
          <w:color w:val="000000"/>
        </w:rPr>
        <w:t>（1</w:t>
      </w:r>
      <w:r>
        <w:rPr>
          <w:rFonts w:hint="eastAsia"/>
          <w:color w:val="000000"/>
        </w:rPr>
        <w:t>0</w:t>
      </w:r>
      <w:r>
        <w:rPr>
          <w:color w:val="000000"/>
        </w:rPr>
        <w:t>）《重点监管的危险化学品名录》（2013年完整版）；</w:t>
      </w:r>
    </w:p>
    <w:p>
      <w:pPr>
        <w:ind w:firstLine="480"/>
        <w:rPr>
          <w:color w:val="000000"/>
        </w:rPr>
      </w:pPr>
      <w:r>
        <w:rPr>
          <w:color w:val="000000"/>
        </w:rPr>
        <w:t>（1</w:t>
      </w:r>
      <w:r>
        <w:rPr>
          <w:rFonts w:hint="eastAsia"/>
          <w:color w:val="000000"/>
        </w:rPr>
        <w:t>1</w:t>
      </w:r>
      <w:r>
        <w:rPr>
          <w:color w:val="000000"/>
        </w:rPr>
        <w:t>）《危险化学品重大危险源监督管理暂行规定》（2015年修正，2015年5月27日起实施）；</w:t>
      </w:r>
    </w:p>
    <w:p>
      <w:pPr>
        <w:ind w:firstLine="480"/>
        <w:rPr>
          <w:color w:val="000000"/>
        </w:rPr>
      </w:pPr>
      <w:r>
        <w:rPr>
          <w:color w:val="000000"/>
        </w:rPr>
        <w:t>（1</w:t>
      </w:r>
      <w:r>
        <w:rPr>
          <w:rFonts w:hint="eastAsia"/>
          <w:color w:val="000000"/>
        </w:rPr>
        <w:t>2</w:t>
      </w:r>
      <w:r>
        <w:rPr>
          <w:color w:val="000000"/>
        </w:rPr>
        <w:t>）《关于进一步加强环境影响评价管理防范环境风险的通知》（2012年）；</w:t>
      </w:r>
    </w:p>
    <w:p>
      <w:pPr>
        <w:ind w:firstLine="480"/>
        <w:rPr>
          <w:color w:val="000000"/>
        </w:rPr>
      </w:pPr>
      <w:r>
        <w:rPr>
          <w:color w:val="000000"/>
        </w:rPr>
        <w:t>（1</w:t>
      </w:r>
      <w:r>
        <w:rPr>
          <w:rFonts w:hint="eastAsia"/>
          <w:color w:val="000000"/>
        </w:rPr>
        <w:t>3</w:t>
      </w:r>
      <w:r>
        <w:rPr>
          <w:color w:val="000000"/>
        </w:rPr>
        <w:t>）《突发环境事件应急管理办法》（2015年6月5日实施）；</w:t>
      </w:r>
    </w:p>
    <w:p>
      <w:pPr>
        <w:ind w:firstLine="480"/>
        <w:rPr>
          <w:color w:val="000000"/>
        </w:rPr>
      </w:pPr>
      <w:r>
        <w:rPr>
          <w:color w:val="000000"/>
        </w:rPr>
        <w:t>（1</w:t>
      </w:r>
      <w:r>
        <w:rPr>
          <w:rFonts w:hint="eastAsia"/>
          <w:color w:val="000000"/>
        </w:rPr>
        <w:t>4</w:t>
      </w:r>
      <w:r>
        <w:rPr>
          <w:color w:val="000000"/>
        </w:rPr>
        <w:t>）《企业突发环境事件风险评估指南（试行）》（环办〔2014〕34号）；</w:t>
      </w:r>
    </w:p>
    <w:p>
      <w:pPr>
        <w:ind w:firstLine="480"/>
        <w:rPr>
          <w:color w:val="000000"/>
        </w:rPr>
      </w:pPr>
      <w:r>
        <w:rPr>
          <w:color w:val="000000"/>
        </w:rPr>
        <w:t>（1</w:t>
      </w:r>
      <w:r>
        <w:rPr>
          <w:rFonts w:hint="eastAsia"/>
          <w:color w:val="000000"/>
        </w:rPr>
        <w:t>5</w:t>
      </w:r>
      <w:r>
        <w:rPr>
          <w:color w:val="000000"/>
        </w:rPr>
        <w:t>）《重庆市环境保护条例》（2017年修订）；</w:t>
      </w:r>
    </w:p>
    <w:p>
      <w:pPr>
        <w:ind w:firstLine="480"/>
        <w:rPr>
          <w:color w:val="000000"/>
        </w:rPr>
      </w:pPr>
      <w:r>
        <w:rPr>
          <w:color w:val="000000"/>
        </w:rPr>
        <w:t>（</w:t>
      </w:r>
      <w:r>
        <w:rPr>
          <w:rFonts w:hint="eastAsia"/>
          <w:color w:val="000000"/>
        </w:rPr>
        <w:t>16</w:t>
      </w:r>
      <w:r>
        <w:rPr>
          <w:color w:val="000000"/>
        </w:rPr>
        <w:t>）《关于加强企业突发环境事件风险评估的通知》（渝环〔2014〕121号）；</w:t>
      </w:r>
    </w:p>
    <w:p>
      <w:pPr>
        <w:ind w:firstLine="480"/>
        <w:rPr>
          <w:color w:val="000000"/>
        </w:rPr>
      </w:pPr>
      <w:r>
        <w:rPr>
          <w:color w:val="000000"/>
        </w:rPr>
        <w:t>（</w:t>
      </w:r>
      <w:r>
        <w:rPr>
          <w:rFonts w:hint="eastAsia"/>
          <w:color w:val="000000"/>
        </w:rPr>
        <w:t>17</w:t>
      </w:r>
      <w:r>
        <w:rPr>
          <w:color w:val="000000"/>
        </w:rPr>
        <w:t>）《企业事业单位突发环境事件应急预案备案管理办法（试行）》（环发〔2015〕4号）；</w:t>
      </w:r>
    </w:p>
    <w:p>
      <w:pPr>
        <w:ind w:firstLine="480"/>
        <w:rPr>
          <w:color w:val="000000"/>
          <w:lang w:val="zh-CN"/>
        </w:rPr>
      </w:pPr>
      <w:r>
        <w:rPr>
          <w:color w:val="000000"/>
        </w:rPr>
        <w:t>（</w:t>
      </w:r>
      <w:r>
        <w:rPr>
          <w:rFonts w:hint="eastAsia"/>
          <w:color w:val="000000"/>
        </w:rPr>
        <w:t>18</w:t>
      </w:r>
      <w:r>
        <w:rPr>
          <w:color w:val="000000"/>
        </w:rPr>
        <w:t>）《重庆市人民政府办公厅关于印发重庆市突发环境事件应急预案的通知》（渝府办发[2016]22号）。</w:t>
      </w:r>
      <w:bookmarkEnd w:id="585"/>
      <w:bookmarkEnd w:id="586"/>
      <w:bookmarkStart w:id="587" w:name="_Toc531529721"/>
      <w:bookmarkStart w:id="588" w:name="_Toc295467915"/>
      <w:bookmarkStart w:id="589" w:name="_Toc1008_WPSOffice_Level2"/>
      <w:bookmarkStart w:id="590" w:name="_Toc294080709"/>
      <w:bookmarkStart w:id="591" w:name="_Toc31396_WPSOffice_Level2"/>
      <w:bookmarkStart w:id="592" w:name="_Toc26448"/>
      <w:bookmarkStart w:id="593" w:name="_Toc14030"/>
    </w:p>
    <w:p>
      <w:pPr>
        <w:pStyle w:val="2"/>
        <w:keepNext w:val="0"/>
        <w:keepLines w:val="0"/>
        <w:ind w:firstLine="602"/>
        <w:rPr>
          <w:rFonts w:ascii="Times New Roman" w:hAnsi="Times New Roman"/>
          <w:color w:val="000000"/>
          <w:lang w:val="zh-CN"/>
        </w:rPr>
      </w:pPr>
      <w:bookmarkStart w:id="594" w:name="_Toc9140"/>
      <w:r>
        <w:rPr>
          <w:rFonts w:ascii="Times New Roman" w:hAnsi="Times New Roman"/>
          <w:color w:val="000000"/>
          <w:lang w:val="zh-CN"/>
        </w:rPr>
        <w:t>1.</w:t>
      </w:r>
      <w:r>
        <w:rPr>
          <w:rFonts w:ascii="Times New Roman" w:hAnsi="Times New Roman"/>
          <w:color w:val="000000"/>
        </w:rPr>
        <w:t>3</w:t>
      </w:r>
      <w:r>
        <w:rPr>
          <w:rFonts w:ascii="Times New Roman" w:hAnsi="Times New Roman"/>
          <w:color w:val="000000"/>
          <w:lang w:val="zh-CN"/>
        </w:rPr>
        <w:t xml:space="preserve"> 适用范围</w:t>
      </w:r>
      <w:bookmarkEnd w:id="587"/>
      <w:bookmarkEnd w:id="588"/>
      <w:bookmarkEnd w:id="589"/>
      <w:bookmarkEnd w:id="590"/>
      <w:bookmarkEnd w:id="591"/>
      <w:bookmarkEnd w:id="592"/>
      <w:bookmarkEnd w:id="593"/>
      <w:bookmarkEnd w:id="594"/>
    </w:p>
    <w:p>
      <w:pPr>
        <w:ind w:firstLine="480"/>
        <w:rPr>
          <w:color w:val="000000"/>
        </w:rPr>
      </w:pPr>
      <w:r>
        <w:rPr>
          <w:color w:val="000000"/>
        </w:rPr>
        <w:t>本应急预案适用于重庆永荣青鹏水泥有限公司生产区域内人为或不可抗力因素可能造成的环境污染、生态破坏事件。具体包括厂区内因设备设施发生异常、人员操作不当、外部事故影响及不可力的自然因素等引起的废气、废水、危险化学品等环境污染、破坏事件；在生产、经营、贮存、运输、使用和处置过程中发生的爆炸、燃烧、大面积泄漏等事故；因自然灾害造成的危及人体健康的环境污染事故等。</w:t>
      </w:r>
    </w:p>
    <w:p>
      <w:pPr>
        <w:pStyle w:val="2"/>
        <w:ind w:firstLine="602"/>
        <w:rPr>
          <w:rFonts w:ascii="Times New Roman" w:hAnsi="Times New Roman"/>
        </w:rPr>
      </w:pPr>
      <w:bookmarkStart w:id="595" w:name="_Toc29460"/>
      <w:bookmarkStart w:id="596" w:name="_Toc5649"/>
      <w:r>
        <w:rPr>
          <w:rFonts w:ascii="Times New Roman" w:hAnsi="Times New Roman"/>
        </w:rPr>
        <w:t>1.4编制原则</w:t>
      </w:r>
      <w:bookmarkEnd w:id="595"/>
      <w:bookmarkEnd w:id="596"/>
    </w:p>
    <w:p>
      <w:pPr>
        <w:ind w:firstLine="480"/>
      </w:pPr>
      <w:r>
        <w:t>（1）预防为主、常备不懈。坚持预防为主的方针，宣传普及环境应急知识，不断提高公众及公司全体员工的环境安全意识。建立和加强突发环境事件的预警机制，切实做到及时发现、及时报告、快速反应、及时控制。</w:t>
      </w:r>
    </w:p>
    <w:p>
      <w:pPr>
        <w:ind w:firstLine="480"/>
      </w:pPr>
      <w:r>
        <w:t>（2）以人为本、平战结合、专兼结合，充分利用现有资源。把保障人民群众的生命财产安全和身体健康作为首要任务，最大限度地减少突发环境事件及其造成的人员伤亡和危害。积极做好应对突发性环境污染事故的思想准备、物资准备、技术准备、工作准备，加强培训演练，应急系统做到常备不懈，可为本企业和其它企业及社会提供服务，在应急时快速有效。</w:t>
      </w:r>
    </w:p>
    <w:p>
      <w:pPr>
        <w:ind w:firstLine="480"/>
      </w:pPr>
      <w:r>
        <w:t>（3）加强环境事件危险源监控和监督管理，建立环境事件风险防范体系。经常性地做好思想、预案、机制等工作准备，加强培训和预案演练。</w:t>
      </w:r>
    </w:p>
    <w:p>
      <w:pPr>
        <w:ind w:firstLine="480"/>
      </w:pPr>
      <w:r>
        <w:t>（4）“分级指挥”原则。统一领导，分级负责。接受政府环保部门的指导，使本企业的突发性环境污染事故应急系统成为区域系统的有机组成部分。加强本企业各部门之间协同与合作，提高快速反应能力。针对不同污染源所造成的环境污染特点，实行分类管理，充分发挥部门专业优势，使采取的措施与突发环境污染事故造成的危害范围和社会影响相适应。</w:t>
      </w:r>
    </w:p>
    <w:p>
      <w:pPr>
        <w:ind w:firstLine="480"/>
      </w:pPr>
      <w:r>
        <w:t>（5）加强联动，信息共享。建立联动协调机制，加强协同配合，完善环境应急监测网络，充分发挥本公司优势和专业救援力量的作用，实现资源信息共享。</w:t>
      </w:r>
    </w:p>
    <w:p>
      <w:pPr>
        <w:ind w:firstLine="480"/>
      </w:pPr>
      <w:r>
        <w:t>（6）科学规范，处置有效。充分发挥专家学者在应急管理中的参谋作用，采用先进的监测、预警、预防和应急处置技术及设施，为突发环境事件的预警和处置提供技术支持。确保一旦有事能快速反应，科学处置。</w:t>
      </w:r>
    </w:p>
    <w:p>
      <w:pPr>
        <w:pStyle w:val="2"/>
        <w:keepNext w:val="0"/>
        <w:keepLines w:val="0"/>
        <w:ind w:firstLine="602"/>
        <w:rPr>
          <w:rFonts w:ascii="Times New Roman" w:hAnsi="Times New Roman"/>
          <w:color w:val="000000"/>
          <w:lang w:val="zh-CN"/>
        </w:rPr>
      </w:pPr>
      <w:bookmarkStart w:id="597" w:name="_Toc295467917"/>
      <w:bookmarkStart w:id="598" w:name="_Toc531529722"/>
      <w:bookmarkStart w:id="599" w:name="_Toc17649_WPSOffice_Level2"/>
      <w:bookmarkStart w:id="600" w:name="_Toc294080711"/>
      <w:bookmarkStart w:id="601" w:name="_Toc32027_WPSOffice_Level2"/>
      <w:bookmarkStart w:id="602" w:name="_Toc9709"/>
      <w:bookmarkStart w:id="603" w:name="_Toc7082"/>
      <w:bookmarkStart w:id="604" w:name="_Toc16337"/>
      <w:r>
        <w:rPr>
          <w:rFonts w:ascii="Times New Roman" w:hAnsi="Times New Roman"/>
          <w:color w:val="000000"/>
          <w:lang w:val="zh-CN"/>
        </w:rPr>
        <w:t>1.</w:t>
      </w:r>
      <w:r>
        <w:rPr>
          <w:rFonts w:ascii="Times New Roman" w:hAnsi="Times New Roman"/>
          <w:color w:val="000000"/>
        </w:rPr>
        <w:t>5</w:t>
      </w:r>
      <w:r>
        <w:rPr>
          <w:rFonts w:ascii="Times New Roman" w:hAnsi="Times New Roman"/>
          <w:color w:val="000000"/>
          <w:lang w:val="zh-CN"/>
        </w:rPr>
        <w:t xml:space="preserve"> 应急预案体系</w:t>
      </w:r>
      <w:bookmarkEnd w:id="597"/>
      <w:bookmarkEnd w:id="598"/>
      <w:bookmarkEnd w:id="599"/>
      <w:bookmarkEnd w:id="600"/>
      <w:bookmarkEnd w:id="601"/>
      <w:bookmarkEnd w:id="602"/>
      <w:bookmarkEnd w:id="603"/>
      <w:bookmarkEnd w:id="604"/>
    </w:p>
    <w:p>
      <w:pPr>
        <w:adjustRightInd w:val="0"/>
        <w:snapToGrid w:val="0"/>
        <w:ind w:firstLine="480"/>
        <w:jc w:val="left"/>
      </w:pPr>
      <w:r>
        <w:t>本预案是以青鹏公司为实施主体的突发环境事件的综合应急预案。</w:t>
      </w:r>
    </w:p>
    <w:p>
      <w:pPr>
        <w:pStyle w:val="4"/>
        <w:adjustRightInd w:val="0"/>
        <w:snapToGrid w:val="0"/>
        <w:ind w:firstLine="562"/>
        <w:rPr>
          <w:rFonts w:ascii="Times New Roman" w:hAnsi="Times New Roman"/>
        </w:rPr>
      </w:pPr>
      <w:bookmarkStart w:id="605" w:name="_Toc4158"/>
      <w:r>
        <w:rPr>
          <w:rFonts w:ascii="Times New Roman" w:hAnsi="Times New Roman"/>
        </w:rPr>
        <w:t>1.5.1与公司内部预案的衔接</w:t>
      </w:r>
      <w:bookmarkEnd w:id="605"/>
    </w:p>
    <w:p>
      <w:pPr>
        <w:ind w:firstLine="480"/>
        <w:jc w:val="left"/>
      </w:pPr>
      <w:r>
        <w:t>本预案与公司生产安全事故应急预案进行衔接，形成横向互动的应急预案体系。企业在发生生产安全事故时先启动生产安全事故应急预案，一旦发生相应的突发环境事件时，启动本预案。在进行日常宣传、教育、培训及演练工作时，突发环境事件应急预案与生产安全事故应急预案可同时进行。</w:t>
      </w:r>
    </w:p>
    <w:p>
      <w:pPr>
        <w:ind w:firstLine="480"/>
        <w:jc w:val="left"/>
        <w:rPr>
          <w:szCs w:val="28"/>
        </w:rPr>
      </w:pPr>
      <w:r>
        <w:t>同时此预案下与公司内各车间、班组的现场处置方案相衔接。</w:t>
      </w:r>
    </w:p>
    <w:p>
      <w:pPr>
        <w:pStyle w:val="4"/>
        <w:ind w:firstLine="562"/>
        <w:rPr>
          <w:rFonts w:ascii="Times New Roman" w:hAnsi="Times New Roman"/>
        </w:rPr>
      </w:pPr>
      <w:bookmarkStart w:id="606" w:name="_Toc1375"/>
      <w:r>
        <w:rPr>
          <w:rFonts w:ascii="Times New Roman" w:hAnsi="Times New Roman"/>
        </w:rPr>
        <w:t>1.5.2 与上级部门预案的衔接</w:t>
      </w:r>
      <w:bookmarkEnd w:id="606"/>
    </w:p>
    <w:p>
      <w:pPr>
        <w:ind w:firstLine="480"/>
        <w:rPr>
          <w:color w:val="000000"/>
        </w:rPr>
      </w:pPr>
      <w:r>
        <w:t>本预案与《重庆市沙坪坝区突发环境事件应急预案》相衔接，形成纵向联动的突发环境事件应急预案体系。</w:t>
      </w:r>
    </w:p>
    <w:p>
      <w:pPr>
        <w:ind w:firstLine="480"/>
        <w:rPr>
          <w:color w:val="000000"/>
        </w:rPr>
      </w:pPr>
      <w:r>
        <w:rPr>
          <w:color w:val="000000"/>
        </w:rPr>
        <w:t>应急预案体系组成结构见图1.5-1。</w:t>
      </w:r>
    </w:p>
    <w:p>
      <w:pPr>
        <w:ind w:firstLine="480"/>
        <w:jc w:val="center"/>
      </w:pPr>
      <w:r>
        <w:drawing>
          <wp:inline distT="0" distB="0" distL="114300" distR="114300">
            <wp:extent cx="4543425" cy="2695575"/>
            <wp:effectExtent l="0" t="0" r="9525" b="9525"/>
            <wp:docPr id="6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17"/>
                    <pic:cNvPicPr>
                      <a:picLocks noChangeAspect="1"/>
                    </pic:cNvPicPr>
                  </pic:nvPicPr>
                  <pic:blipFill>
                    <a:blip r:embed="rId65"/>
                    <a:stretch>
                      <a:fillRect/>
                    </a:stretch>
                  </pic:blipFill>
                  <pic:spPr>
                    <a:xfrm>
                      <a:off x="0" y="0"/>
                      <a:ext cx="4543425" cy="2695575"/>
                    </a:xfrm>
                    <a:prstGeom prst="rect">
                      <a:avLst/>
                    </a:prstGeom>
                    <a:noFill/>
                    <a:ln>
                      <a:noFill/>
                    </a:ln>
                  </pic:spPr>
                </pic:pic>
              </a:graphicData>
            </a:graphic>
          </wp:inline>
        </w:drawing>
      </w:r>
    </w:p>
    <w:p>
      <w:pPr>
        <w:ind w:firstLine="422"/>
        <w:jc w:val="center"/>
        <w:rPr>
          <w:color w:val="000000"/>
        </w:rPr>
      </w:pPr>
      <w:r>
        <w:rPr>
          <w:b/>
          <w:bCs/>
          <w:sz w:val="21"/>
        </w:rPr>
        <w:t>图1.5-1 应急预案体系</w:t>
      </w:r>
    </w:p>
    <w:p>
      <w:pPr>
        <w:ind w:firstLine="480"/>
        <w:jc w:val="center"/>
        <w:outlineLvl w:val="0"/>
        <w:rPr>
          <w:rStyle w:val="45"/>
          <w:rFonts w:ascii="Times New Roman" w:hAnsi="Times New Roman" w:eastAsia="宋体"/>
          <w:color w:val="000000"/>
          <w:kern w:val="0"/>
          <w:szCs w:val="28"/>
        </w:rPr>
      </w:pPr>
      <w:bookmarkStart w:id="607" w:name="_Toc16002_WPSOffice_Level2"/>
      <w:bookmarkStart w:id="608" w:name="_Toc27359"/>
      <w:bookmarkStart w:id="609" w:name="_Toc25161_WPSOffice_Level2"/>
      <w:bookmarkStart w:id="610" w:name="_Toc531529724"/>
      <w:r>
        <w:rPr>
          <w:color w:val="000000"/>
          <w:lang w:val="zh-CN"/>
        </w:rPr>
        <w:br w:type="page"/>
      </w:r>
      <w:bookmarkEnd w:id="607"/>
      <w:bookmarkEnd w:id="608"/>
      <w:bookmarkEnd w:id="609"/>
      <w:bookmarkEnd w:id="610"/>
      <w:bookmarkStart w:id="611" w:name="_Toc531529725"/>
      <w:bookmarkStart w:id="612" w:name="_Toc28086_WPSOffice_Level1"/>
      <w:bookmarkStart w:id="613" w:name="_Toc17522"/>
      <w:bookmarkStart w:id="614" w:name="_Toc3896_WPSOffice_Level1"/>
      <w:bookmarkStart w:id="615" w:name="_Toc22752"/>
      <w:bookmarkStart w:id="616" w:name="_Toc6282"/>
      <w:r>
        <w:rPr>
          <w:rStyle w:val="45"/>
          <w:rFonts w:ascii="Times New Roman" w:hAnsi="Times New Roman" w:eastAsia="宋体"/>
          <w:color w:val="000000"/>
        </w:rPr>
        <w:t>2 公司基本信息</w:t>
      </w:r>
      <w:bookmarkEnd w:id="611"/>
      <w:bookmarkEnd w:id="612"/>
      <w:bookmarkEnd w:id="613"/>
      <w:bookmarkEnd w:id="614"/>
      <w:bookmarkEnd w:id="615"/>
      <w:bookmarkEnd w:id="616"/>
    </w:p>
    <w:p>
      <w:pPr>
        <w:pStyle w:val="2"/>
        <w:keepNext w:val="0"/>
        <w:keepLines w:val="0"/>
        <w:spacing w:line="240" w:lineRule="auto"/>
        <w:ind w:firstLine="335" w:firstLineChars="119"/>
        <w:rPr>
          <w:rFonts w:ascii="Times New Roman" w:hAnsi="Times New Roman"/>
          <w:color w:val="000000"/>
          <w:lang w:val="zh-CN"/>
        </w:rPr>
      </w:pPr>
      <w:bookmarkStart w:id="617" w:name="_Toc14415_WPSOffice_Level2"/>
      <w:bookmarkStart w:id="618" w:name="_Toc531529726"/>
      <w:bookmarkStart w:id="619" w:name="_Toc294080714"/>
      <w:bookmarkStart w:id="620" w:name="_Toc21810_WPSOffice_Level2"/>
      <w:bookmarkStart w:id="621" w:name="_Toc9332"/>
      <w:bookmarkStart w:id="622" w:name="_Toc295467921"/>
      <w:bookmarkStart w:id="623" w:name="_Toc30406"/>
      <w:bookmarkStart w:id="624" w:name="_Toc26205"/>
      <w:bookmarkStart w:id="625" w:name="_Toc30392_WPSOffice_Level2"/>
      <w:bookmarkStart w:id="626" w:name="_Toc531529727"/>
      <w:bookmarkStart w:id="627" w:name="_Toc26066_WPSOffice_Level2"/>
      <w:r>
        <w:rPr>
          <w:rFonts w:ascii="Times New Roman" w:hAnsi="Times New Roman"/>
          <w:color w:val="000000"/>
          <w:lang w:val="zh-CN"/>
        </w:rPr>
        <w:t>2.1 项目概况</w:t>
      </w:r>
      <w:bookmarkEnd w:id="617"/>
      <w:bookmarkEnd w:id="618"/>
      <w:bookmarkEnd w:id="619"/>
      <w:bookmarkEnd w:id="620"/>
      <w:bookmarkEnd w:id="621"/>
      <w:bookmarkEnd w:id="622"/>
      <w:bookmarkEnd w:id="623"/>
      <w:bookmarkEnd w:id="624"/>
    </w:p>
    <w:p>
      <w:pPr>
        <w:ind w:firstLine="480"/>
        <w:rPr>
          <w:lang w:val="zh-CN"/>
        </w:rPr>
      </w:pPr>
      <w:r>
        <w:rPr>
          <w:color w:val="000000"/>
          <w:lang w:val="zh-CN"/>
        </w:rPr>
        <w:t>公司基本情况如下表。</w:t>
      </w:r>
    </w:p>
    <w:p>
      <w:pPr>
        <w:adjustRightInd w:val="0"/>
        <w:snapToGrid w:val="0"/>
        <w:ind w:firstLine="422"/>
        <w:jc w:val="center"/>
        <w:rPr>
          <w:color w:val="000000"/>
        </w:rPr>
      </w:pPr>
      <w:r>
        <w:rPr>
          <w:b/>
          <w:bCs/>
          <w:color w:val="000000"/>
          <w:sz w:val="21"/>
        </w:rPr>
        <w:t>表2.1-1  企业基本概况</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2975"/>
        <w:gridCol w:w="1133"/>
        <w:gridCol w:w="33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1808" w:type="dxa"/>
            <w:noWrap w:val="0"/>
            <w:vAlign w:val="center"/>
          </w:tcPr>
          <w:p>
            <w:pPr>
              <w:spacing w:line="300" w:lineRule="exact"/>
              <w:ind w:firstLine="420"/>
              <w:jc w:val="center"/>
              <w:rPr>
                <w:sz w:val="21"/>
              </w:rPr>
            </w:pPr>
            <w:bookmarkStart w:id="628" w:name="_Toc16336"/>
            <w:r>
              <w:rPr>
                <w:sz w:val="21"/>
              </w:rPr>
              <w:t>单位名称</w:t>
            </w:r>
          </w:p>
        </w:tc>
        <w:tc>
          <w:tcPr>
            <w:tcW w:w="7472" w:type="dxa"/>
            <w:gridSpan w:val="3"/>
            <w:noWrap w:val="0"/>
            <w:vAlign w:val="center"/>
          </w:tcPr>
          <w:p>
            <w:pPr>
              <w:spacing w:line="300" w:lineRule="exact"/>
              <w:ind w:firstLine="452"/>
              <w:jc w:val="center"/>
              <w:rPr>
                <w:sz w:val="21"/>
              </w:rPr>
            </w:pPr>
            <w:r>
              <w:rPr>
                <w:spacing w:val="8"/>
                <w:sz w:val="21"/>
              </w:rPr>
              <w:t>重庆永荣青鹏水泥有限公司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隶属关系</w:t>
            </w:r>
          </w:p>
        </w:tc>
        <w:tc>
          <w:tcPr>
            <w:tcW w:w="7472" w:type="dxa"/>
            <w:gridSpan w:val="3"/>
            <w:noWrap w:val="0"/>
            <w:vAlign w:val="center"/>
          </w:tcPr>
          <w:p>
            <w:pPr>
              <w:spacing w:line="300" w:lineRule="exact"/>
              <w:ind w:firstLine="452"/>
              <w:jc w:val="center"/>
              <w:rPr>
                <w:spacing w:val="8"/>
                <w:sz w:val="21"/>
              </w:rPr>
            </w:pPr>
            <w:r>
              <w:rPr>
                <w:spacing w:val="8"/>
                <w:sz w:val="21"/>
              </w:rPr>
              <w:t>隶属重庆能投集团永荣矿业公司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1808" w:type="dxa"/>
            <w:noWrap w:val="0"/>
            <w:vAlign w:val="center"/>
          </w:tcPr>
          <w:p>
            <w:pPr>
              <w:spacing w:line="300" w:lineRule="exact"/>
              <w:ind w:firstLine="420"/>
              <w:jc w:val="center"/>
              <w:rPr>
                <w:sz w:val="21"/>
              </w:rPr>
            </w:pPr>
            <w:r>
              <w:rPr>
                <w:sz w:val="21"/>
              </w:rPr>
              <w:t>单位地址</w:t>
            </w:r>
          </w:p>
        </w:tc>
        <w:tc>
          <w:tcPr>
            <w:tcW w:w="2975" w:type="dxa"/>
            <w:noWrap w:val="0"/>
            <w:vAlign w:val="center"/>
          </w:tcPr>
          <w:p>
            <w:pPr>
              <w:spacing w:line="300" w:lineRule="exact"/>
              <w:ind w:firstLine="420"/>
              <w:jc w:val="center"/>
              <w:rPr>
                <w:spacing w:val="8"/>
                <w:sz w:val="21"/>
              </w:rPr>
            </w:pPr>
            <w:r>
              <w:rPr>
                <w:sz w:val="21"/>
              </w:rPr>
              <w:t>重庆市沙坪坝区青木关镇关口村</w:t>
            </w:r>
          </w:p>
        </w:tc>
        <w:tc>
          <w:tcPr>
            <w:tcW w:w="1133" w:type="dxa"/>
            <w:noWrap w:val="0"/>
            <w:vAlign w:val="center"/>
          </w:tcPr>
          <w:p>
            <w:pPr>
              <w:spacing w:line="300" w:lineRule="exact"/>
              <w:ind w:firstLine="420"/>
              <w:jc w:val="center"/>
              <w:rPr>
                <w:sz w:val="21"/>
              </w:rPr>
            </w:pPr>
            <w:r>
              <w:rPr>
                <w:sz w:val="21"/>
              </w:rPr>
              <w:t>中心经度坐标</w:t>
            </w:r>
          </w:p>
        </w:tc>
        <w:tc>
          <w:tcPr>
            <w:tcW w:w="3364" w:type="dxa"/>
            <w:noWrap w:val="0"/>
            <w:vAlign w:val="center"/>
          </w:tcPr>
          <w:p>
            <w:pPr>
              <w:spacing w:line="300" w:lineRule="exact"/>
              <w:ind w:firstLine="452"/>
              <w:jc w:val="center"/>
              <w:rPr>
                <w:spacing w:val="8"/>
                <w:sz w:val="21"/>
              </w:rPr>
            </w:pPr>
            <w:r>
              <w:rPr>
                <w:spacing w:val="8"/>
                <w:sz w:val="21"/>
              </w:rPr>
              <w:t>104°04 '58.66"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1808" w:type="dxa"/>
            <w:noWrap w:val="0"/>
            <w:vAlign w:val="center"/>
          </w:tcPr>
          <w:p>
            <w:pPr>
              <w:spacing w:line="300" w:lineRule="exact"/>
              <w:ind w:firstLine="420"/>
              <w:jc w:val="center"/>
              <w:rPr>
                <w:sz w:val="21"/>
              </w:rPr>
            </w:pPr>
            <w:r>
              <w:rPr>
                <w:sz w:val="21"/>
              </w:rPr>
              <w:t>企业性质</w:t>
            </w:r>
          </w:p>
        </w:tc>
        <w:tc>
          <w:tcPr>
            <w:tcW w:w="2975" w:type="dxa"/>
            <w:noWrap w:val="0"/>
            <w:vAlign w:val="center"/>
          </w:tcPr>
          <w:p>
            <w:pPr>
              <w:spacing w:line="300" w:lineRule="exact"/>
              <w:ind w:firstLine="420"/>
              <w:jc w:val="center"/>
              <w:rPr>
                <w:sz w:val="21"/>
              </w:rPr>
            </w:pPr>
            <w:r>
              <w:rPr>
                <w:sz w:val="21"/>
              </w:rPr>
              <w:t>国有独资</w:t>
            </w:r>
          </w:p>
        </w:tc>
        <w:tc>
          <w:tcPr>
            <w:tcW w:w="1133" w:type="dxa"/>
            <w:noWrap w:val="0"/>
            <w:vAlign w:val="center"/>
          </w:tcPr>
          <w:p>
            <w:pPr>
              <w:spacing w:line="300" w:lineRule="exact"/>
              <w:ind w:firstLine="420"/>
              <w:jc w:val="center"/>
              <w:rPr>
                <w:sz w:val="21"/>
              </w:rPr>
            </w:pPr>
            <w:r>
              <w:rPr>
                <w:sz w:val="21"/>
              </w:rPr>
              <w:t>中心纬度坐标</w:t>
            </w:r>
          </w:p>
        </w:tc>
        <w:tc>
          <w:tcPr>
            <w:tcW w:w="3364" w:type="dxa"/>
            <w:noWrap w:val="0"/>
            <w:vAlign w:val="center"/>
          </w:tcPr>
          <w:p>
            <w:pPr>
              <w:spacing w:line="300" w:lineRule="exact"/>
              <w:ind w:firstLine="452"/>
              <w:jc w:val="center"/>
              <w:rPr>
                <w:spacing w:val="8"/>
                <w:sz w:val="21"/>
              </w:rPr>
            </w:pPr>
            <w:r>
              <w:rPr>
                <w:spacing w:val="8"/>
                <w:sz w:val="21"/>
              </w:rPr>
              <w:t>38°29 '27.97"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组织机构代码</w:t>
            </w:r>
          </w:p>
        </w:tc>
        <w:tc>
          <w:tcPr>
            <w:tcW w:w="2975" w:type="dxa"/>
            <w:noWrap w:val="0"/>
            <w:vAlign w:val="center"/>
          </w:tcPr>
          <w:p>
            <w:pPr>
              <w:spacing w:line="300" w:lineRule="exact"/>
              <w:ind w:firstLine="420"/>
              <w:jc w:val="center"/>
              <w:rPr>
                <w:sz w:val="21"/>
              </w:rPr>
            </w:pPr>
            <w:r>
              <w:rPr>
                <w:rFonts w:eastAsia="微软雅黑"/>
                <w:color w:val="000000"/>
                <w:sz w:val="21"/>
                <w:shd w:val="clear" w:color="auto" w:fill="FFFFFF"/>
              </w:rPr>
              <w:t>500106000023568</w:t>
            </w:r>
          </w:p>
        </w:tc>
        <w:tc>
          <w:tcPr>
            <w:tcW w:w="1133" w:type="dxa"/>
            <w:noWrap w:val="0"/>
            <w:vAlign w:val="center"/>
          </w:tcPr>
          <w:p>
            <w:pPr>
              <w:spacing w:line="300" w:lineRule="exact"/>
              <w:ind w:firstLine="420"/>
              <w:jc w:val="center"/>
              <w:rPr>
                <w:sz w:val="21"/>
              </w:rPr>
            </w:pPr>
            <w:r>
              <w:rPr>
                <w:sz w:val="21"/>
              </w:rPr>
              <w:t>法人代表</w:t>
            </w:r>
          </w:p>
        </w:tc>
        <w:tc>
          <w:tcPr>
            <w:tcW w:w="3364" w:type="dxa"/>
            <w:noWrap w:val="0"/>
            <w:vAlign w:val="center"/>
          </w:tcPr>
          <w:p>
            <w:pPr>
              <w:spacing w:line="300" w:lineRule="exact"/>
              <w:ind w:firstLine="452"/>
              <w:jc w:val="center"/>
              <w:rPr>
                <w:spacing w:val="8"/>
                <w:sz w:val="21"/>
              </w:rPr>
            </w:pPr>
            <w:r>
              <w:rPr>
                <w:spacing w:val="8"/>
                <w:sz w:val="21"/>
              </w:rPr>
              <w:t>张安俊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所属行业</w:t>
            </w:r>
          </w:p>
        </w:tc>
        <w:tc>
          <w:tcPr>
            <w:tcW w:w="2975" w:type="dxa"/>
            <w:noWrap w:val="0"/>
            <w:vAlign w:val="center"/>
          </w:tcPr>
          <w:p>
            <w:pPr>
              <w:spacing w:line="300" w:lineRule="exact"/>
              <w:ind w:firstLine="420"/>
              <w:jc w:val="center"/>
              <w:rPr>
                <w:sz w:val="21"/>
              </w:rPr>
            </w:pPr>
            <w:r>
              <w:rPr>
                <w:sz w:val="21"/>
              </w:rPr>
              <w:t>水泥制造  代码C3011</w:t>
            </w:r>
          </w:p>
        </w:tc>
        <w:tc>
          <w:tcPr>
            <w:tcW w:w="1133" w:type="dxa"/>
            <w:noWrap w:val="0"/>
            <w:vAlign w:val="center"/>
          </w:tcPr>
          <w:p>
            <w:pPr>
              <w:spacing w:line="300" w:lineRule="exact"/>
              <w:ind w:firstLine="420"/>
              <w:jc w:val="center"/>
              <w:rPr>
                <w:sz w:val="21"/>
              </w:rPr>
            </w:pPr>
            <w:r>
              <w:rPr>
                <w:sz w:val="21"/>
              </w:rPr>
              <w:t>厂区面积</w:t>
            </w:r>
          </w:p>
        </w:tc>
        <w:tc>
          <w:tcPr>
            <w:tcW w:w="3364" w:type="dxa"/>
            <w:noWrap w:val="0"/>
            <w:vAlign w:val="center"/>
          </w:tcPr>
          <w:p>
            <w:pPr>
              <w:spacing w:line="300" w:lineRule="exact"/>
              <w:ind w:firstLine="452"/>
              <w:jc w:val="center"/>
              <w:rPr>
                <w:spacing w:val="8"/>
                <w:sz w:val="21"/>
              </w:rPr>
            </w:pPr>
            <w:r>
              <w:rPr>
                <w:spacing w:val="8"/>
                <w:sz w:val="21"/>
              </w:rPr>
              <w:t>83853m</w:t>
            </w:r>
            <w:r>
              <w:rPr>
                <w:spacing w:val="8"/>
                <w:sz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1808" w:type="dxa"/>
            <w:noWrap w:val="0"/>
            <w:vAlign w:val="center"/>
          </w:tcPr>
          <w:p>
            <w:pPr>
              <w:spacing w:line="300" w:lineRule="exact"/>
              <w:ind w:firstLine="420"/>
              <w:jc w:val="center"/>
              <w:rPr>
                <w:sz w:val="21"/>
              </w:rPr>
            </w:pPr>
            <w:r>
              <w:rPr>
                <w:sz w:val="21"/>
              </w:rPr>
              <w:t xml:space="preserve">建成年月 </w:t>
            </w:r>
          </w:p>
        </w:tc>
        <w:tc>
          <w:tcPr>
            <w:tcW w:w="2975" w:type="dxa"/>
            <w:noWrap w:val="0"/>
            <w:vAlign w:val="center"/>
          </w:tcPr>
          <w:p>
            <w:pPr>
              <w:spacing w:line="300" w:lineRule="exact"/>
              <w:ind w:firstLine="420"/>
              <w:jc w:val="center"/>
              <w:rPr>
                <w:sz w:val="21"/>
              </w:rPr>
            </w:pPr>
            <w:r>
              <w:rPr>
                <w:sz w:val="21"/>
              </w:rPr>
              <w:t>1956年6月</w:t>
            </w:r>
          </w:p>
        </w:tc>
        <w:tc>
          <w:tcPr>
            <w:tcW w:w="1133" w:type="dxa"/>
            <w:noWrap w:val="0"/>
            <w:vAlign w:val="center"/>
          </w:tcPr>
          <w:p>
            <w:pPr>
              <w:spacing w:line="300" w:lineRule="exact"/>
              <w:ind w:firstLine="420"/>
              <w:jc w:val="center"/>
              <w:rPr>
                <w:sz w:val="21"/>
              </w:rPr>
            </w:pPr>
            <w:r>
              <w:rPr>
                <w:sz w:val="21"/>
              </w:rPr>
              <w:t>职工人数</w:t>
            </w:r>
          </w:p>
        </w:tc>
        <w:tc>
          <w:tcPr>
            <w:tcW w:w="3364" w:type="dxa"/>
            <w:noWrap w:val="0"/>
            <w:vAlign w:val="center"/>
          </w:tcPr>
          <w:p>
            <w:pPr>
              <w:spacing w:line="300" w:lineRule="exact"/>
              <w:ind w:firstLine="420"/>
              <w:rPr>
                <w:spacing w:val="8"/>
                <w:sz w:val="21"/>
              </w:rPr>
            </w:pPr>
            <w:r>
              <w:rPr>
                <w:sz w:val="21"/>
              </w:rPr>
              <w:t>273人，管理人员19人，工人254人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最新改扩建年月</w:t>
            </w:r>
          </w:p>
        </w:tc>
        <w:tc>
          <w:tcPr>
            <w:tcW w:w="2975" w:type="dxa"/>
            <w:noWrap w:val="0"/>
            <w:vAlign w:val="center"/>
          </w:tcPr>
          <w:p>
            <w:pPr>
              <w:spacing w:line="300" w:lineRule="exact"/>
              <w:ind w:firstLine="420"/>
              <w:jc w:val="center"/>
              <w:rPr>
                <w:sz w:val="21"/>
              </w:rPr>
            </w:pPr>
            <w:r>
              <w:rPr>
                <w:sz w:val="21"/>
              </w:rPr>
              <w:t>2011年9月</w:t>
            </w:r>
          </w:p>
        </w:tc>
        <w:tc>
          <w:tcPr>
            <w:tcW w:w="1133" w:type="dxa"/>
            <w:noWrap w:val="0"/>
            <w:vAlign w:val="center"/>
          </w:tcPr>
          <w:p>
            <w:pPr>
              <w:spacing w:line="300" w:lineRule="exact"/>
              <w:ind w:firstLine="420"/>
              <w:jc w:val="center"/>
              <w:rPr>
                <w:sz w:val="21"/>
              </w:rPr>
            </w:pPr>
            <w:r>
              <w:rPr>
                <w:sz w:val="21"/>
              </w:rPr>
              <w:t>企业规模</w:t>
            </w:r>
          </w:p>
        </w:tc>
        <w:tc>
          <w:tcPr>
            <w:tcW w:w="3364" w:type="dxa"/>
            <w:noWrap w:val="0"/>
            <w:vAlign w:val="center"/>
          </w:tcPr>
          <w:p>
            <w:pPr>
              <w:spacing w:line="300" w:lineRule="exact"/>
              <w:ind w:firstLine="420"/>
              <w:jc w:val="center"/>
              <w:rPr>
                <w:sz w:val="21"/>
              </w:rPr>
            </w:pPr>
            <w:r>
              <w:rPr>
                <w:sz w:val="21"/>
              </w:rPr>
              <w:t>大型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注册资本</w:t>
            </w:r>
          </w:p>
        </w:tc>
        <w:tc>
          <w:tcPr>
            <w:tcW w:w="2975" w:type="dxa"/>
            <w:noWrap w:val="0"/>
            <w:vAlign w:val="center"/>
          </w:tcPr>
          <w:p>
            <w:pPr>
              <w:spacing w:line="300" w:lineRule="exact"/>
              <w:ind w:firstLine="420"/>
              <w:jc w:val="center"/>
              <w:rPr>
                <w:sz w:val="21"/>
              </w:rPr>
            </w:pPr>
            <w:r>
              <w:rPr>
                <w:sz w:val="21"/>
              </w:rPr>
              <w:t xml:space="preserve">1.264047亿元 </w:t>
            </w:r>
          </w:p>
        </w:tc>
        <w:tc>
          <w:tcPr>
            <w:tcW w:w="1133" w:type="dxa"/>
            <w:noWrap w:val="0"/>
            <w:vAlign w:val="center"/>
          </w:tcPr>
          <w:p>
            <w:pPr>
              <w:spacing w:line="300" w:lineRule="exact"/>
              <w:ind w:firstLine="420"/>
              <w:jc w:val="center"/>
              <w:rPr>
                <w:sz w:val="21"/>
              </w:rPr>
            </w:pPr>
            <w:r>
              <w:rPr>
                <w:sz w:val="21"/>
              </w:rPr>
              <w:t>邮政编码</w:t>
            </w:r>
          </w:p>
        </w:tc>
        <w:tc>
          <w:tcPr>
            <w:tcW w:w="3364" w:type="dxa"/>
            <w:noWrap w:val="0"/>
            <w:vAlign w:val="center"/>
          </w:tcPr>
          <w:p>
            <w:pPr>
              <w:spacing w:line="300" w:lineRule="exact"/>
              <w:ind w:firstLine="420"/>
              <w:jc w:val="center"/>
              <w:rPr>
                <w:sz w:val="21"/>
              </w:rPr>
            </w:pPr>
            <w:r>
              <w:rPr>
                <w:sz w:val="21"/>
              </w:rPr>
              <w:t>401334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808" w:type="dxa"/>
            <w:noWrap w:val="0"/>
            <w:vAlign w:val="center"/>
          </w:tcPr>
          <w:p>
            <w:pPr>
              <w:spacing w:line="300" w:lineRule="exact"/>
              <w:ind w:firstLine="420"/>
              <w:jc w:val="center"/>
              <w:rPr>
                <w:sz w:val="21"/>
              </w:rPr>
            </w:pPr>
            <w:r>
              <w:rPr>
                <w:sz w:val="21"/>
              </w:rPr>
              <w:t>企业网站</w:t>
            </w:r>
          </w:p>
        </w:tc>
        <w:tc>
          <w:tcPr>
            <w:tcW w:w="2975" w:type="dxa"/>
            <w:noWrap w:val="0"/>
            <w:vAlign w:val="center"/>
          </w:tcPr>
          <w:p>
            <w:pPr>
              <w:spacing w:line="300" w:lineRule="exact"/>
              <w:ind w:firstLine="420"/>
              <w:jc w:val="center"/>
              <w:rPr>
                <w:sz w:val="21"/>
              </w:rPr>
            </w:pPr>
            <w:r>
              <w:rPr>
                <w:sz w:val="21"/>
              </w:rPr>
              <w:t>/</w:t>
            </w:r>
          </w:p>
        </w:tc>
        <w:tc>
          <w:tcPr>
            <w:tcW w:w="1133" w:type="dxa"/>
            <w:noWrap w:val="0"/>
            <w:vAlign w:val="center"/>
          </w:tcPr>
          <w:p>
            <w:pPr>
              <w:spacing w:line="300" w:lineRule="exact"/>
              <w:ind w:firstLine="420"/>
              <w:jc w:val="center"/>
              <w:rPr>
                <w:sz w:val="21"/>
              </w:rPr>
            </w:pPr>
            <w:r>
              <w:rPr>
                <w:sz w:val="21"/>
              </w:rPr>
              <w:t>联系电话</w:t>
            </w:r>
          </w:p>
        </w:tc>
        <w:tc>
          <w:tcPr>
            <w:tcW w:w="3364" w:type="dxa"/>
            <w:noWrap w:val="0"/>
            <w:vAlign w:val="center"/>
          </w:tcPr>
          <w:p>
            <w:pPr>
              <w:spacing w:line="300" w:lineRule="exact"/>
              <w:ind w:firstLine="420"/>
              <w:jc w:val="center"/>
              <w:rPr>
                <w:sz w:val="21"/>
              </w:rPr>
            </w:pPr>
            <w:r>
              <w:rPr>
                <w:sz w:val="21"/>
              </w:rPr>
              <w:t>65606180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2" w:hRule="atLeast"/>
        </w:trPr>
        <w:tc>
          <w:tcPr>
            <w:tcW w:w="1808" w:type="dxa"/>
            <w:noWrap w:val="0"/>
            <w:vAlign w:val="center"/>
          </w:tcPr>
          <w:p>
            <w:pPr>
              <w:spacing w:line="300" w:lineRule="exact"/>
              <w:ind w:firstLine="420"/>
              <w:jc w:val="center"/>
              <w:rPr>
                <w:sz w:val="21"/>
              </w:rPr>
            </w:pPr>
            <w:r>
              <w:rPr>
                <w:sz w:val="21"/>
              </w:rPr>
              <w:t>工作制</w:t>
            </w:r>
          </w:p>
        </w:tc>
        <w:tc>
          <w:tcPr>
            <w:tcW w:w="7472" w:type="dxa"/>
            <w:gridSpan w:val="3"/>
            <w:noWrap w:val="0"/>
            <w:vAlign w:val="center"/>
          </w:tcPr>
          <w:p>
            <w:pPr>
              <w:spacing w:line="300" w:lineRule="exact"/>
              <w:ind w:firstLine="420"/>
              <w:rPr>
                <w:sz w:val="21"/>
              </w:rPr>
            </w:pPr>
            <w:r>
              <w:rPr>
                <w:sz w:val="21"/>
              </w:rPr>
              <w:t>水泥年生产时间约310天（7440小时），余热发电300天（7200小时）。</w:t>
            </w:r>
          </w:p>
          <w:p>
            <w:pPr>
              <w:spacing w:line="300" w:lineRule="exact"/>
              <w:ind w:firstLine="420"/>
              <w:rPr>
                <w:sz w:val="21"/>
              </w:rPr>
            </w:pPr>
            <w:r>
              <w:rPr>
                <w:sz w:val="21"/>
              </w:rPr>
              <w:t>水泥和余热发电生产系统及与生产紧密相关的辅助生产部门按四班三运转（三班生产，一班替换）24小时连续生产，管理及一般辅助部门全部实行白班8小时工作制。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3" w:hRule="atLeast"/>
        </w:trPr>
        <w:tc>
          <w:tcPr>
            <w:tcW w:w="1808" w:type="dxa"/>
            <w:noWrap w:val="0"/>
            <w:vAlign w:val="center"/>
          </w:tcPr>
          <w:p>
            <w:pPr>
              <w:spacing w:line="300" w:lineRule="exact"/>
              <w:ind w:firstLine="420"/>
              <w:jc w:val="center"/>
              <w:rPr>
                <w:sz w:val="21"/>
              </w:rPr>
            </w:pPr>
            <w:r>
              <w:rPr>
                <w:sz w:val="21"/>
              </w:rPr>
              <w:t>企业历史</w:t>
            </w:r>
          </w:p>
          <w:p>
            <w:pPr>
              <w:spacing w:line="300" w:lineRule="exact"/>
              <w:ind w:firstLine="420"/>
              <w:jc w:val="center"/>
              <w:rPr>
                <w:sz w:val="21"/>
              </w:rPr>
            </w:pPr>
            <w:r>
              <w:rPr>
                <w:sz w:val="21"/>
              </w:rPr>
              <w:t>发展沿革</w:t>
            </w:r>
          </w:p>
        </w:tc>
        <w:tc>
          <w:tcPr>
            <w:tcW w:w="7472" w:type="dxa"/>
            <w:gridSpan w:val="3"/>
            <w:noWrap w:val="0"/>
            <w:vAlign w:val="center"/>
          </w:tcPr>
          <w:p>
            <w:pPr>
              <w:spacing w:line="300" w:lineRule="exact"/>
              <w:ind w:firstLine="420"/>
              <w:rPr>
                <w:sz w:val="21"/>
              </w:rPr>
            </w:pPr>
            <w:r>
              <w:rPr>
                <w:sz w:val="21"/>
              </w:rPr>
              <w:t>重庆永荣青鹏水泥有限公司是集煤炭、水泥两大板块产业为一体的“5主业”企业。1956年由12个小煤窑和4个附属小厂通过公私合营组建“巴县地方合营合盛煤厂”，1958年7月更名为“巴县关口煤矿”，1960年5月将“关口煤矿”与“杉树林煤矿”合并成立“巴县青木关煤矿”，历经发展变迁，先后隶属原巴县工业局、工交局、经委管理。1993年扩大产业规模修建水泥厂。1997年3月20日“巴县青木关煤矿”更名为“重庆市青木关煤矿”，隶属市煤炭工业管理局，重庆煤炭集团公司。煤炭、水泥年设计生产能力10万吨和45万吨。2003年12月划归永荣矿业公司后，于2005年11月改制为国有独资企业，现隶属重庆能源集团公司。</w:t>
            </w:r>
          </w:p>
          <w:p>
            <w:pPr>
              <w:spacing w:line="300" w:lineRule="exact"/>
              <w:ind w:firstLine="420"/>
              <w:rPr>
                <w:sz w:val="21"/>
              </w:rPr>
            </w:pPr>
            <w:r>
              <w:rPr>
                <w:sz w:val="21"/>
              </w:rPr>
              <w:t>2007年7月，青鹏公司矿井实施延深工程。扩大生产规模，生产能力从年产10万吨，扩大到15万吨。</w:t>
            </w:r>
          </w:p>
          <w:p>
            <w:pPr>
              <w:spacing w:line="300" w:lineRule="exact"/>
              <w:ind w:firstLine="420"/>
              <w:jc w:val="left"/>
              <w:rPr>
                <w:sz w:val="21"/>
              </w:rPr>
            </w:pPr>
            <w:r>
              <w:rPr>
                <w:sz w:val="21"/>
              </w:rPr>
              <w:t>水泥生产规模从最初年产4万吨水平，经两次改扩建，从1998年至2001年，扩大到四条生产线，水泥生产规模达50万吨水平，比建厂时翻了十二倍多。由于是立窑生产线，属国家淘汰落后产业，经市政府批准，于2011年8月全面停产撤除。于2011年9月，对水泥厂进行环保技改2500t/d新型干法旋窑水泥生产线。于2013年6月19日点火生产。</w:t>
            </w:r>
          </w:p>
        </w:tc>
      </w:tr>
      <w:bookmarkEnd w:id="625"/>
      <w:bookmarkEnd w:id="626"/>
      <w:bookmarkEnd w:id="627"/>
      <w:bookmarkEnd w:id="628"/>
    </w:tbl>
    <w:p>
      <w:pPr>
        <w:pStyle w:val="2"/>
        <w:ind w:firstLine="602"/>
        <w:jc w:val="center"/>
        <w:rPr>
          <w:rStyle w:val="45"/>
          <w:rFonts w:ascii="Times New Roman" w:hAnsi="Times New Roman" w:eastAsia="宋体"/>
          <w:b w:val="0"/>
          <w:bCs w:val="0"/>
          <w:color w:val="000000"/>
        </w:rPr>
      </w:pPr>
      <w:bookmarkStart w:id="629" w:name="_Toc422391115"/>
      <w:bookmarkStart w:id="630" w:name="_Toc531529728"/>
      <w:r>
        <w:rPr>
          <w:rFonts w:ascii="Times New Roman" w:hAnsi="Times New Roman"/>
          <w:highlight w:val="yellow"/>
        </w:rPr>
        <w:br w:type="page"/>
      </w:r>
      <w:bookmarkStart w:id="631" w:name="_Toc28753"/>
      <w:bookmarkStart w:id="632" w:name="_Toc22303_WPSOffice_Level1"/>
      <w:bookmarkStart w:id="633" w:name="_Toc26987_WPSOffice_Level1"/>
      <w:bookmarkStart w:id="634" w:name="_Toc2323"/>
      <w:bookmarkStart w:id="635" w:name="_Toc28710"/>
      <w:r>
        <w:rPr>
          <w:rStyle w:val="45"/>
          <w:rFonts w:ascii="Times New Roman" w:hAnsi="Times New Roman" w:eastAsia="宋体"/>
          <w:b/>
          <w:bCs/>
          <w:color w:val="000000"/>
        </w:rPr>
        <w:t>3 环境风险源和环境风险评价</w:t>
      </w:r>
      <w:bookmarkEnd w:id="629"/>
      <w:bookmarkEnd w:id="630"/>
      <w:bookmarkEnd w:id="631"/>
      <w:bookmarkEnd w:id="632"/>
      <w:bookmarkEnd w:id="633"/>
    </w:p>
    <w:bookmarkEnd w:id="634"/>
    <w:bookmarkEnd w:id="635"/>
    <w:p>
      <w:pPr>
        <w:pStyle w:val="2"/>
        <w:keepNext w:val="0"/>
        <w:keepLines w:val="0"/>
        <w:spacing w:line="240" w:lineRule="auto"/>
        <w:ind w:firstLine="602"/>
        <w:rPr>
          <w:rFonts w:ascii="Times New Roman" w:hAnsi="Times New Roman"/>
          <w:color w:val="000000"/>
          <w:lang w:val="zh-CN"/>
        </w:rPr>
      </w:pPr>
      <w:bookmarkStart w:id="636" w:name="_Toc295467931"/>
      <w:bookmarkStart w:id="637" w:name="_Toc26069_WPSOffice_Level2"/>
      <w:bookmarkStart w:id="638" w:name="_Toc531529729"/>
      <w:bookmarkStart w:id="639" w:name="_Toc11126_WPSOffice_Level2"/>
      <w:bookmarkStart w:id="640" w:name="_Toc8661"/>
      <w:bookmarkStart w:id="641" w:name="_Toc32452"/>
      <w:bookmarkStart w:id="642" w:name="_Toc29836"/>
      <w:bookmarkStart w:id="643" w:name="_Toc294080715"/>
      <w:bookmarkStart w:id="644" w:name="_Toc295467930"/>
      <w:r>
        <w:rPr>
          <w:rFonts w:ascii="Times New Roman" w:hAnsi="Times New Roman"/>
          <w:color w:val="000000"/>
          <w:lang w:val="zh-CN"/>
        </w:rPr>
        <w:t>3.1</w:t>
      </w:r>
      <w:bookmarkEnd w:id="636"/>
      <w:r>
        <w:rPr>
          <w:rFonts w:ascii="Times New Roman" w:hAnsi="Times New Roman"/>
          <w:color w:val="000000"/>
          <w:lang w:val="zh-CN"/>
        </w:rPr>
        <w:t xml:space="preserve"> 环境风险物质识别</w:t>
      </w:r>
      <w:bookmarkEnd w:id="637"/>
      <w:bookmarkEnd w:id="638"/>
      <w:bookmarkEnd w:id="639"/>
      <w:bookmarkEnd w:id="640"/>
      <w:bookmarkEnd w:id="641"/>
      <w:bookmarkEnd w:id="642"/>
    </w:p>
    <w:p>
      <w:pPr>
        <w:ind w:firstLine="480"/>
        <w:rPr>
          <w:color w:val="000000"/>
        </w:rPr>
      </w:pPr>
      <w:r>
        <w:rPr>
          <w:color w:val="000000"/>
          <w:lang w:val="zh-CN"/>
        </w:rPr>
        <w:t>根据企业的原辅材料、产品及“三废”情况，根据风险源涉及的风险物质的最大储存量，对照突发环境事件风险评估指南，以及《企业突发环境事件风险分级方法（发布稿）》（2018年3月1日）附录</w:t>
      </w:r>
      <w:r>
        <w:rPr>
          <w:color w:val="000000"/>
        </w:rPr>
        <w:t>A</w:t>
      </w:r>
      <w:r>
        <w:rPr>
          <w:color w:val="000000"/>
          <w:lang w:val="zh-CN"/>
        </w:rPr>
        <w:t>临界量所涉及危化品</w:t>
      </w:r>
      <w:r>
        <w:rPr>
          <w:color w:val="000000"/>
        </w:rPr>
        <w:t>，识别出发生事故后可能对环境产生风险的化学物质。按照表3.1-1对物质进行风险识别。</w:t>
      </w:r>
    </w:p>
    <w:p>
      <w:pPr>
        <w:ind w:firstLine="0" w:firstLineChars="0"/>
        <w:jc w:val="center"/>
      </w:pPr>
      <w:bookmarkStart w:id="645" w:name="_Toc15280_WPSOffice_Level3"/>
      <w:bookmarkStart w:id="646" w:name="_Toc4644_WPSOffice_Level3"/>
      <w:bookmarkStart w:id="647" w:name="_Toc22030_WPSOffice_Level3"/>
      <w:bookmarkStart w:id="648" w:name="_Toc3429_WPSOffice_Level3"/>
      <w:r>
        <w:rPr>
          <w:b/>
          <w:bCs/>
          <w:sz w:val="21"/>
        </w:rPr>
        <w:t>表3.1-1  企业环境风险物质识别</w:t>
      </w:r>
      <w:bookmarkEnd w:id="645"/>
      <w:bookmarkEnd w:id="646"/>
      <w:bookmarkEnd w:id="647"/>
      <w:bookmarkEnd w:id="64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909"/>
        <w:gridCol w:w="1150"/>
        <w:gridCol w:w="1276"/>
        <w:gridCol w:w="1283"/>
        <w:gridCol w:w="984"/>
        <w:gridCol w:w="1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26" w:type="dxa"/>
            <w:noWrap w:val="0"/>
            <w:vAlign w:val="center"/>
          </w:tcPr>
          <w:p>
            <w:pPr>
              <w:ind w:firstLine="0" w:firstLineChars="0"/>
              <w:rPr>
                <w:color w:val="000000"/>
                <w:sz w:val="21"/>
              </w:rPr>
            </w:pPr>
            <w:r>
              <w:rPr>
                <w:color w:val="000000"/>
                <w:sz w:val="21"/>
              </w:rPr>
              <w:t>风险物质类型</w:t>
            </w:r>
          </w:p>
        </w:tc>
        <w:tc>
          <w:tcPr>
            <w:tcW w:w="909" w:type="dxa"/>
            <w:noWrap w:val="0"/>
            <w:vAlign w:val="center"/>
          </w:tcPr>
          <w:p>
            <w:pPr>
              <w:ind w:firstLine="0" w:firstLineChars="0"/>
              <w:rPr>
                <w:color w:val="000000"/>
                <w:sz w:val="21"/>
              </w:rPr>
            </w:pPr>
            <w:r>
              <w:rPr>
                <w:color w:val="000000"/>
                <w:sz w:val="21"/>
              </w:rPr>
              <w:t>序号</w:t>
            </w:r>
          </w:p>
        </w:tc>
        <w:tc>
          <w:tcPr>
            <w:tcW w:w="1150" w:type="dxa"/>
            <w:noWrap w:val="0"/>
            <w:vAlign w:val="center"/>
          </w:tcPr>
          <w:p>
            <w:pPr>
              <w:ind w:firstLine="0" w:firstLineChars="0"/>
              <w:rPr>
                <w:color w:val="000000"/>
                <w:sz w:val="21"/>
              </w:rPr>
            </w:pPr>
            <w:r>
              <w:rPr>
                <w:color w:val="000000"/>
                <w:sz w:val="21"/>
              </w:rPr>
              <w:t>化学品名称</w:t>
            </w:r>
          </w:p>
        </w:tc>
        <w:tc>
          <w:tcPr>
            <w:tcW w:w="1276" w:type="dxa"/>
            <w:noWrap w:val="0"/>
            <w:vAlign w:val="center"/>
          </w:tcPr>
          <w:p>
            <w:pPr>
              <w:ind w:firstLine="0" w:firstLineChars="0"/>
              <w:rPr>
                <w:color w:val="000000"/>
                <w:sz w:val="21"/>
              </w:rPr>
            </w:pPr>
            <w:r>
              <w:rPr>
                <w:color w:val="000000"/>
                <w:sz w:val="21"/>
              </w:rPr>
              <w:t>存放地点</w:t>
            </w:r>
          </w:p>
        </w:tc>
        <w:tc>
          <w:tcPr>
            <w:tcW w:w="1283" w:type="dxa"/>
            <w:noWrap w:val="0"/>
            <w:vAlign w:val="center"/>
          </w:tcPr>
          <w:p>
            <w:pPr>
              <w:ind w:firstLine="0" w:firstLineChars="0"/>
              <w:rPr>
                <w:color w:val="000000"/>
                <w:sz w:val="21"/>
              </w:rPr>
            </w:pPr>
            <w:r>
              <w:rPr>
                <w:color w:val="000000"/>
                <w:sz w:val="21"/>
              </w:rPr>
              <w:t>最大存储量（t）</w:t>
            </w:r>
          </w:p>
        </w:tc>
        <w:tc>
          <w:tcPr>
            <w:tcW w:w="984" w:type="dxa"/>
            <w:noWrap w:val="0"/>
            <w:vAlign w:val="center"/>
          </w:tcPr>
          <w:p>
            <w:pPr>
              <w:ind w:firstLine="0" w:firstLineChars="0"/>
              <w:rPr>
                <w:color w:val="000000"/>
                <w:sz w:val="21"/>
              </w:rPr>
            </w:pPr>
            <w:r>
              <w:rPr>
                <w:color w:val="000000"/>
                <w:sz w:val="21"/>
              </w:rPr>
              <w:t>储存方式</w:t>
            </w:r>
          </w:p>
        </w:tc>
        <w:tc>
          <w:tcPr>
            <w:tcW w:w="1894" w:type="dxa"/>
            <w:noWrap w:val="0"/>
            <w:vAlign w:val="center"/>
          </w:tcPr>
          <w:p>
            <w:pPr>
              <w:ind w:firstLine="0" w:firstLineChars="0"/>
              <w:rPr>
                <w:color w:val="000000"/>
                <w:sz w:val="21"/>
              </w:rPr>
            </w:pPr>
            <w:r>
              <w:rPr>
                <w:color w:val="000000"/>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026" w:type="dxa"/>
            <w:vMerge w:val="restart"/>
            <w:noWrap w:val="0"/>
            <w:vAlign w:val="center"/>
          </w:tcPr>
          <w:p>
            <w:pPr>
              <w:ind w:firstLine="0" w:firstLineChars="0"/>
              <w:rPr>
                <w:color w:val="000000"/>
                <w:sz w:val="21"/>
              </w:rPr>
            </w:pPr>
            <w:r>
              <w:rPr>
                <w:color w:val="000000"/>
                <w:sz w:val="21"/>
              </w:rPr>
              <w:t>涉气风险物质</w:t>
            </w:r>
          </w:p>
        </w:tc>
        <w:tc>
          <w:tcPr>
            <w:tcW w:w="909" w:type="dxa"/>
            <w:noWrap w:val="0"/>
            <w:vAlign w:val="center"/>
          </w:tcPr>
          <w:p>
            <w:pPr>
              <w:ind w:firstLine="0" w:firstLineChars="0"/>
              <w:rPr>
                <w:color w:val="000000"/>
                <w:sz w:val="21"/>
              </w:rPr>
            </w:pPr>
            <w:r>
              <w:rPr>
                <w:color w:val="000000"/>
                <w:sz w:val="21"/>
              </w:rPr>
              <w:t>1</w:t>
            </w:r>
          </w:p>
        </w:tc>
        <w:tc>
          <w:tcPr>
            <w:tcW w:w="1150" w:type="dxa"/>
            <w:noWrap w:val="0"/>
            <w:vAlign w:val="center"/>
          </w:tcPr>
          <w:p>
            <w:pPr>
              <w:ind w:firstLine="0" w:firstLineChars="0"/>
              <w:rPr>
                <w:color w:val="000000"/>
                <w:sz w:val="21"/>
              </w:rPr>
            </w:pPr>
            <w:r>
              <w:rPr>
                <w:color w:val="000000"/>
                <w:sz w:val="21"/>
              </w:rPr>
              <w:t>氨水</w:t>
            </w:r>
          </w:p>
        </w:tc>
        <w:tc>
          <w:tcPr>
            <w:tcW w:w="1276" w:type="dxa"/>
            <w:noWrap w:val="0"/>
            <w:vAlign w:val="center"/>
          </w:tcPr>
          <w:p>
            <w:pPr>
              <w:ind w:firstLine="0" w:firstLineChars="0"/>
              <w:rPr>
                <w:color w:val="000000"/>
                <w:sz w:val="21"/>
              </w:rPr>
            </w:pPr>
            <w:r>
              <w:rPr>
                <w:color w:val="000000"/>
                <w:sz w:val="21"/>
              </w:rPr>
              <w:t>氨水储罐</w:t>
            </w:r>
          </w:p>
        </w:tc>
        <w:tc>
          <w:tcPr>
            <w:tcW w:w="1283" w:type="dxa"/>
            <w:noWrap w:val="0"/>
            <w:vAlign w:val="center"/>
          </w:tcPr>
          <w:p>
            <w:pPr>
              <w:ind w:firstLine="0" w:firstLineChars="0"/>
              <w:rPr>
                <w:color w:val="000000"/>
                <w:sz w:val="21"/>
              </w:rPr>
            </w:pPr>
            <w:r>
              <w:rPr>
                <w:color w:val="000000"/>
                <w:sz w:val="21"/>
              </w:rPr>
              <w:t>30（</w:t>
            </w:r>
            <w:r>
              <w:rPr>
                <w:rFonts w:hint="eastAsia"/>
                <w:color w:val="000000"/>
                <w:sz w:val="21"/>
              </w:rPr>
              <w:t>折算后为6.6t）</w:t>
            </w:r>
          </w:p>
        </w:tc>
        <w:tc>
          <w:tcPr>
            <w:tcW w:w="984" w:type="dxa"/>
            <w:noWrap w:val="0"/>
            <w:vAlign w:val="center"/>
          </w:tcPr>
          <w:p>
            <w:pPr>
              <w:ind w:firstLine="0" w:firstLineChars="0"/>
              <w:rPr>
                <w:color w:val="000000"/>
                <w:sz w:val="21"/>
              </w:rPr>
            </w:pPr>
            <w:r>
              <w:rPr>
                <w:color w:val="000000"/>
                <w:sz w:val="21"/>
              </w:rPr>
              <w:t>储存罐</w:t>
            </w:r>
          </w:p>
        </w:tc>
        <w:tc>
          <w:tcPr>
            <w:tcW w:w="1894" w:type="dxa"/>
            <w:noWrap w:val="0"/>
            <w:vAlign w:val="center"/>
          </w:tcPr>
          <w:p>
            <w:pPr>
              <w:ind w:firstLine="0" w:firstLineChars="0"/>
              <w:rPr>
                <w:color w:val="000000"/>
                <w:sz w:val="21"/>
              </w:rPr>
            </w:pPr>
            <w:r>
              <w:rPr>
                <w:color w:val="000000"/>
                <w:sz w:val="21"/>
              </w:rPr>
              <w:t>17％-22％含量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dxa"/>
            <w:vMerge w:val="continue"/>
            <w:noWrap w:val="0"/>
            <w:vAlign w:val="center"/>
          </w:tcPr>
          <w:p>
            <w:pPr>
              <w:ind w:firstLine="0" w:firstLineChars="0"/>
              <w:rPr>
                <w:color w:val="000000"/>
                <w:sz w:val="21"/>
              </w:rPr>
            </w:pPr>
          </w:p>
        </w:tc>
        <w:tc>
          <w:tcPr>
            <w:tcW w:w="3335" w:type="dxa"/>
            <w:gridSpan w:val="3"/>
            <w:noWrap w:val="0"/>
            <w:vAlign w:val="center"/>
          </w:tcPr>
          <w:p>
            <w:pPr>
              <w:ind w:firstLine="0" w:firstLineChars="0"/>
              <w:rPr>
                <w:color w:val="000000"/>
                <w:sz w:val="21"/>
              </w:rPr>
            </w:pPr>
            <w:r>
              <w:rPr>
                <w:color w:val="000000"/>
                <w:sz w:val="21"/>
              </w:rPr>
              <w:t>合计</w:t>
            </w:r>
          </w:p>
        </w:tc>
        <w:tc>
          <w:tcPr>
            <w:tcW w:w="4161" w:type="dxa"/>
            <w:gridSpan w:val="3"/>
            <w:noWrap w:val="0"/>
            <w:vAlign w:val="center"/>
          </w:tcPr>
          <w:p>
            <w:pPr>
              <w:ind w:firstLine="0" w:firstLineChars="0"/>
              <w:jc w:val="center"/>
              <w:rPr>
                <w:color w:val="000000"/>
                <w:sz w:val="21"/>
              </w:rPr>
            </w:pPr>
            <w:r>
              <w:rPr>
                <w:color w:val="000000"/>
                <w:sz w:val="21"/>
              </w:rPr>
              <w:t>30t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26" w:type="dxa"/>
            <w:vMerge w:val="restart"/>
            <w:noWrap w:val="0"/>
            <w:vAlign w:val="center"/>
          </w:tcPr>
          <w:p>
            <w:pPr>
              <w:ind w:firstLine="0" w:firstLineChars="0"/>
              <w:rPr>
                <w:color w:val="000000"/>
                <w:sz w:val="21"/>
              </w:rPr>
            </w:pPr>
            <w:r>
              <w:rPr>
                <w:color w:val="000000"/>
                <w:sz w:val="21"/>
              </w:rPr>
              <w:t>涉水风险物质</w:t>
            </w:r>
          </w:p>
        </w:tc>
        <w:tc>
          <w:tcPr>
            <w:tcW w:w="909" w:type="dxa"/>
            <w:noWrap w:val="0"/>
            <w:vAlign w:val="center"/>
          </w:tcPr>
          <w:p>
            <w:pPr>
              <w:ind w:firstLine="0" w:firstLineChars="0"/>
              <w:rPr>
                <w:color w:val="000000"/>
                <w:sz w:val="21"/>
              </w:rPr>
            </w:pPr>
            <w:r>
              <w:rPr>
                <w:color w:val="000000"/>
                <w:sz w:val="21"/>
              </w:rPr>
              <w:t>1</w:t>
            </w:r>
          </w:p>
        </w:tc>
        <w:tc>
          <w:tcPr>
            <w:tcW w:w="1150" w:type="dxa"/>
            <w:noWrap w:val="0"/>
            <w:vAlign w:val="center"/>
          </w:tcPr>
          <w:p>
            <w:pPr>
              <w:ind w:firstLine="0" w:firstLineChars="0"/>
              <w:rPr>
                <w:color w:val="000000"/>
                <w:sz w:val="21"/>
              </w:rPr>
            </w:pPr>
            <w:r>
              <w:rPr>
                <w:color w:val="000000"/>
                <w:sz w:val="21"/>
              </w:rPr>
              <w:t>氨水</w:t>
            </w:r>
          </w:p>
        </w:tc>
        <w:tc>
          <w:tcPr>
            <w:tcW w:w="1276" w:type="dxa"/>
            <w:noWrap w:val="0"/>
            <w:vAlign w:val="center"/>
          </w:tcPr>
          <w:p>
            <w:pPr>
              <w:ind w:firstLine="0" w:firstLineChars="0"/>
              <w:rPr>
                <w:color w:val="000000"/>
                <w:sz w:val="21"/>
              </w:rPr>
            </w:pPr>
            <w:r>
              <w:rPr>
                <w:color w:val="000000"/>
                <w:sz w:val="21"/>
              </w:rPr>
              <w:t>氨水储罐</w:t>
            </w:r>
          </w:p>
        </w:tc>
        <w:tc>
          <w:tcPr>
            <w:tcW w:w="1283" w:type="dxa"/>
            <w:noWrap w:val="0"/>
            <w:vAlign w:val="center"/>
          </w:tcPr>
          <w:p>
            <w:pPr>
              <w:ind w:firstLine="0" w:firstLineChars="0"/>
              <w:rPr>
                <w:color w:val="000000"/>
                <w:sz w:val="21"/>
              </w:rPr>
            </w:pPr>
            <w:r>
              <w:rPr>
                <w:color w:val="000000"/>
                <w:sz w:val="21"/>
              </w:rPr>
              <w:t>30</w:t>
            </w:r>
          </w:p>
        </w:tc>
        <w:tc>
          <w:tcPr>
            <w:tcW w:w="984" w:type="dxa"/>
            <w:noWrap w:val="0"/>
            <w:vAlign w:val="center"/>
          </w:tcPr>
          <w:p>
            <w:pPr>
              <w:ind w:firstLine="0" w:firstLineChars="0"/>
              <w:rPr>
                <w:color w:val="000000"/>
                <w:sz w:val="21"/>
              </w:rPr>
            </w:pPr>
            <w:r>
              <w:rPr>
                <w:color w:val="000000"/>
                <w:sz w:val="21"/>
              </w:rPr>
              <w:t>储存罐</w:t>
            </w:r>
          </w:p>
        </w:tc>
        <w:tc>
          <w:tcPr>
            <w:tcW w:w="1894" w:type="dxa"/>
            <w:noWrap w:val="0"/>
            <w:vAlign w:val="center"/>
          </w:tcPr>
          <w:p>
            <w:pPr>
              <w:ind w:firstLine="0" w:firstLineChars="0"/>
              <w:rPr>
                <w:color w:val="000000"/>
                <w:sz w:val="21"/>
              </w:rPr>
            </w:pPr>
            <w:r>
              <w:rPr>
                <w:color w:val="000000"/>
                <w:sz w:val="21"/>
              </w:rPr>
              <w:t>17％-22％含量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dxa"/>
            <w:vMerge w:val="continue"/>
            <w:noWrap w:val="0"/>
            <w:vAlign w:val="center"/>
          </w:tcPr>
          <w:p>
            <w:pPr>
              <w:ind w:firstLine="0" w:firstLineChars="0"/>
              <w:rPr>
                <w:color w:val="000000"/>
                <w:sz w:val="21"/>
              </w:rPr>
            </w:pPr>
          </w:p>
        </w:tc>
        <w:tc>
          <w:tcPr>
            <w:tcW w:w="909" w:type="dxa"/>
            <w:noWrap w:val="0"/>
            <w:vAlign w:val="center"/>
          </w:tcPr>
          <w:p>
            <w:pPr>
              <w:ind w:firstLine="0" w:firstLineChars="0"/>
              <w:rPr>
                <w:color w:val="000000"/>
                <w:sz w:val="21"/>
              </w:rPr>
            </w:pPr>
            <w:r>
              <w:rPr>
                <w:color w:val="000000"/>
                <w:sz w:val="21"/>
              </w:rPr>
              <w:t>2</w:t>
            </w:r>
          </w:p>
        </w:tc>
        <w:tc>
          <w:tcPr>
            <w:tcW w:w="1150" w:type="dxa"/>
            <w:noWrap w:val="0"/>
            <w:vAlign w:val="center"/>
          </w:tcPr>
          <w:p>
            <w:pPr>
              <w:ind w:firstLine="0" w:firstLineChars="0"/>
              <w:rPr>
                <w:color w:val="000000"/>
                <w:sz w:val="21"/>
              </w:rPr>
            </w:pPr>
            <w:r>
              <w:rPr>
                <w:color w:val="000000"/>
                <w:sz w:val="21"/>
              </w:rPr>
              <w:t>润滑油</w:t>
            </w:r>
          </w:p>
        </w:tc>
        <w:tc>
          <w:tcPr>
            <w:tcW w:w="1276" w:type="dxa"/>
            <w:noWrap w:val="0"/>
            <w:vAlign w:val="center"/>
          </w:tcPr>
          <w:p>
            <w:pPr>
              <w:ind w:firstLine="0" w:firstLineChars="0"/>
              <w:rPr>
                <w:color w:val="000000"/>
                <w:sz w:val="21"/>
              </w:rPr>
            </w:pPr>
            <w:r>
              <w:rPr>
                <w:color w:val="000000"/>
                <w:sz w:val="21"/>
              </w:rPr>
              <w:t>润滑油库房</w:t>
            </w:r>
          </w:p>
        </w:tc>
        <w:tc>
          <w:tcPr>
            <w:tcW w:w="1283" w:type="dxa"/>
            <w:noWrap w:val="0"/>
            <w:vAlign w:val="center"/>
          </w:tcPr>
          <w:p>
            <w:pPr>
              <w:ind w:firstLine="0" w:firstLineChars="0"/>
              <w:rPr>
                <w:color w:val="000000"/>
                <w:sz w:val="21"/>
              </w:rPr>
            </w:pPr>
            <w:r>
              <w:rPr>
                <w:color w:val="000000"/>
                <w:sz w:val="21"/>
              </w:rPr>
              <w:t>0.6</w:t>
            </w:r>
          </w:p>
        </w:tc>
        <w:tc>
          <w:tcPr>
            <w:tcW w:w="984" w:type="dxa"/>
            <w:noWrap w:val="0"/>
            <w:vAlign w:val="center"/>
          </w:tcPr>
          <w:p>
            <w:pPr>
              <w:ind w:firstLine="0" w:firstLineChars="0"/>
              <w:rPr>
                <w:color w:val="000000"/>
                <w:sz w:val="21"/>
              </w:rPr>
            </w:pPr>
            <w:r>
              <w:rPr>
                <w:color w:val="000000"/>
                <w:sz w:val="21"/>
              </w:rPr>
              <w:t>70kg/桶</w:t>
            </w:r>
          </w:p>
        </w:tc>
        <w:tc>
          <w:tcPr>
            <w:tcW w:w="1894" w:type="dxa"/>
            <w:noWrap w:val="0"/>
            <w:vAlign w:val="center"/>
          </w:tcPr>
          <w:p>
            <w:pPr>
              <w:ind w:firstLine="0" w:firstLineChars="0"/>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dxa"/>
            <w:vMerge w:val="continue"/>
            <w:noWrap w:val="0"/>
            <w:vAlign w:val="center"/>
          </w:tcPr>
          <w:p>
            <w:pPr>
              <w:ind w:firstLine="0" w:firstLineChars="0"/>
              <w:rPr>
                <w:color w:val="000000"/>
                <w:sz w:val="21"/>
              </w:rPr>
            </w:pPr>
          </w:p>
        </w:tc>
        <w:tc>
          <w:tcPr>
            <w:tcW w:w="909" w:type="dxa"/>
            <w:noWrap w:val="0"/>
            <w:vAlign w:val="center"/>
          </w:tcPr>
          <w:p>
            <w:pPr>
              <w:ind w:firstLine="0" w:firstLineChars="0"/>
              <w:rPr>
                <w:color w:val="000000"/>
                <w:sz w:val="21"/>
              </w:rPr>
            </w:pPr>
            <w:r>
              <w:rPr>
                <w:color w:val="000000"/>
                <w:sz w:val="21"/>
              </w:rPr>
              <w:t>3</w:t>
            </w:r>
          </w:p>
        </w:tc>
        <w:tc>
          <w:tcPr>
            <w:tcW w:w="1150" w:type="dxa"/>
            <w:noWrap w:val="0"/>
            <w:vAlign w:val="center"/>
          </w:tcPr>
          <w:p>
            <w:pPr>
              <w:ind w:firstLine="0" w:firstLineChars="0"/>
              <w:rPr>
                <w:color w:val="000000"/>
                <w:sz w:val="21"/>
              </w:rPr>
            </w:pPr>
            <w:r>
              <w:rPr>
                <w:color w:val="000000"/>
                <w:sz w:val="21"/>
              </w:rPr>
              <w:t>柴油</w:t>
            </w:r>
          </w:p>
        </w:tc>
        <w:tc>
          <w:tcPr>
            <w:tcW w:w="1276" w:type="dxa"/>
            <w:noWrap w:val="0"/>
            <w:vAlign w:val="center"/>
          </w:tcPr>
          <w:p>
            <w:pPr>
              <w:ind w:firstLine="0" w:firstLineChars="0"/>
              <w:rPr>
                <w:color w:val="000000"/>
                <w:sz w:val="21"/>
              </w:rPr>
            </w:pPr>
            <w:r>
              <w:rPr>
                <w:color w:val="000000"/>
                <w:sz w:val="21"/>
              </w:rPr>
              <w:t>柴油储罐</w:t>
            </w:r>
          </w:p>
        </w:tc>
        <w:tc>
          <w:tcPr>
            <w:tcW w:w="1283" w:type="dxa"/>
            <w:noWrap w:val="0"/>
            <w:vAlign w:val="center"/>
          </w:tcPr>
          <w:p>
            <w:pPr>
              <w:ind w:firstLine="0" w:firstLineChars="0"/>
              <w:rPr>
                <w:color w:val="000000"/>
                <w:sz w:val="21"/>
              </w:rPr>
            </w:pPr>
            <w:r>
              <w:rPr>
                <w:color w:val="000000"/>
                <w:sz w:val="21"/>
              </w:rPr>
              <w:t>15</w:t>
            </w:r>
          </w:p>
        </w:tc>
        <w:tc>
          <w:tcPr>
            <w:tcW w:w="984" w:type="dxa"/>
            <w:noWrap w:val="0"/>
            <w:vAlign w:val="center"/>
          </w:tcPr>
          <w:p>
            <w:pPr>
              <w:ind w:firstLine="0" w:firstLineChars="0"/>
              <w:rPr>
                <w:color w:val="000000"/>
                <w:sz w:val="21"/>
              </w:rPr>
            </w:pPr>
            <w:r>
              <w:rPr>
                <w:color w:val="000000"/>
                <w:sz w:val="21"/>
              </w:rPr>
              <w:t>储存罐</w:t>
            </w:r>
          </w:p>
        </w:tc>
        <w:tc>
          <w:tcPr>
            <w:tcW w:w="1894" w:type="dxa"/>
            <w:noWrap w:val="0"/>
            <w:vAlign w:val="center"/>
          </w:tcPr>
          <w:p>
            <w:pPr>
              <w:ind w:firstLine="0" w:firstLineChars="0"/>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dxa"/>
            <w:vMerge w:val="continue"/>
            <w:noWrap w:val="0"/>
            <w:vAlign w:val="center"/>
          </w:tcPr>
          <w:p>
            <w:pPr>
              <w:ind w:firstLine="0" w:firstLineChars="0"/>
              <w:rPr>
                <w:color w:val="000000"/>
                <w:sz w:val="21"/>
              </w:rPr>
            </w:pPr>
          </w:p>
        </w:tc>
        <w:tc>
          <w:tcPr>
            <w:tcW w:w="909" w:type="dxa"/>
            <w:noWrap w:val="0"/>
            <w:vAlign w:val="center"/>
          </w:tcPr>
          <w:p>
            <w:pPr>
              <w:ind w:firstLine="0" w:firstLineChars="0"/>
              <w:rPr>
                <w:color w:val="000000"/>
                <w:sz w:val="21"/>
              </w:rPr>
            </w:pPr>
            <w:r>
              <w:rPr>
                <w:color w:val="000000"/>
                <w:sz w:val="21"/>
              </w:rPr>
              <w:t>4</w:t>
            </w:r>
          </w:p>
        </w:tc>
        <w:tc>
          <w:tcPr>
            <w:tcW w:w="1150" w:type="dxa"/>
            <w:noWrap w:val="0"/>
            <w:vAlign w:val="center"/>
          </w:tcPr>
          <w:p>
            <w:pPr>
              <w:ind w:firstLine="0" w:firstLineChars="0"/>
              <w:rPr>
                <w:color w:val="000000"/>
                <w:sz w:val="21"/>
              </w:rPr>
            </w:pPr>
            <w:r>
              <w:rPr>
                <w:color w:val="000000"/>
                <w:sz w:val="21"/>
              </w:rPr>
              <w:t>危险废物</w:t>
            </w:r>
          </w:p>
        </w:tc>
        <w:tc>
          <w:tcPr>
            <w:tcW w:w="1276" w:type="dxa"/>
            <w:noWrap w:val="0"/>
            <w:vAlign w:val="center"/>
          </w:tcPr>
          <w:p>
            <w:pPr>
              <w:ind w:firstLine="0" w:firstLineChars="0"/>
              <w:rPr>
                <w:color w:val="000000"/>
                <w:sz w:val="21"/>
              </w:rPr>
            </w:pPr>
            <w:r>
              <w:rPr>
                <w:color w:val="000000"/>
                <w:sz w:val="21"/>
              </w:rPr>
              <w:t>危险废物区</w:t>
            </w:r>
          </w:p>
        </w:tc>
        <w:tc>
          <w:tcPr>
            <w:tcW w:w="1283" w:type="dxa"/>
            <w:noWrap w:val="0"/>
            <w:vAlign w:val="center"/>
          </w:tcPr>
          <w:p>
            <w:pPr>
              <w:ind w:firstLine="0" w:firstLineChars="0"/>
              <w:rPr>
                <w:color w:val="000000"/>
                <w:sz w:val="21"/>
              </w:rPr>
            </w:pPr>
            <w:r>
              <w:rPr>
                <w:color w:val="000000"/>
                <w:sz w:val="21"/>
              </w:rPr>
              <w:t>0.5</w:t>
            </w:r>
          </w:p>
        </w:tc>
        <w:tc>
          <w:tcPr>
            <w:tcW w:w="984" w:type="dxa"/>
            <w:noWrap w:val="0"/>
            <w:vAlign w:val="center"/>
          </w:tcPr>
          <w:p>
            <w:pPr>
              <w:ind w:firstLine="0" w:firstLineChars="0"/>
              <w:rPr>
                <w:color w:val="000000"/>
                <w:sz w:val="21"/>
              </w:rPr>
            </w:pPr>
            <w:r>
              <w:rPr>
                <w:color w:val="000000"/>
                <w:sz w:val="21"/>
              </w:rPr>
              <w:t>170kg/桶</w:t>
            </w:r>
          </w:p>
        </w:tc>
        <w:tc>
          <w:tcPr>
            <w:tcW w:w="1894" w:type="dxa"/>
            <w:noWrap w:val="0"/>
            <w:vAlign w:val="center"/>
          </w:tcPr>
          <w:p>
            <w:pPr>
              <w:ind w:firstLine="0" w:firstLineChars="0"/>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6" w:type="dxa"/>
            <w:vMerge w:val="continue"/>
            <w:noWrap w:val="0"/>
            <w:vAlign w:val="center"/>
          </w:tcPr>
          <w:p>
            <w:pPr>
              <w:ind w:firstLine="420"/>
              <w:jc w:val="center"/>
              <w:rPr>
                <w:color w:val="000000"/>
                <w:sz w:val="21"/>
              </w:rPr>
            </w:pPr>
          </w:p>
        </w:tc>
        <w:tc>
          <w:tcPr>
            <w:tcW w:w="3335" w:type="dxa"/>
            <w:gridSpan w:val="3"/>
            <w:tcBorders>
              <w:bottom w:val="single" w:color="auto" w:sz="4" w:space="0"/>
            </w:tcBorders>
            <w:noWrap w:val="0"/>
            <w:vAlign w:val="center"/>
          </w:tcPr>
          <w:p>
            <w:pPr>
              <w:ind w:firstLine="420"/>
              <w:jc w:val="center"/>
              <w:rPr>
                <w:color w:val="000000"/>
                <w:sz w:val="21"/>
              </w:rPr>
            </w:pPr>
            <w:r>
              <w:rPr>
                <w:color w:val="000000"/>
                <w:sz w:val="21"/>
              </w:rPr>
              <w:t>合计</w:t>
            </w:r>
          </w:p>
        </w:tc>
        <w:tc>
          <w:tcPr>
            <w:tcW w:w="4161" w:type="dxa"/>
            <w:gridSpan w:val="3"/>
            <w:tcBorders>
              <w:bottom w:val="single" w:color="auto" w:sz="4" w:space="0"/>
            </w:tcBorders>
            <w:noWrap w:val="0"/>
            <w:vAlign w:val="center"/>
          </w:tcPr>
          <w:p>
            <w:pPr>
              <w:ind w:firstLine="420"/>
              <w:jc w:val="center"/>
              <w:rPr>
                <w:color w:val="000000"/>
                <w:sz w:val="21"/>
              </w:rPr>
            </w:pPr>
            <w:r>
              <w:rPr>
                <w:color w:val="000000"/>
                <w:sz w:val="21"/>
              </w:rPr>
              <w:t>46.1t</w:t>
            </w:r>
          </w:p>
        </w:tc>
      </w:tr>
    </w:tbl>
    <w:p>
      <w:pPr>
        <w:ind w:firstLine="480"/>
      </w:pPr>
    </w:p>
    <w:p>
      <w:pPr>
        <w:ind w:firstLine="480"/>
      </w:pPr>
      <w:r>
        <w:t>根据上表可知，企业涉及的环境风险物质氨水、柴油、润滑油、危险废物。</w:t>
      </w:r>
    </w:p>
    <w:p>
      <w:pPr>
        <w:pStyle w:val="2"/>
        <w:keepNext w:val="0"/>
        <w:keepLines w:val="0"/>
        <w:spacing w:line="240" w:lineRule="auto"/>
        <w:ind w:firstLine="602"/>
        <w:rPr>
          <w:rFonts w:ascii="Times New Roman" w:hAnsi="Times New Roman"/>
          <w:color w:val="000000"/>
          <w:lang w:val="zh-CN"/>
        </w:rPr>
      </w:pPr>
      <w:bookmarkStart w:id="649" w:name="_Toc531529730"/>
      <w:bookmarkStart w:id="650" w:name="_Toc12308_WPSOffice_Level2"/>
      <w:bookmarkStart w:id="651" w:name="_Toc20519_WPSOffice_Level2"/>
      <w:bookmarkStart w:id="652" w:name="_Toc14852"/>
      <w:bookmarkStart w:id="653" w:name="_Toc28145"/>
      <w:bookmarkStart w:id="654" w:name="_Toc9952"/>
      <w:r>
        <w:rPr>
          <w:rFonts w:ascii="Times New Roman" w:hAnsi="Times New Roman"/>
          <w:color w:val="000000"/>
          <w:lang w:val="zh-CN"/>
        </w:rPr>
        <w:t>3.2 环境风险</w:t>
      </w:r>
      <w:bookmarkEnd w:id="649"/>
      <w:r>
        <w:rPr>
          <w:rFonts w:ascii="Times New Roman" w:hAnsi="Times New Roman"/>
          <w:color w:val="000000"/>
          <w:lang w:val="zh-CN"/>
        </w:rPr>
        <w:t>单元</w:t>
      </w:r>
      <w:bookmarkEnd w:id="650"/>
      <w:bookmarkEnd w:id="651"/>
      <w:bookmarkEnd w:id="652"/>
      <w:bookmarkEnd w:id="653"/>
      <w:bookmarkEnd w:id="654"/>
    </w:p>
    <w:p>
      <w:pPr>
        <w:ind w:firstLine="480"/>
        <w:rPr>
          <w:color w:val="000000"/>
        </w:rPr>
      </w:pPr>
      <w:bookmarkStart w:id="655" w:name="_Toc294620541"/>
      <w:bookmarkStart w:id="656" w:name="_Toc295467932"/>
      <w:bookmarkStart w:id="657" w:name="_Toc294871955"/>
      <w:bookmarkStart w:id="658" w:name="_Toc294620740"/>
      <w:bookmarkStart w:id="659" w:name="_Toc295393573"/>
      <w:r>
        <w:rPr>
          <w:color w:val="000000"/>
        </w:rPr>
        <w:t>根据现场踏勘，企业涉及环境风险物质单元、设施及物质情况见表3.2-1所示。</w:t>
      </w:r>
      <w:bookmarkStart w:id="660" w:name="_Toc21087_WPSOffice_Level3"/>
      <w:bookmarkStart w:id="661" w:name="_Toc13477_WPSOffice_Level3"/>
    </w:p>
    <w:p>
      <w:pPr>
        <w:adjustRightInd w:val="0"/>
        <w:snapToGrid w:val="0"/>
        <w:ind w:firstLine="0" w:firstLineChars="0"/>
        <w:jc w:val="center"/>
        <w:rPr>
          <w:color w:val="000000"/>
        </w:rPr>
      </w:pPr>
      <w:r>
        <w:rPr>
          <w:b/>
          <w:bCs/>
          <w:color w:val="000000"/>
          <w:sz w:val="21"/>
        </w:rPr>
        <w:t>表3.2-1  环境风险单元、设施及物质情况</w:t>
      </w:r>
      <w:bookmarkEnd w:id="660"/>
      <w:bookmarkEnd w:id="66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989"/>
        <w:gridCol w:w="1864"/>
        <w:gridCol w:w="2957"/>
        <w:gridCol w:w="1093"/>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tblHeader/>
          <w:jc w:val="center"/>
        </w:trPr>
        <w:tc>
          <w:tcPr>
            <w:tcW w:w="43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序号</w:t>
            </w:r>
          </w:p>
        </w:tc>
        <w:tc>
          <w:tcPr>
            <w:tcW w:w="989"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风险单元</w:t>
            </w:r>
          </w:p>
        </w:tc>
        <w:tc>
          <w:tcPr>
            <w:tcW w:w="1864"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物质名称</w:t>
            </w:r>
          </w:p>
        </w:tc>
        <w:tc>
          <w:tcPr>
            <w:tcW w:w="295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ind w:firstLine="420" w:firstLineChars="200"/>
              <w:jc w:val="both"/>
              <w:rPr>
                <w:rFonts w:ascii="Times New Roman" w:hAnsi="Times New Roman"/>
                <w:color w:val="000000"/>
                <w:szCs w:val="21"/>
              </w:rPr>
            </w:pPr>
            <w:r>
              <w:rPr>
                <w:rFonts w:ascii="Times New Roman" w:hAnsi="Times New Roman"/>
                <w:color w:val="000000"/>
                <w:szCs w:val="21"/>
              </w:rPr>
              <w:t>主要成分及质量分数（%）</w:t>
            </w:r>
          </w:p>
        </w:tc>
        <w:tc>
          <w:tcPr>
            <w:tcW w:w="10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参数</w:t>
            </w:r>
          </w:p>
        </w:tc>
        <w:tc>
          <w:tcPr>
            <w:tcW w:w="9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最大储存量(t/a)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43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1</w:t>
            </w:r>
          </w:p>
        </w:tc>
        <w:tc>
          <w:tcPr>
            <w:tcW w:w="989"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氨水储罐</w:t>
            </w:r>
          </w:p>
        </w:tc>
        <w:tc>
          <w:tcPr>
            <w:tcW w:w="1864"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ind w:firstLine="420" w:firstLineChars="200"/>
              <w:jc w:val="both"/>
              <w:rPr>
                <w:rFonts w:ascii="Times New Roman" w:hAnsi="Times New Roman"/>
                <w:color w:val="000000"/>
                <w:szCs w:val="21"/>
              </w:rPr>
            </w:pPr>
            <w:r>
              <w:rPr>
                <w:rFonts w:ascii="Times New Roman" w:hAnsi="Times New Roman"/>
                <w:color w:val="000000"/>
                <w:szCs w:val="21"/>
              </w:rPr>
              <w:t>17-22%氨水</w:t>
            </w:r>
          </w:p>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（有毒）</w:t>
            </w:r>
          </w:p>
        </w:tc>
        <w:tc>
          <w:tcPr>
            <w:tcW w:w="295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jc w:val="both"/>
              <w:rPr>
                <w:rFonts w:ascii="Times New Roman" w:hAnsi="Times New Roman"/>
                <w:color w:val="000000"/>
                <w:szCs w:val="21"/>
              </w:rPr>
            </w:pPr>
            <w:r>
              <w:rPr>
                <w:rFonts w:ascii="Times New Roman" w:hAnsi="Times New Roman"/>
                <w:color w:val="000000"/>
                <w:szCs w:val="21"/>
              </w:rPr>
              <w:t>氨水又称阿摩尼亚水，主要成分为NH3·H2O，是氨的水溶液，无色透明且具有刺激性气味。氨气熔点-77℃，沸点36℃，密度0.91g/cm³。氨气易溶于水、乙醇。易挥发，具有部分碱的通性，氨水由氨气通入水中制得。氨气有毒，对眼、鼻、皮肤有刺激性和腐蚀性,含量17-22%</w:t>
            </w:r>
          </w:p>
        </w:tc>
        <w:tc>
          <w:tcPr>
            <w:tcW w:w="10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____</w:t>
            </w:r>
          </w:p>
        </w:tc>
        <w:tc>
          <w:tcPr>
            <w:tcW w:w="9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43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2</w:t>
            </w:r>
          </w:p>
        </w:tc>
        <w:tc>
          <w:tcPr>
            <w:tcW w:w="989" w:type="dxa"/>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润滑油库房</w:t>
            </w:r>
          </w:p>
        </w:tc>
        <w:tc>
          <w:tcPr>
            <w:tcW w:w="1864"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lang w:val="zh-CN"/>
              </w:rPr>
            </w:pPr>
            <w:r>
              <w:rPr>
                <w:rFonts w:ascii="Times New Roman" w:hAnsi="Times New Roman"/>
                <w:color w:val="000000"/>
                <w:szCs w:val="21"/>
                <w:lang w:val="zh-CN"/>
              </w:rPr>
              <w:t>润滑油</w:t>
            </w:r>
          </w:p>
        </w:tc>
        <w:tc>
          <w:tcPr>
            <w:tcW w:w="2957"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高沸点、高分子量烃类和非烃类混合物</w:t>
            </w:r>
          </w:p>
        </w:tc>
        <w:tc>
          <w:tcPr>
            <w:tcW w:w="1093"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____</w:t>
            </w:r>
          </w:p>
        </w:tc>
        <w:tc>
          <w:tcPr>
            <w:tcW w:w="9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6" w:hRule="atLeast"/>
          <w:jc w:val="center"/>
        </w:trPr>
        <w:tc>
          <w:tcPr>
            <w:tcW w:w="43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3</w:t>
            </w:r>
          </w:p>
        </w:tc>
        <w:tc>
          <w:tcPr>
            <w:tcW w:w="989" w:type="dxa"/>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柴油储罐</w:t>
            </w:r>
          </w:p>
        </w:tc>
        <w:tc>
          <w:tcPr>
            <w:tcW w:w="1864"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柴油（易燃）</w:t>
            </w:r>
          </w:p>
          <w:p>
            <w:pPr>
              <w:pStyle w:val="46"/>
              <w:adjustRightInd w:val="0"/>
              <w:snapToGrid w:val="0"/>
              <w:spacing w:line="240" w:lineRule="auto"/>
              <w:rPr>
                <w:rFonts w:ascii="Times New Roman" w:hAnsi="Times New Roman"/>
                <w:color w:val="000000"/>
                <w:szCs w:val="21"/>
                <w:lang w:val="zh-CN"/>
              </w:rPr>
            </w:pPr>
          </w:p>
        </w:tc>
        <w:tc>
          <w:tcPr>
            <w:tcW w:w="2957"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易燃易挥发，不溶于水，</w:t>
            </w:r>
            <w:r>
              <w:rPr>
                <w:rFonts w:ascii="Times New Roman" w:hAnsi="Times New Roman"/>
                <w:color w:val="000000"/>
                <w:szCs w:val="21"/>
              </w:rPr>
              <w:fldChar w:fldCharType="begin"/>
            </w:r>
            <w:r>
              <w:rPr>
                <w:rFonts w:ascii="Times New Roman" w:hAnsi="Times New Roman"/>
                <w:color w:val="000000"/>
                <w:szCs w:val="21"/>
              </w:rPr>
              <w:instrText xml:space="preserve"> HYPERLINK "https://baike.baidu.com/item/%E6%98%93%E6%BA%B6" \t "https://baike.baidu.com/item/%E6%9F%B4%E6%B2%B9/_blank" </w:instrText>
            </w:r>
            <w:r>
              <w:rPr>
                <w:rFonts w:ascii="Times New Roman" w:hAnsi="Times New Roman"/>
                <w:color w:val="000000"/>
                <w:szCs w:val="21"/>
              </w:rPr>
              <w:fldChar w:fldCharType="separate"/>
            </w:r>
            <w:r>
              <w:rPr>
                <w:rFonts w:ascii="Times New Roman" w:hAnsi="Times New Roman"/>
                <w:color w:val="000000"/>
                <w:szCs w:val="21"/>
              </w:rPr>
              <w:t>易溶</w:t>
            </w:r>
            <w:r>
              <w:rPr>
                <w:rFonts w:ascii="Times New Roman" w:hAnsi="Times New Roman"/>
                <w:color w:val="000000"/>
                <w:szCs w:val="21"/>
              </w:rPr>
              <w:fldChar w:fldCharType="end"/>
            </w:r>
            <w:r>
              <w:rPr>
                <w:rFonts w:ascii="Times New Roman" w:hAnsi="Times New Roman"/>
                <w:color w:val="000000"/>
                <w:szCs w:val="21"/>
              </w:rPr>
              <w:t>于醇和其他</w:t>
            </w:r>
            <w:r>
              <w:rPr>
                <w:rFonts w:ascii="Times New Roman" w:hAnsi="Times New Roman"/>
                <w:color w:val="000000"/>
                <w:szCs w:val="21"/>
              </w:rPr>
              <w:fldChar w:fldCharType="begin"/>
            </w:r>
            <w:r>
              <w:rPr>
                <w:rFonts w:ascii="Times New Roman" w:hAnsi="Times New Roman"/>
                <w:color w:val="000000"/>
                <w:szCs w:val="21"/>
              </w:rPr>
              <w:instrText xml:space="preserve"> HYPERLINK "https://baike.baidu.com/item/%E6%9C%89%E6%9C%BA%E6%BA%B6%E5%89%82" \t "https://baike.baidu.com/item/%E6%9F%B4%E6%B2%B9/_blank" </w:instrText>
            </w:r>
            <w:r>
              <w:rPr>
                <w:rFonts w:ascii="Times New Roman" w:hAnsi="Times New Roman"/>
                <w:color w:val="000000"/>
                <w:szCs w:val="21"/>
              </w:rPr>
              <w:fldChar w:fldCharType="separate"/>
            </w:r>
            <w:r>
              <w:rPr>
                <w:rFonts w:ascii="Times New Roman" w:hAnsi="Times New Roman"/>
                <w:color w:val="000000"/>
                <w:szCs w:val="21"/>
              </w:rPr>
              <w:t>有机溶剂</w:t>
            </w:r>
            <w:r>
              <w:rPr>
                <w:rFonts w:ascii="Times New Roman" w:hAnsi="Times New Roman"/>
                <w:color w:val="000000"/>
                <w:szCs w:val="21"/>
              </w:rPr>
              <w:fldChar w:fldCharType="end"/>
            </w:r>
            <w:r>
              <w:rPr>
                <w:rFonts w:ascii="Times New Roman" w:hAnsi="Times New Roman"/>
                <w:color w:val="000000"/>
                <w:szCs w:val="21"/>
              </w:rPr>
              <w:t>。是组分复杂的混合物</w:t>
            </w:r>
          </w:p>
        </w:tc>
        <w:tc>
          <w:tcPr>
            <w:tcW w:w="1093"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___</w:t>
            </w:r>
          </w:p>
        </w:tc>
        <w:tc>
          <w:tcPr>
            <w:tcW w:w="9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437" w:type="dxa"/>
            <w:tcBorders>
              <w:top w:val="single" w:color="auto" w:sz="4"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4</w:t>
            </w:r>
          </w:p>
        </w:tc>
        <w:tc>
          <w:tcPr>
            <w:tcW w:w="989"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危险废物间</w:t>
            </w:r>
          </w:p>
        </w:tc>
        <w:tc>
          <w:tcPr>
            <w:tcW w:w="1864"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lang w:val="zh-CN"/>
              </w:rPr>
              <w:t>危险废物</w:t>
            </w:r>
          </w:p>
        </w:tc>
        <w:tc>
          <w:tcPr>
            <w:tcW w:w="295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lang w:val="zh-CN"/>
              </w:rPr>
              <w:t>废</w:t>
            </w:r>
            <w:r>
              <w:rPr>
                <w:rFonts w:ascii="Times New Roman" w:hAnsi="Times New Roman"/>
                <w:color w:val="000000"/>
                <w:szCs w:val="21"/>
              </w:rPr>
              <w:t>润滑油桶</w:t>
            </w:r>
            <w:r>
              <w:rPr>
                <w:rFonts w:ascii="Times New Roman" w:hAnsi="Times New Roman"/>
                <w:color w:val="000000"/>
                <w:szCs w:val="21"/>
                <w:lang w:val="zh-CN"/>
              </w:rPr>
              <w:t>、废柴油</w:t>
            </w:r>
            <w:r>
              <w:rPr>
                <w:rFonts w:ascii="Times New Roman" w:hAnsi="Times New Roman"/>
                <w:color w:val="000000"/>
                <w:szCs w:val="21"/>
              </w:rPr>
              <w:t>桶</w:t>
            </w:r>
          </w:p>
        </w:tc>
        <w:tc>
          <w:tcPr>
            <w:tcW w:w="10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储存量1.0t/a</w:t>
            </w:r>
          </w:p>
        </w:tc>
        <w:tc>
          <w:tcPr>
            <w:tcW w:w="99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1.0</w:t>
            </w:r>
          </w:p>
        </w:tc>
      </w:tr>
    </w:tbl>
    <w:p>
      <w:pPr>
        <w:ind w:firstLine="0" w:firstLineChars="0"/>
        <w:rPr>
          <w:color w:val="000000"/>
        </w:rPr>
      </w:pPr>
    </w:p>
    <w:p>
      <w:pPr>
        <w:ind w:firstLine="480"/>
        <w:rPr>
          <w:b/>
          <w:bCs/>
          <w:color w:val="000000"/>
        </w:rPr>
      </w:pPr>
      <w:r>
        <w:rPr>
          <w:color w:val="000000"/>
        </w:rPr>
        <w:t>综上所述，目前企业环境风险单元为：</w:t>
      </w:r>
      <w:r>
        <w:rPr>
          <w:b/>
          <w:bCs/>
          <w:color w:val="000000"/>
        </w:rPr>
        <w:t>氨水储罐、润滑油库房、柴油储罐、危险废物间。</w:t>
      </w:r>
    </w:p>
    <w:p>
      <w:pPr>
        <w:pStyle w:val="2"/>
        <w:keepNext w:val="0"/>
        <w:keepLines w:val="0"/>
        <w:spacing w:line="240" w:lineRule="auto"/>
        <w:ind w:firstLine="602"/>
        <w:rPr>
          <w:rFonts w:ascii="Times New Roman" w:hAnsi="Times New Roman"/>
          <w:color w:val="000000"/>
          <w:lang w:val="zh-CN"/>
        </w:rPr>
      </w:pPr>
      <w:bookmarkStart w:id="662" w:name="_Toc25321"/>
      <w:bookmarkStart w:id="663" w:name="_Toc9588"/>
      <w:bookmarkStart w:id="664" w:name="_Toc2168"/>
      <w:bookmarkStart w:id="665" w:name="_Toc16874_WPSOffice_Level2"/>
      <w:bookmarkStart w:id="666" w:name="_Toc4644_WPSOffice_Level2"/>
      <w:bookmarkStart w:id="667" w:name="_Toc531529731"/>
      <w:r>
        <w:rPr>
          <w:rFonts w:ascii="Times New Roman" w:hAnsi="Times New Roman"/>
          <w:color w:val="000000"/>
          <w:lang w:val="zh-CN"/>
        </w:rPr>
        <w:t>3.3 突发环境事件情景</w:t>
      </w:r>
      <w:bookmarkEnd w:id="662"/>
      <w:bookmarkEnd w:id="663"/>
      <w:bookmarkEnd w:id="664"/>
      <w:bookmarkEnd w:id="665"/>
      <w:bookmarkEnd w:id="666"/>
      <w:bookmarkEnd w:id="667"/>
      <w:r>
        <w:rPr>
          <w:rFonts w:ascii="Times New Roman" w:hAnsi="Times New Roman"/>
          <w:color w:val="000000"/>
          <w:lang w:val="zh-CN"/>
        </w:rPr>
        <w:t xml:space="preserve">  </w:t>
      </w:r>
    </w:p>
    <w:p>
      <w:pPr>
        <w:ind w:firstLine="480"/>
        <w:rPr>
          <w:color w:val="000000"/>
        </w:rPr>
      </w:pPr>
      <w:r>
        <w:rPr>
          <w:color w:val="000000"/>
        </w:rPr>
        <w:t>企业现有环境风险单元有：氨水储罐、润滑油库房、柴油储罐、危险废物间。</w:t>
      </w:r>
    </w:p>
    <w:p>
      <w:pPr>
        <w:ind w:firstLine="480"/>
        <w:rPr>
          <w:color w:val="000000"/>
        </w:rPr>
      </w:pPr>
      <w:r>
        <w:rPr>
          <w:color w:val="000000"/>
        </w:rPr>
        <w:t>根据风险源及生产工艺特点，结合生产所涉及的危险物质的理化性质和危险特性，分析其存在的危险、有害因素等，再结合国内外同类型的企业可能发生的环境污染事故进行分析，得出企业可能发生的突发环境事件情景如下表：</w:t>
      </w:r>
    </w:p>
    <w:p>
      <w:pPr>
        <w:adjustRightInd w:val="0"/>
        <w:snapToGrid w:val="0"/>
        <w:ind w:firstLine="422"/>
        <w:jc w:val="center"/>
        <w:rPr>
          <w:color w:val="000000"/>
        </w:rPr>
      </w:pPr>
      <w:bookmarkStart w:id="668" w:name="_Toc14925_WPSOffice_Level3"/>
      <w:bookmarkStart w:id="669" w:name="_Toc4479_WPSOffice_Level3"/>
      <w:bookmarkStart w:id="670" w:name="_Toc22303_WPSOffice_Level3"/>
      <w:bookmarkStart w:id="671" w:name="_Toc32745_WPSOffice_Level3"/>
      <w:r>
        <w:rPr>
          <w:b/>
          <w:bCs/>
          <w:color w:val="000000"/>
          <w:sz w:val="21"/>
        </w:rPr>
        <w:t>表3.3-1  突发环境事件情景列表</w:t>
      </w:r>
      <w:bookmarkEnd w:id="668"/>
      <w:bookmarkEnd w:id="669"/>
      <w:bookmarkEnd w:id="670"/>
      <w:bookmarkEnd w:id="67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1817"/>
        <w:gridCol w:w="1570"/>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tblHeader/>
          <w:jc w:val="center"/>
        </w:trPr>
        <w:tc>
          <w:tcPr>
            <w:tcW w:w="168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风险单元</w:t>
            </w:r>
          </w:p>
        </w:tc>
        <w:tc>
          <w:tcPr>
            <w:tcW w:w="181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物质名称</w:t>
            </w:r>
          </w:p>
        </w:tc>
        <w:tc>
          <w:tcPr>
            <w:tcW w:w="1570"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可能发生的突发环境事件</w:t>
            </w:r>
          </w:p>
        </w:tc>
        <w:tc>
          <w:tcPr>
            <w:tcW w:w="3452"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可能产生的后果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683" w:type="dxa"/>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润滑油库房</w:t>
            </w:r>
          </w:p>
        </w:tc>
        <w:tc>
          <w:tcPr>
            <w:tcW w:w="181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lang w:val="zh-CN"/>
              </w:rPr>
            </w:pPr>
            <w:r>
              <w:rPr>
                <w:rFonts w:ascii="Times New Roman" w:hAnsi="Times New Roman"/>
                <w:color w:val="000000"/>
                <w:szCs w:val="21"/>
                <w:lang w:val="zh-CN"/>
              </w:rPr>
              <w:t>润滑油</w:t>
            </w:r>
          </w:p>
        </w:tc>
        <w:tc>
          <w:tcPr>
            <w:tcW w:w="1570" w:type="dxa"/>
            <w:vMerge w:val="restart"/>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火灾次生环境污染事故、泄漏事故</w:t>
            </w:r>
          </w:p>
        </w:tc>
        <w:tc>
          <w:tcPr>
            <w:tcW w:w="3452" w:type="dxa"/>
            <w:vMerge w:val="restart"/>
            <w:tcBorders>
              <w:top w:val="single" w:color="auto" w:sz="2" w:space="0"/>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火灾产生的有毒气体在空气中扩散污染环境空气，对大气环境造成污染</w:t>
            </w:r>
          </w:p>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泄漏的风险物质进入水体或渗入土壤中造成环境污染</w:t>
            </w:r>
          </w:p>
          <w:p>
            <w:pPr>
              <w:pStyle w:val="46"/>
              <w:adjustRightInd w:val="0"/>
              <w:snapToGrid w:val="0"/>
              <w:spacing w:line="240" w:lineRule="auto"/>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1683" w:type="dxa"/>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柴油储罐</w:t>
            </w:r>
          </w:p>
        </w:tc>
        <w:tc>
          <w:tcPr>
            <w:tcW w:w="181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lang w:val="zh-CN"/>
              </w:rPr>
              <w:t>柴油</w:t>
            </w:r>
          </w:p>
        </w:tc>
        <w:tc>
          <w:tcPr>
            <w:tcW w:w="1570" w:type="dxa"/>
            <w:vMerge w:val="continue"/>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p>
        </w:tc>
        <w:tc>
          <w:tcPr>
            <w:tcW w:w="3452" w:type="dxa"/>
            <w:vMerge w:val="continue"/>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683" w:type="dxa"/>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氨水储罐</w:t>
            </w:r>
          </w:p>
        </w:tc>
        <w:tc>
          <w:tcPr>
            <w:tcW w:w="1817" w:type="dxa"/>
            <w:tcBorders>
              <w:top w:val="single" w:color="auto" w:sz="2" w:space="0"/>
              <w:bottom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17-22%氨水</w:t>
            </w:r>
          </w:p>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（有毒）</w:t>
            </w:r>
          </w:p>
          <w:p>
            <w:pPr>
              <w:pStyle w:val="46"/>
              <w:adjustRightInd w:val="0"/>
              <w:snapToGrid w:val="0"/>
              <w:spacing w:line="240" w:lineRule="auto"/>
              <w:rPr>
                <w:rFonts w:ascii="Times New Roman" w:hAnsi="Times New Roman"/>
                <w:color w:val="000000"/>
                <w:szCs w:val="21"/>
              </w:rPr>
            </w:pPr>
          </w:p>
        </w:tc>
        <w:tc>
          <w:tcPr>
            <w:tcW w:w="1570" w:type="dxa"/>
            <w:vMerge w:val="continue"/>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p>
        </w:tc>
        <w:tc>
          <w:tcPr>
            <w:tcW w:w="3452" w:type="dxa"/>
            <w:vMerge w:val="continue"/>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683"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危险废物间</w:t>
            </w:r>
          </w:p>
        </w:tc>
        <w:tc>
          <w:tcPr>
            <w:tcW w:w="1817"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lang w:val="zh-CN"/>
              </w:rPr>
              <w:t>危险废物（废</w:t>
            </w:r>
            <w:r>
              <w:rPr>
                <w:rFonts w:ascii="Times New Roman" w:hAnsi="Times New Roman"/>
                <w:color w:val="000000"/>
                <w:szCs w:val="21"/>
              </w:rPr>
              <w:t>润滑油桶</w:t>
            </w:r>
            <w:r>
              <w:rPr>
                <w:rFonts w:ascii="Times New Roman" w:hAnsi="Times New Roman"/>
                <w:color w:val="000000"/>
                <w:szCs w:val="21"/>
                <w:lang w:val="zh-CN"/>
              </w:rPr>
              <w:t>、废柴油</w:t>
            </w:r>
            <w:r>
              <w:rPr>
                <w:rFonts w:ascii="Times New Roman" w:hAnsi="Times New Roman"/>
                <w:color w:val="000000"/>
                <w:szCs w:val="21"/>
              </w:rPr>
              <w:t>桶</w:t>
            </w:r>
            <w:r>
              <w:rPr>
                <w:rFonts w:ascii="Times New Roman" w:hAnsi="Times New Roman"/>
                <w:color w:val="000000"/>
                <w:szCs w:val="21"/>
                <w:lang w:val="zh-CN"/>
              </w:rPr>
              <w:t>）</w:t>
            </w:r>
          </w:p>
        </w:tc>
        <w:tc>
          <w:tcPr>
            <w:tcW w:w="1570" w:type="dxa"/>
            <w:tcBorders>
              <w:top w:val="single" w:color="auto" w:sz="2" w:space="0"/>
              <w:left w:val="single" w:color="auto" w:sz="2" w:space="0"/>
              <w:bottom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泄漏事故</w:t>
            </w:r>
          </w:p>
        </w:tc>
        <w:tc>
          <w:tcPr>
            <w:tcW w:w="3452" w:type="dxa"/>
            <w:tcBorders>
              <w:left w:val="single" w:color="auto" w:sz="2" w:space="0"/>
              <w:right w:val="single" w:color="auto" w:sz="2" w:space="0"/>
            </w:tcBorders>
            <w:noWrap w:val="0"/>
            <w:vAlign w:val="center"/>
          </w:tcPr>
          <w:p>
            <w:pPr>
              <w:pStyle w:val="46"/>
              <w:adjustRightInd w:val="0"/>
              <w:snapToGrid w:val="0"/>
              <w:spacing w:line="240" w:lineRule="auto"/>
              <w:rPr>
                <w:rFonts w:ascii="Times New Roman" w:hAnsi="Times New Roman"/>
                <w:color w:val="000000"/>
                <w:szCs w:val="21"/>
              </w:rPr>
            </w:pPr>
            <w:r>
              <w:rPr>
                <w:rFonts w:ascii="Times New Roman" w:hAnsi="Times New Roman"/>
                <w:color w:val="000000"/>
                <w:szCs w:val="21"/>
              </w:rPr>
              <w:t>泄漏的危废可能进入水体或渗入土壤中造成环境污染</w:t>
            </w:r>
          </w:p>
        </w:tc>
      </w:tr>
    </w:tbl>
    <w:p>
      <w:pPr>
        <w:pStyle w:val="46"/>
        <w:snapToGrid w:val="0"/>
        <w:spacing w:line="240" w:lineRule="auto"/>
        <w:rPr>
          <w:rFonts w:ascii="Times New Roman" w:hAnsi="Times New Roman"/>
          <w:color w:val="000000"/>
        </w:rPr>
      </w:pPr>
    </w:p>
    <w:p>
      <w:pPr>
        <w:pStyle w:val="2"/>
        <w:keepNext w:val="0"/>
        <w:keepLines w:val="0"/>
        <w:spacing w:line="240" w:lineRule="auto"/>
        <w:ind w:firstLine="602"/>
        <w:rPr>
          <w:rFonts w:ascii="Times New Roman" w:hAnsi="Times New Roman"/>
          <w:color w:val="000000"/>
          <w:lang w:val="zh-CN"/>
        </w:rPr>
      </w:pPr>
      <w:bookmarkStart w:id="672" w:name="_Toc4479_WPSOffice_Level2"/>
      <w:bookmarkStart w:id="673" w:name="_Toc16641"/>
      <w:bookmarkStart w:id="674" w:name="_Toc23788"/>
      <w:bookmarkStart w:id="675" w:name="_Toc531529732"/>
      <w:bookmarkStart w:id="676" w:name="_Toc28034_WPSOffice_Level2"/>
      <w:bookmarkStart w:id="677" w:name="_Toc12805"/>
      <w:r>
        <w:rPr>
          <w:rFonts w:ascii="Times New Roman" w:hAnsi="Times New Roman"/>
          <w:color w:val="000000"/>
          <w:lang w:val="zh-CN"/>
        </w:rPr>
        <w:t>3.4 突发环境事件危害后果</w:t>
      </w:r>
      <w:bookmarkEnd w:id="672"/>
      <w:bookmarkEnd w:id="673"/>
      <w:bookmarkEnd w:id="674"/>
      <w:bookmarkEnd w:id="675"/>
      <w:bookmarkEnd w:id="676"/>
      <w:bookmarkEnd w:id="677"/>
      <w:r>
        <w:rPr>
          <w:rFonts w:ascii="Times New Roman" w:hAnsi="Times New Roman"/>
          <w:color w:val="000000"/>
          <w:lang w:val="zh-CN"/>
        </w:rPr>
        <w:t xml:space="preserve"> </w:t>
      </w:r>
    </w:p>
    <w:p>
      <w:pPr>
        <w:ind w:firstLine="480"/>
        <w:rPr>
          <w:color w:val="000000"/>
        </w:rPr>
      </w:pPr>
      <w:r>
        <w:rPr>
          <w:color w:val="000000"/>
        </w:rPr>
        <w:t>引用《重庆永荣青鹏有限公司突发环境事件风险评估报告》中对风险源危险性及风险的评估结论，主要危害后果如下。</w:t>
      </w:r>
    </w:p>
    <w:bookmarkEnd w:id="643"/>
    <w:bookmarkEnd w:id="644"/>
    <w:bookmarkEnd w:id="655"/>
    <w:bookmarkEnd w:id="656"/>
    <w:bookmarkEnd w:id="657"/>
    <w:bookmarkEnd w:id="658"/>
    <w:bookmarkEnd w:id="659"/>
    <w:p>
      <w:pPr>
        <w:ind w:firstLine="482"/>
        <w:rPr>
          <w:b/>
          <w:bCs/>
          <w:color w:val="000000"/>
        </w:rPr>
      </w:pPr>
      <w:bookmarkStart w:id="678" w:name="_Toc294080720"/>
      <w:bookmarkStart w:id="679" w:name="_Toc340573762"/>
      <w:bookmarkStart w:id="680" w:name="_Toc295467957"/>
      <w:r>
        <w:rPr>
          <w:rStyle w:val="47"/>
          <w:rFonts w:ascii="Times New Roman" w:hAnsi="Times New Roman" w:eastAsia="宋体"/>
          <w:szCs w:val="22"/>
        </w:rPr>
        <w:t>（1）氨水储罐、柴油储罐、润滑油库房、</w:t>
      </w:r>
      <w:r>
        <w:rPr>
          <w:b/>
          <w:bCs/>
          <w:color w:val="000000"/>
        </w:rPr>
        <w:t>危险废物间</w:t>
      </w:r>
      <w:r>
        <w:rPr>
          <w:rStyle w:val="47"/>
          <w:rFonts w:ascii="Times New Roman" w:hAnsi="Times New Roman" w:eastAsia="宋体"/>
          <w:szCs w:val="22"/>
        </w:rPr>
        <w:t>泄露事故</w:t>
      </w:r>
    </w:p>
    <w:p>
      <w:pPr>
        <w:ind w:firstLine="630" w:firstLineChars="300"/>
        <w:rPr>
          <w:color w:val="000000"/>
          <w:szCs w:val="22"/>
        </w:rPr>
      </w:pPr>
      <w:r>
        <w:rPr>
          <w:color w:val="000000"/>
          <w:szCs w:val="22"/>
        </w:rPr>
        <w:t>发生事故的情况考虑为：储罐容器损坏、人员操作不当</w:t>
      </w:r>
      <w:r>
        <w:rPr>
          <w:color w:val="000000"/>
        </w:rPr>
        <w:t>导致化学品发生泄漏</w:t>
      </w:r>
      <w:r>
        <w:rPr>
          <w:color w:val="000000"/>
          <w:szCs w:val="22"/>
        </w:rPr>
        <w:t>。</w:t>
      </w:r>
    </w:p>
    <w:p>
      <w:pPr>
        <w:ind w:firstLine="480"/>
        <w:jc w:val="left"/>
        <w:rPr>
          <w:color w:val="000000"/>
        </w:rPr>
      </w:pPr>
      <w:r>
        <w:rPr>
          <w:color w:val="000000"/>
          <w:szCs w:val="22"/>
        </w:rPr>
        <w:t>该企业原料库房储存的氨水</w:t>
      </w:r>
      <w:r>
        <w:rPr>
          <w:color w:val="000000"/>
        </w:rPr>
        <w:t>、柴油、</w:t>
      </w:r>
      <w:r>
        <w:rPr>
          <w:color w:val="000000"/>
          <w:szCs w:val="22"/>
        </w:rPr>
        <w:t>从包装桶中泄漏，进入雨水管网，对周边水体及气体造成污染。</w:t>
      </w:r>
      <w:r>
        <w:rPr>
          <w:color w:val="000000"/>
        </w:rPr>
        <w:t>厂区有巡查人员，储存器有安全装置，所以在泄漏发生后，值班人员及时切换雨污切换阀，使其进入事故池，避免流入周围水体；综上所以本次评估认为该风险影响水平是可防可控的对周围环境造成污染的风险</w:t>
      </w:r>
      <w:r>
        <w:rPr>
          <w:color w:val="000000"/>
          <w:szCs w:val="22"/>
        </w:rPr>
        <w:t>很小。氨水储罐最大泄漏量为</w:t>
      </w:r>
      <w:r>
        <w:rPr>
          <w:rFonts w:hint="eastAsia"/>
          <w:color w:val="000000"/>
          <w:szCs w:val="22"/>
        </w:rPr>
        <w:t>8.24</w:t>
      </w:r>
      <w:r>
        <w:rPr>
          <w:color w:val="000000"/>
          <w:szCs w:val="22"/>
        </w:rPr>
        <w:t>t、柴油储罐最大泄漏量为15t、润滑油库房最大泄漏量为0.07t、危险废物间最大泄漏量为0.17t。</w:t>
      </w:r>
    </w:p>
    <w:p>
      <w:pPr>
        <w:ind w:firstLine="482"/>
        <w:rPr>
          <w:rStyle w:val="47"/>
          <w:rFonts w:ascii="Times New Roman" w:hAnsi="Times New Roman" w:eastAsia="宋体"/>
          <w:szCs w:val="22"/>
        </w:rPr>
      </w:pPr>
      <w:r>
        <w:rPr>
          <w:rStyle w:val="47"/>
          <w:rFonts w:ascii="Times New Roman" w:hAnsi="Times New Roman" w:eastAsia="宋体"/>
          <w:szCs w:val="22"/>
        </w:rPr>
        <w:t>（2）柴油储罐、润滑油库、</w:t>
      </w:r>
      <w:r>
        <w:rPr>
          <w:b/>
          <w:bCs/>
          <w:color w:val="000000"/>
        </w:rPr>
        <w:t>危险废物间</w:t>
      </w:r>
      <w:r>
        <w:rPr>
          <w:rStyle w:val="47"/>
          <w:rFonts w:ascii="Times New Roman" w:hAnsi="Times New Roman" w:eastAsia="宋体"/>
          <w:szCs w:val="22"/>
        </w:rPr>
        <w:t>房火灾事故次生环境风险</w:t>
      </w:r>
    </w:p>
    <w:p>
      <w:pPr>
        <w:ind w:firstLine="480"/>
        <w:jc w:val="left"/>
        <w:rPr>
          <w:color w:val="000000"/>
          <w:szCs w:val="22"/>
        </w:rPr>
      </w:pPr>
      <w:r>
        <w:rPr>
          <w:color w:val="000000"/>
          <w:szCs w:val="22"/>
        </w:rPr>
        <w:t>火灾发生后，产生的有害气体，对大气造成污染。在厂区有巡查人员，所以在火灾发生后能及时得到有效的处理；综上所以本次评估认为该风险影响水平是可防可控的对周围环境造成污染的风险很小。柴油储罐消防尾水水量为</w:t>
      </w:r>
      <w:r>
        <w:rPr>
          <w:rFonts w:hint="eastAsia"/>
          <w:color w:val="000000"/>
          <w:szCs w:val="22"/>
        </w:rPr>
        <w:t>25</w:t>
      </w:r>
      <w:r>
        <w:rPr>
          <w:color w:val="000000"/>
          <w:szCs w:val="22"/>
        </w:rPr>
        <w:t>m</w:t>
      </w:r>
      <w:r>
        <w:rPr>
          <w:color w:val="000000"/>
          <w:szCs w:val="22"/>
          <w:vertAlign w:val="superscript"/>
        </w:rPr>
        <w:t>3</w:t>
      </w:r>
      <w:bookmarkStart w:id="681" w:name="_Toc531529733"/>
      <w:r>
        <w:rPr>
          <w:color w:val="000000"/>
          <w:szCs w:val="22"/>
        </w:rPr>
        <w:t>，润滑油库消防尾水水量为12.4m</w:t>
      </w:r>
      <w:r>
        <w:rPr>
          <w:color w:val="000000"/>
          <w:szCs w:val="22"/>
          <w:vertAlign w:val="superscript"/>
        </w:rPr>
        <w:t>3</w:t>
      </w:r>
      <w:r>
        <w:rPr>
          <w:color w:val="000000"/>
          <w:szCs w:val="22"/>
        </w:rPr>
        <w:t>，危险废物间消防尾水水量为5.1m</w:t>
      </w:r>
      <w:r>
        <w:rPr>
          <w:color w:val="000000"/>
          <w:szCs w:val="22"/>
          <w:vertAlign w:val="superscript"/>
        </w:rPr>
        <w:t>3</w:t>
      </w:r>
      <w:r>
        <w:rPr>
          <w:color w:val="000000"/>
          <w:szCs w:val="22"/>
        </w:rPr>
        <w:t>。</w:t>
      </w:r>
    </w:p>
    <w:p>
      <w:pPr>
        <w:ind w:firstLine="0" w:firstLineChars="0"/>
        <w:jc w:val="center"/>
        <w:rPr>
          <w:color w:val="000000"/>
        </w:rPr>
      </w:pPr>
      <w:r>
        <w:rPr>
          <w:color w:val="000000"/>
          <w:szCs w:val="22"/>
        </w:rPr>
        <w:br w:type="page"/>
      </w:r>
      <w:bookmarkStart w:id="682" w:name="_Toc13665_WPSOffice_Level1"/>
      <w:bookmarkStart w:id="683" w:name="_Toc24403"/>
      <w:bookmarkStart w:id="684" w:name="_Toc22644"/>
      <w:bookmarkStart w:id="685" w:name="_Toc30650_WPSOffice_Level1"/>
      <w:r>
        <w:rPr>
          <w:rStyle w:val="45"/>
          <w:rFonts w:ascii="Times New Roman" w:hAnsi="Times New Roman"/>
        </w:rPr>
        <w:t>4 环境保护目标</w:t>
      </w:r>
      <w:bookmarkEnd w:id="681"/>
      <w:bookmarkEnd w:id="682"/>
      <w:bookmarkEnd w:id="683"/>
      <w:bookmarkEnd w:id="684"/>
      <w:bookmarkEnd w:id="685"/>
    </w:p>
    <w:p>
      <w:pPr>
        <w:ind w:firstLine="480"/>
        <w:rPr>
          <w:color w:val="000000"/>
        </w:rPr>
      </w:pPr>
      <w:r>
        <w:rPr>
          <w:color w:val="000000"/>
        </w:rPr>
        <w:t>企业位于重庆市沙坪坝区重庆市沙坝区青木关镇关口村内。评估范围内无自然保护区、风景名胜区、森林公园特殊环境敏感区；无特殊栖息地保护区及重点文物保护单位、未发现珍稀濒危野生动植物。</w:t>
      </w:r>
    </w:p>
    <w:p>
      <w:pPr>
        <w:ind w:firstLine="480"/>
        <w:rPr>
          <w:color w:val="000000"/>
          <w:szCs w:val="24"/>
        </w:rPr>
      </w:pPr>
      <w:r>
        <w:rPr>
          <w:color w:val="000000"/>
        </w:rPr>
        <w:t>主要环境风险受体见表4-1，环境风险受体分布见附图3</w:t>
      </w:r>
      <w:r>
        <w:rPr>
          <w:color w:val="000000"/>
          <w:szCs w:val="24"/>
        </w:rPr>
        <w:t>。</w:t>
      </w:r>
    </w:p>
    <w:p>
      <w:pPr>
        <w:adjustRightInd w:val="0"/>
        <w:snapToGrid w:val="0"/>
        <w:spacing w:before="159" w:beforeLines="50"/>
        <w:ind w:firstLine="422"/>
        <w:jc w:val="center"/>
        <w:rPr>
          <w:color w:val="000000"/>
        </w:rPr>
      </w:pPr>
      <w:bookmarkStart w:id="686" w:name="_Toc7032_WPSOffice_Level2"/>
      <w:bookmarkStart w:id="687" w:name="_Toc10983_WPSOffice_Level2"/>
      <w:bookmarkStart w:id="688" w:name="_Toc24863_WPSOffice_Level2"/>
      <w:bookmarkStart w:id="689" w:name="_Toc22303_WPSOffice_Level2"/>
      <w:r>
        <w:rPr>
          <w:b/>
          <w:bCs/>
          <w:color w:val="000000"/>
          <w:sz w:val="21"/>
        </w:rPr>
        <w:t>表4-1  周边环境风险受体</w:t>
      </w:r>
      <w:bookmarkEnd w:id="686"/>
      <w:bookmarkEnd w:id="687"/>
      <w:bookmarkEnd w:id="688"/>
      <w:bookmarkEnd w:id="689"/>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640"/>
        <w:gridCol w:w="1370"/>
        <w:gridCol w:w="520"/>
        <w:gridCol w:w="1397"/>
        <w:gridCol w:w="1388"/>
        <w:gridCol w:w="160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序号</w:t>
            </w:r>
          </w:p>
        </w:tc>
        <w:tc>
          <w:tcPr>
            <w:tcW w:w="164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环境风险受体</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中心</w:t>
            </w:r>
          </w:p>
          <w:p>
            <w:pPr>
              <w:pStyle w:val="46"/>
              <w:spacing w:line="240" w:lineRule="auto"/>
              <w:rPr>
                <w:rFonts w:ascii="Times New Roman" w:hAnsi="Times New Roman"/>
                <w:color w:val="000000"/>
                <w:szCs w:val="21"/>
              </w:rPr>
            </w:pPr>
            <w:r>
              <w:rPr>
                <w:rFonts w:ascii="Times New Roman" w:hAnsi="Times New Roman"/>
                <w:color w:val="000000"/>
                <w:szCs w:val="21"/>
              </w:rPr>
              <w:t>经纬度</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方位</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厂界</w:t>
            </w:r>
          </w:p>
          <w:p>
            <w:pPr>
              <w:pStyle w:val="46"/>
              <w:spacing w:line="240" w:lineRule="auto"/>
              <w:rPr>
                <w:rFonts w:ascii="Times New Roman" w:hAnsi="Times New Roman"/>
                <w:color w:val="000000"/>
                <w:szCs w:val="21"/>
              </w:rPr>
            </w:pPr>
            <w:r>
              <w:rPr>
                <w:rFonts w:ascii="Times New Roman" w:hAnsi="Times New Roman"/>
                <w:color w:val="000000"/>
                <w:szCs w:val="21"/>
              </w:rPr>
              <w:t>距离（m）</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规模</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22" w:type="dxa"/>
            <w:gridSpan w:val="7"/>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大气、土壤环境风险受体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w:t>
            </w:r>
          </w:p>
        </w:tc>
        <w:tc>
          <w:tcPr>
            <w:tcW w:w="1640" w:type="dxa"/>
            <w:noWrap w:val="0"/>
            <w:vAlign w:val="center"/>
          </w:tcPr>
          <w:p>
            <w:pPr>
              <w:pStyle w:val="46"/>
              <w:spacing w:line="240" w:lineRule="auto"/>
              <w:ind w:firstLine="210" w:firstLineChars="100"/>
              <w:jc w:val="both"/>
              <w:rPr>
                <w:rFonts w:ascii="Times New Roman" w:hAnsi="Times New Roman"/>
                <w:color w:val="000000"/>
                <w:szCs w:val="21"/>
              </w:rPr>
            </w:pPr>
            <w:r>
              <w:rPr>
                <w:rFonts w:ascii="Times New Roman" w:hAnsi="Times New Roman"/>
                <w:color w:val="000000"/>
                <w:szCs w:val="21"/>
              </w:rPr>
              <w:t>关口村</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106°16' 55"E</w:t>
            </w:r>
          </w:p>
          <w:p>
            <w:pPr>
              <w:pStyle w:val="46"/>
              <w:spacing w:line="240" w:lineRule="auto"/>
              <w:rPr>
                <w:rFonts w:ascii="Times New Roman" w:hAnsi="Times New Roman"/>
                <w:color w:val="000000"/>
                <w:szCs w:val="21"/>
              </w:rPr>
            </w:pPr>
            <w:r>
              <w:rPr>
                <w:rFonts w:ascii="Times New Roman" w:hAnsi="Times New Roman"/>
                <w:color w:val="000000"/>
                <w:szCs w:val="21"/>
              </w:rPr>
              <w:t>29°40 '59" N</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N</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10m</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大型</w:t>
            </w:r>
          </w:p>
          <w:p>
            <w:pPr>
              <w:pStyle w:val="46"/>
              <w:spacing w:line="240" w:lineRule="auto"/>
              <w:rPr>
                <w:rFonts w:ascii="Times New Roman" w:hAnsi="Times New Roman"/>
                <w:color w:val="000000"/>
                <w:szCs w:val="21"/>
              </w:rPr>
            </w:pPr>
            <w:r>
              <w:rPr>
                <w:rFonts w:ascii="Times New Roman" w:hAnsi="Times New Roman"/>
                <w:color w:val="000000"/>
                <w:szCs w:val="21"/>
              </w:rPr>
              <w:t>600人</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青木关镇政府</w:t>
            </w:r>
          </w:p>
          <w:p>
            <w:pPr>
              <w:pStyle w:val="46"/>
              <w:spacing w:line="240" w:lineRule="auto"/>
              <w:rPr>
                <w:rFonts w:ascii="Times New Roman" w:hAnsi="Times New Roman"/>
                <w:color w:val="000000"/>
                <w:szCs w:val="21"/>
              </w:rPr>
            </w:pPr>
            <w:r>
              <w:rPr>
                <w:rFonts w:ascii="Times New Roman" w:hAnsi="Times New Roman"/>
                <w:color w:val="000000"/>
                <w:szCs w:val="21"/>
              </w:rPr>
              <w:t>023-65603628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2</w:t>
            </w:r>
          </w:p>
        </w:tc>
        <w:tc>
          <w:tcPr>
            <w:tcW w:w="164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重庆永荣青鹏水泥有限公司家属区</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106°17 '03"E</w:t>
            </w:r>
          </w:p>
          <w:p>
            <w:pPr>
              <w:pStyle w:val="46"/>
              <w:spacing w:line="240" w:lineRule="auto"/>
              <w:rPr>
                <w:rFonts w:ascii="Times New Roman" w:hAnsi="Times New Roman"/>
                <w:color w:val="000000"/>
                <w:szCs w:val="21"/>
              </w:rPr>
            </w:pPr>
            <w:r>
              <w:rPr>
                <w:rFonts w:ascii="Times New Roman" w:hAnsi="Times New Roman"/>
                <w:color w:val="000000"/>
                <w:szCs w:val="21"/>
              </w:rPr>
              <w:t>29°40' 49" N</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NE</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100m</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大型</w:t>
            </w:r>
          </w:p>
          <w:p>
            <w:pPr>
              <w:pStyle w:val="46"/>
              <w:spacing w:line="240" w:lineRule="auto"/>
              <w:rPr>
                <w:rFonts w:ascii="Times New Roman" w:hAnsi="Times New Roman"/>
                <w:color w:val="000000"/>
                <w:szCs w:val="21"/>
              </w:rPr>
            </w:pPr>
            <w:r>
              <w:rPr>
                <w:rFonts w:ascii="Times New Roman" w:hAnsi="Times New Roman"/>
                <w:color w:val="000000"/>
                <w:szCs w:val="21"/>
              </w:rPr>
              <w:t>400人</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青木关镇政府</w:t>
            </w:r>
          </w:p>
          <w:p>
            <w:pPr>
              <w:pStyle w:val="46"/>
              <w:spacing w:line="240" w:lineRule="auto"/>
              <w:rPr>
                <w:rFonts w:ascii="Times New Roman" w:hAnsi="Times New Roman"/>
                <w:color w:val="000000"/>
                <w:szCs w:val="21"/>
              </w:rPr>
            </w:pPr>
            <w:r>
              <w:rPr>
                <w:rFonts w:ascii="Times New Roman" w:hAnsi="Times New Roman"/>
                <w:color w:val="000000"/>
                <w:szCs w:val="21"/>
              </w:rPr>
              <w:t>023-65603628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3</w:t>
            </w:r>
          </w:p>
        </w:tc>
        <w:tc>
          <w:tcPr>
            <w:tcW w:w="164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106°17 '14"E</w:t>
            </w:r>
          </w:p>
          <w:p>
            <w:pPr>
              <w:pStyle w:val="46"/>
              <w:spacing w:line="240" w:lineRule="auto"/>
              <w:rPr>
                <w:rFonts w:ascii="Times New Roman" w:hAnsi="Times New Roman"/>
                <w:color w:val="000000"/>
                <w:szCs w:val="21"/>
              </w:rPr>
            </w:pPr>
            <w:r>
              <w:rPr>
                <w:rFonts w:ascii="Times New Roman" w:hAnsi="Times New Roman"/>
                <w:color w:val="000000"/>
                <w:szCs w:val="21"/>
              </w:rPr>
              <w:t>29°40' 44" N</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E</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1000m</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大型</w:t>
            </w:r>
          </w:p>
          <w:p>
            <w:pPr>
              <w:pStyle w:val="46"/>
              <w:spacing w:line="240" w:lineRule="auto"/>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0万</w:t>
            </w:r>
            <w:r>
              <w:rPr>
                <w:rFonts w:ascii="Times New Roman" w:hAnsi="Times New Roman"/>
                <w:color w:val="000000"/>
                <w:szCs w:val="21"/>
              </w:rPr>
              <w:t>人</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青木关镇政府</w:t>
            </w:r>
          </w:p>
          <w:p>
            <w:pPr>
              <w:pStyle w:val="46"/>
              <w:spacing w:line="240" w:lineRule="auto"/>
              <w:rPr>
                <w:rFonts w:ascii="Times New Roman" w:hAnsi="Times New Roman"/>
                <w:color w:val="000000"/>
                <w:szCs w:val="21"/>
              </w:rPr>
            </w:pPr>
            <w:r>
              <w:rPr>
                <w:rFonts w:ascii="Times New Roman" w:hAnsi="Times New Roman"/>
                <w:color w:val="000000"/>
                <w:szCs w:val="21"/>
              </w:rPr>
              <w:t>023-65603628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4</w:t>
            </w:r>
          </w:p>
        </w:tc>
        <w:tc>
          <w:tcPr>
            <w:tcW w:w="164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福里树村</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106°16' 37"E</w:t>
            </w:r>
          </w:p>
          <w:p>
            <w:pPr>
              <w:pStyle w:val="46"/>
              <w:spacing w:line="240" w:lineRule="auto"/>
              <w:rPr>
                <w:rFonts w:ascii="Times New Roman" w:hAnsi="Times New Roman"/>
                <w:color w:val="000000"/>
                <w:szCs w:val="21"/>
              </w:rPr>
            </w:pPr>
            <w:r>
              <w:rPr>
                <w:rFonts w:ascii="Times New Roman" w:hAnsi="Times New Roman"/>
                <w:color w:val="000000"/>
                <w:szCs w:val="21"/>
              </w:rPr>
              <w:t>29°40' 41" N</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W</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1200m</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大型</w:t>
            </w:r>
          </w:p>
          <w:p>
            <w:pPr>
              <w:pStyle w:val="46"/>
              <w:spacing w:line="240" w:lineRule="auto"/>
              <w:rPr>
                <w:rFonts w:ascii="Times New Roman" w:hAnsi="Times New Roman"/>
                <w:color w:val="000000"/>
                <w:szCs w:val="21"/>
              </w:rPr>
            </w:pPr>
            <w:r>
              <w:rPr>
                <w:rFonts w:ascii="Times New Roman" w:hAnsi="Times New Roman"/>
                <w:color w:val="000000"/>
                <w:szCs w:val="21"/>
              </w:rPr>
              <w:t>400人</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青木关镇政府</w:t>
            </w:r>
          </w:p>
          <w:p>
            <w:pPr>
              <w:pStyle w:val="46"/>
              <w:spacing w:line="240" w:lineRule="auto"/>
              <w:rPr>
                <w:rFonts w:ascii="Times New Roman" w:hAnsi="Times New Roman"/>
                <w:color w:val="000000"/>
                <w:szCs w:val="21"/>
              </w:rPr>
            </w:pPr>
            <w:r>
              <w:rPr>
                <w:rFonts w:ascii="Times New Roman" w:hAnsi="Times New Roman"/>
                <w:color w:val="000000"/>
                <w:szCs w:val="21"/>
              </w:rPr>
              <w:t>023-65603628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522" w:type="dxa"/>
            <w:gridSpan w:val="7"/>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水环境风险受体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602"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5</w:t>
            </w:r>
          </w:p>
        </w:tc>
        <w:tc>
          <w:tcPr>
            <w:tcW w:w="164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梁滩河</w:t>
            </w:r>
          </w:p>
        </w:tc>
        <w:tc>
          <w:tcPr>
            <w:tcW w:w="137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106°18' 04"E</w:t>
            </w:r>
          </w:p>
          <w:p>
            <w:pPr>
              <w:pStyle w:val="46"/>
              <w:spacing w:line="240" w:lineRule="auto"/>
              <w:rPr>
                <w:rFonts w:ascii="Times New Roman" w:hAnsi="Times New Roman"/>
                <w:color w:val="000000"/>
                <w:szCs w:val="21"/>
              </w:rPr>
            </w:pPr>
            <w:r>
              <w:rPr>
                <w:rFonts w:ascii="Times New Roman" w:hAnsi="Times New Roman"/>
                <w:color w:val="000000"/>
                <w:szCs w:val="21"/>
              </w:rPr>
              <w:t>29°40' 26" N</w:t>
            </w:r>
          </w:p>
        </w:tc>
        <w:tc>
          <w:tcPr>
            <w:tcW w:w="520"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S</w:t>
            </w:r>
          </w:p>
        </w:tc>
        <w:tc>
          <w:tcPr>
            <w:tcW w:w="1397"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3200</w:t>
            </w:r>
          </w:p>
        </w:tc>
        <w:tc>
          <w:tcPr>
            <w:tcW w:w="1388"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∨类水域功能、农业用水</w:t>
            </w:r>
          </w:p>
        </w:tc>
        <w:tc>
          <w:tcPr>
            <w:tcW w:w="1605" w:type="dxa"/>
            <w:noWrap w:val="0"/>
            <w:vAlign w:val="center"/>
          </w:tcPr>
          <w:p>
            <w:pPr>
              <w:pStyle w:val="46"/>
              <w:spacing w:line="240" w:lineRule="auto"/>
              <w:rPr>
                <w:rFonts w:ascii="Times New Roman" w:hAnsi="Times New Roman"/>
                <w:color w:val="000000"/>
                <w:szCs w:val="21"/>
              </w:rPr>
            </w:pPr>
            <w:r>
              <w:rPr>
                <w:rFonts w:ascii="Times New Roman" w:hAnsi="Times New Roman"/>
                <w:color w:val="000000"/>
                <w:szCs w:val="21"/>
              </w:rPr>
              <w:t>青木关镇政府</w:t>
            </w:r>
          </w:p>
          <w:p>
            <w:pPr>
              <w:pStyle w:val="46"/>
              <w:spacing w:line="240" w:lineRule="auto"/>
              <w:rPr>
                <w:rFonts w:ascii="Times New Roman" w:hAnsi="Times New Roman"/>
                <w:color w:val="000000"/>
                <w:szCs w:val="21"/>
              </w:rPr>
            </w:pPr>
            <w:r>
              <w:rPr>
                <w:rFonts w:ascii="Times New Roman" w:hAnsi="Times New Roman"/>
                <w:color w:val="000000"/>
                <w:szCs w:val="21"/>
              </w:rPr>
              <w:t>023-65603628</w:t>
            </w:r>
          </w:p>
        </w:tc>
      </w:tr>
    </w:tbl>
    <w:p>
      <w:pPr>
        <w:adjustRightInd w:val="0"/>
        <w:snapToGrid w:val="0"/>
        <w:ind w:firstLine="480"/>
        <w:jc w:val="center"/>
        <w:rPr>
          <w:color w:val="000000"/>
        </w:rPr>
      </w:pPr>
    </w:p>
    <w:p>
      <w:pPr>
        <w:ind w:firstLine="480"/>
        <w:rPr>
          <w:color w:val="000000"/>
        </w:rPr>
        <w:sectPr>
          <w:pgSz w:w="11906" w:h="16838"/>
          <w:pgMar w:top="1440" w:right="1800" w:bottom="1440" w:left="1800" w:header="1134" w:footer="992" w:gutter="0"/>
          <w:pgNumType w:start="1"/>
          <w:cols w:space="720" w:num="1"/>
          <w:docGrid w:type="lines" w:linePitch="318" w:charSpace="0"/>
        </w:sectPr>
      </w:pPr>
      <w:r>
        <w:rPr>
          <w:color w:val="000000"/>
        </w:rPr>
        <w:t>据表4-1可知，企业周边500m范围内主要是关口村，青木关镇，重庆永荣青鹏水泥有限公司家属区另有福里树村等。</w:t>
      </w:r>
    </w:p>
    <w:p>
      <w:pPr>
        <w:pStyle w:val="3"/>
        <w:rPr>
          <w:rFonts w:ascii="Times New Roman" w:hAnsi="Times New Roman" w:eastAsia="宋体"/>
          <w:color w:val="000000"/>
        </w:rPr>
      </w:pPr>
      <w:bookmarkStart w:id="690" w:name="_Toc15956_WPSOffice_Level1"/>
      <w:bookmarkStart w:id="691" w:name="_Toc21773"/>
      <w:bookmarkStart w:id="692" w:name="_Toc32622"/>
      <w:bookmarkStart w:id="693" w:name="_Toc4214"/>
      <w:bookmarkStart w:id="694" w:name="_Toc531529734"/>
      <w:bookmarkStart w:id="695" w:name="_Toc31396_WPSOffice_Level1"/>
      <w:r>
        <w:rPr>
          <w:rFonts w:ascii="Times New Roman" w:hAnsi="Times New Roman" w:eastAsia="宋体"/>
          <w:color w:val="000000"/>
        </w:rPr>
        <w:t>5 应急救援组织及职责</w:t>
      </w:r>
      <w:bookmarkEnd w:id="678"/>
      <w:bookmarkEnd w:id="679"/>
      <w:bookmarkEnd w:id="680"/>
      <w:bookmarkEnd w:id="690"/>
      <w:bookmarkEnd w:id="691"/>
      <w:bookmarkEnd w:id="692"/>
      <w:bookmarkEnd w:id="693"/>
      <w:bookmarkEnd w:id="694"/>
      <w:bookmarkEnd w:id="695"/>
    </w:p>
    <w:p>
      <w:pPr>
        <w:pStyle w:val="2"/>
        <w:keepNext w:val="0"/>
        <w:keepLines w:val="0"/>
        <w:spacing w:line="240" w:lineRule="auto"/>
        <w:ind w:firstLine="562"/>
        <w:rPr>
          <w:rFonts w:ascii="Times New Roman" w:hAnsi="Times New Roman"/>
          <w:color w:val="000000"/>
          <w:sz w:val="28"/>
          <w:szCs w:val="28"/>
          <w:lang w:val="zh-CN"/>
        </w:rPr>
      </w:pPr>
      <w:bookmarkStart w:id="696" w:name="_Toc407620173"/>
      <w:bookmarkStart w:id="697" w:name="_Toc531529735"/>
      <w:bookmarkStart w:id="698" w:name="_Toc8699_WPSOffice_Level2"/>
      <w:bookmarkStart w:id="699" w:name="_Toc7969"/>
      <w:bookmarkStart w:id="700" w:name="_Toc491120185"/>
      <w:bookmarkStart w:id="701" w:name="_Toc23975"/>
      <w:bookmarkStart w:id="702" w:name="_Toc23521_WPSOffice_Level2"/>
      <w:bookmarkStart w:id="703" w:name="_Toc30578"/>
      <w:bookmarkStart w:id="704" w:name="_Toc294080725"/>
      <w:bookmarkStart w:id="705" w:name="_Toc295467962"/>
      <w:r>
        <w:rPr>
          <w:rFonts w:ascii="Times New Roman" w:hAnsi="Times New Roman"/>
          <w:color w:val="000000"/>
          <w:sz w:val="28"/>
          <w:szCs w:val="28"/>
          <w:lang w:val="zh-CN"/>
        </w:rPr>
        <w:t>5.1 应急组织</w:t>
      </w:r>
      <w:bookmarkEnd w:id="696"/>
      <w:bookmarkEnd w:id="697"/>
      <w:bookmarkEnd w:id="698"/>
      <w:bookmarkEnd w:id="699"/>
      <w:bookmarkEnd w:id="700"/>
      <w:bookmarkEnd w:id="701"/>
      <w:bookmarkEnd w:id="702"/>
      <w:r>
        <w:rPr>
          <w:rFonts w:ascii="Times New Roman" w:hAnsi="Times New Roman"/>
          <w:color w:val="000000"/>
          <w:sz w:val="28"/>
          <w:szCs w:val="28"/>
          <w:lang w:val="zh-CN"/>
        </w:rPr>
        <w:t>体系</w:t>
      </w:r>
      <w:bookmarkEnd w:id="703"/>
    </w:p>
    <w:p>
      <w:pPr>
        <w:ind w:firstLine="482"/>
        <w:rPr>
          <w:b/>
          <w:bCs/>
        </w:rPr>
      </w:pPr>
      <w:r>
        <w:rPr>
          <w:b/>
          <w:bCs/>
        </w:rPr>
        <w:t>5.1.1应急办公室</w:t>
      </w:r>
    </w:p>
    <w:p>
      <w:pPr>
        <w:ind w:firstLine="480"/>
        <w:rPr>
          <w:color w:val="000000"/>
        </w:rPr>
      </w:pPr>
      <w:bookmarkStart w:id="706" w:name="_Toc1638_WPSOffice_Level3"/>
      <w:bookmarkStart w:id="707" w:name="_Toc2410_WPSOffice_Level3"/>
      <w:bookmarkStart w:id="708" w:name="_Toc12906_WPSOffice_Level3"/>
      <w:bookmarkStart w:id="709" w:name="_Toc30683_WPSOffice_Level3"/>
      <w:bookmarkStart w:id="710" w:name="_Toc20422_WPSOffice_Level3"/>
      <w:r>
        <w:rPr>
          <w:color w:val="000000"/>
        </w:rPr>
        <w:t>青鹏公司成立应急办公室，应急办公室由廖建军负责。应急办公室为公司应急管理的常设机构，主要工作内容包括日常的巡查巡检，应急物资储备，应急预案的编制和修订，环保法律法规的宣传和组织学习等；发生事故时参与应急指挥。应急办公室日常工作职责具体包括：</w:t>
      </w:r>
    </w:p>
    <w:p>
      <w:pPr>
        <w:ind w:firstLine="480"/>
        <w:rPr>
          <w:color w:val="000000"/>
        </w:rPr>
      </w:pPr>
      <w:r>
        <w:rPr>
          <w:color w:val="000000"/>
        </w:rPr>
        <w:t>① 负责国家关于企业环境风险管理、应急管理的相关法律法规、标准规范的宣贯等；</w:t>
      </w:r>
    </w:p>
    <w:p>
      <w:pPr>
        <w:ind w:firstLine="480"/>
        <w:rPr>
          <w:color w:val="000000"/>
        </w:rPr>
      </w:pPr>
      <w:r>
        <w:rPr>
          <w:color w:val="000000"/>
        </w:rPr>
        <w:t>② 组织员工关于环境风险和应急管理的培训学习等。</w:t>
      </w:r>
    </w:p>
    <w:p>
      <w:pPr>
        <w:ind w:firstLine="480"/>
        <w:rPr>
          <w:color w:val="000000"/>
        </w:rPr>
      </w:pPr>
      <w:r>
        <w:rPr>
          <w:color w:val="000000"/>
        </w:rPr>
        <w:t>③ 负责企业每年突发环境事件的应急演练的组织、协调等工作。</w:t>
      </w:r>
    </w:p>
    <w:p>
      <w:pPr>
        <w:ind w:firstLine="480"/>
        <w:rPr>
          <w:color w:val="000000"/>
        </w:rPr>
      </w:pPr>
      <w:r>
        <w:rPr>
          <w:color w:val="000000"/>
        </w:rPr>
        <w:t>④ 负责企业环境风险管理的档案资料管理。</w:t>
      </w:r>
    </w:p>
    <w:p>
      <w:pPr>
        <w:ind w:firstLine="480"/>
        <w:rPr>
          <w:color w:val="000000"/>
        </w:rPr>
      </w:pPr>
      <w:r>
        <w:rPr>
          <w:color w:val="000000"/>
        </w:rPr>
        <w:t>⑤ 参与制定应急预案，并负责监督检查风险防范措施的落实情况。</w:t>
      </w:r>
    </w:p>
    <w:p>
      <w:pPr>
        <w:ind w:firstLine="480"/>
        <w:rPr>
          <w:color w:val="000000"/>
        </w:rPr>
      </w:pPr>
      <w:r>
        <w:rPr>
          <w:color w:val="000000"/>
        </w:rPr>
        <w:t>⑥ 组建应急救援专业队伍，并进行管理；</w:t>
      </w:r>
    </w:p>
    <w:p>
      <w:pPr>
        <w:ind w:firstLine="480"/>
        <w:rPr>
          <w:color w:val="000000"/>
        </w:rPr>
      </w:pPr>
      <w:r>
        <w:rPr>
          <w:color w:val="000000"/>
        </w:rPr>
        <w:t>⑦ 检查督促做好事故的预防措施和应急救援的各项准备工作。</w:t>
      </w:r>
    </w:p>
    <w:p>
      <w:pPr>
        <w:pStyle w:val="2"/>
        <w:ind w:firstLine="602"/>
        <w:rPr>
          <w:rFonts w:ascii="Times New Roman" w:hAnsi="Times New Roman"/>
        </w:rPr>
      </w:pPr>
      <w:bookmarkStart w:id="711" w:name="_Toc8873"/>
      <w:r>
        <w:rPr>
          <w:rFonts w:ascii="Times New Roman" w:hAnsi="Times New Roman"/>
          <w:color w:val="000000"/>
        </w:rPr>
        <w:t>5.1.2应急救援机构</w:t>
      </w:r>
      <w:bookmarkEnd w:id="711"/>
    </w:p>
    <w:p>
      <w:pPr>
        <w:ind w:firstLine="480"/>
        <w:rPr>
          <w:color w:val="000000"/>
        </w:rPr>
      </w:pPr>
      <w:r>
        <w:rPr>
          <w:color w:val="000000"/>
        </w:rPr>
        <w:t>青鹏公司发生突发环境事件时，成立应急指挥部，作为突发环境事件应急指挥机构，下设抢险救援组、综合协调组和安全警戒组等应急处置队伍，负责组织实施突发环境事件应急处置工作，应急组织机构见图5.1-1。</w:t>
      </w:r>
    </w:p>
    <w:p>
      <w:pPr>
        <w:pStyle w:val="2"/>
        <w:rPr>
          <w:rFonts w:ascii="Times New Roman" w:hAnsi="Times New Roman"/>
          <w:color w:val="000000"/>
          <w:sz w:val="21"/>
          <w:szCs w:val="21"/>
        </w:rPr>
      </w:pPr>
      <w:bookmarkStart w:id="712" w:name="_Toc25879105"/>
      <w:r>
        <w:rPr>
          <w:rFonts w:ascii="Times New Roman" w:hAnsi="Times New Roman"/>
          <w:color w:val="000000"/>
          <w:sz w:val="21"/>
          <w:szCs w:val="21"/>
        </w:rPr>
        <mc:AlternateContent>
          <mc:Choice Requires="wpc">
            <w:drawing>
              <wp:inline distT="0" distB="0" distL="114300" distR="114300">
                <wp:extent cx="4955540" cy="1387475"/>
                <wp:effectExtent l="7620" t="0" r="2504440" b="327025"/>
                <wp:docPr id="624" name="画布 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2" name="矩形 612"/>
                        <wps:cNvSpPr/>
                        <wps:spPr>
                          <a:xfrm>
                            <a:off x="1860617" y="50547"/>
                            <a:ext cx="1232109" cy="329654"/>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应急指挥部</w:t>
                              </w:r>
                            </w:p>
                          </w:txbxContent>
                        </wps:txbx>
                        <wps:bodyPr upright="1"/>
                      </wps:wsp>
                      <wps:wsp>
                        <wps:cNvPr id="613" name="直接箭头连接符 613"/>
                        <wps:cNvCnPr/>
                        <wps:spPr>
                          <a:xfrm>
                            <a:off x="2476671" y="388259"/>
                            <a:ext cx="733" cy="342840"/>
                          </a:xfrm>
                          <a:prstGeom prst="straightConnector1">
                            <a:avLst/>
                          </a:prstGeom>
                          <a:ln w="15875" cap="flat" cmpd="sng">
                            <a:solidFill>
                              <a:srgbClr val="000000"/>
                            </a:solidFill>
                            <a:prstDash val="solid"/>
                            <a:headEnd type="none" w="med" len="med"/>
                            <a:tailEnd type="none" w="med" len="med"/>
                          </a:ln>
                          <a:effectLst/>
                        </wps:spPr>
                        <wps:bodyPr/>
                      </wps:wsp>
                      <wps:wsp>
                        <wps:cNvPr id="614" name="直接箭头连接符 614"/>
                        <wps:cNvCnPr/>
                        <wps:spPr>
                          <a:xfrm>
                            <a:off x="625577" y="733296"/>
                            <a:ext cx="3768847" cy="733"/>
                          </a:xfrm>
                          <a:prstGeom prst="straightConnector1">
                            <a:avLst/>
                          </a:prstGeom>
                          <a:ln w="19050" cap="flat" cmpd="sng">
                            <a:solidFill>
                              <a:srgbClr val="000000"/>
                            </a:solidFill>
                            <a:prstDash val="solid"/>
                            <a:headEnd type="none" w="med" len="med"/>
                            <a:tailEnd type="none" w="med" len="med"/>
                          </a:ln>
                          <a:effectLst/>
                        </wps:spPr>
                        <wps:bodyPr/>
                      </wps:wsp>
                      <wps:wsp>
                        <wps:cNvPr id="615" name="直接箭头连接符 615"/>
                        <wps:cNvCnPr/>
                        <wps:spPr>
                          <a:xfrm>
                            <a:off x="625577" y="733296"/>
                            <a:ext cx="733" cy="345037"/>
                          </a:xfrm>
                          <a:prstGeom prst="straightConnector1">
                            <a:avLst/>
                          </a:prstGeom>
                          <a:ln w="15875" cap="flat" cmpd="sng">
                            <a:solidFill>
                              <a:srgbClr val="000000"/>
                            </a:solidFill>
                            <a:prstDash val="solid"/>
                            <a:headEnd type="none" w="med" len="med"/>
                            <a:tailEnd type="none" w="med" len="med"/>
                          </a:ln>
                          <a:effectLst/>
                        </wps:spPr>
                        <wps:bodyPr/>
                      </wps:wsp>
                      <wps:wsp>
                        <wps:cNvPr id="616" name="直接箭头连接符 616"/>
                        <wps:cNvCnPr/>
                        <wps:spPr>
                          <a:xfrm>
                            <a:off x="2477404" y="735494"/>
                            <a:ext cx="1465" cy="345770"/>
                          </a:xfrm>
                          <a:prstGeom prst="straightConnector1">
                            <a:avLst/>
                          </a:prstGeom>
                          <a:ln w="15875" cap="flat" cmpd="sng">
                            <a:solidFill>
                              <a:srgbClr val="000000"/>
                            </a:solidFill>
                            <a:prstDash val="solid"/>
                            <a:headEnd type="none" w="med" len="med"/>
                            <a:tailEnd type="none" w="med" len="med"/>
                          </a:ln>
                          <a:effectLst/>
                        </wps:spPr>
                        <wps:bodyPr/>
                      </wps:wsp>
                      <wps:wsp>
                        <wps:cNvPr id="617" name="矩形 617"/>
                        <wps:cNvSpPr/>
                        <wps:spPr>
                          <a:xfrm>
                            <a:off x="0" y="1081264"/>
                            <a:ext cx="1289246" cy="306211"/>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应急处置组</w:t>
                              </w:r>
                            </w:p>
                          </w:txbxContent>
                        </wps:txbx>
                        <wps:bodyPr upright="1"/>
                      </wps:wsp>
                      <wps:wsp>
                        <wps:cNvPr id="618" name="矩形 618"/>
                        <wps:cNvSpPr/>
                        <wps:spPr>
                          <a:xfrm>
                            <a:off x="1800549" y="1078333"/>
                            <a:ext cx="1347116" cy="309142"/>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综合保障组</w:t>
                              </w:r>
                            </w:p>
                          </w:txbxContent>
                        </wps:txbx>
                        <wps:bodyPr upright="1"/>
                      </wps:wsp>
                      <wps:wsp>
                        <wps:cNvPr id="619" name="直接箭头连接符 619"/>
                        <wps:cNvCnPr/>
                        <wps:spPr>
                          <a:xfrm>
                            <a:off x="4392960" y="735494"/>
                            <a:ext cx="1465" cy="345770"/>
                          </a:xfrm>
                          <a:prstGeom prst="straightConnector1">
                            <a:avLst/>
                          </a:prstGeom>
                          <a:ln w="15875" cap="flat" cmpd="sng">
                            <a:solidFill>
                              <a:srgbClr val="000000"/>
                            </a:solidFill>
                            <a:prstDash val="solid"/>
                            <a:headEnd type="none" w="med" len="med"/>
                            <a:tailEnd type="none" w="med" len="med"/>
                          </a:ln>
                          <a:effectLst/>
                        </wps:spPr>
                        <wps:bodyPr/>
                      </wps:wsp>
                      <wps:wsp>
                        <wps:cNvPr id="620" name="矩形 620"/>
                        <wps:cNvSpPr/>
                        <wps:spPr>
                          <a:xfrm>
                            <a:off x="3730024" y="1078333"/>
                            <a:ext cx="1225516" cy="309142"/>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警戒疏散组</w:t>
                              </w:r>
                            </w:p>
                          </w:txbxContent>
                        </wps:txbx>
                        <wps:bodyPr upright="1"/>
                      </wps:wsp>
                      <wpg:wgp>
                        <wpg:cNvPr id="621" name="组合 621"/>
                        <wpg:cNvGrpSpPr/>
                        <wpg:grpSpPr>
                          <a:xfrm>
                            <a:off x="2480334" y="312805"/>
                            <a:ext cx="4955540" cy="1387475"/>
                            <a:chOff x="3906" y="493"/>
                            <a:chExt cx="3192" cy="500"/>
                          </a:xfrm>
                          <a:effectLst/>
                        </wpg:grpSpPr>
                        <wps:wsp>
                          <wps:cNvPr id="622" name="直接连接符 11"/>
                          <wps:cNvCnPr/>
                          <wps:spPr>
                            <a:xfrm>
                              <a:off x="3906" y="757"/>
                              <a:ext cx="1259" cy="1"/>
                            </a:xfrm>
                            <a:prstGeom prst="line">
                              <a:avLst/>
                            </a:prstGeom>
                            <a:ln w="15875" cap="flat" cmpd="sng">
                              <a:solidFill>
                                <a:srgbClr val="000001"/>
                              </a:solidFill>
                              <a:prstDash val="solid"/>
                              <a:miter/>
                              <a:headEnd type="none" w="med" len="med"/>
                              <a:tailEnd type="none" w="med" len="med"/>
                            </a:ln>
                            <a:effectLst/>
                          </wps:spPr>
                          <wps:bodyPr upright="1"/>
                        </wps:wsp>
                        <wps:wsp>
                          <wps:cNvPr id="623" name="矩形 12"/>
                          <wps:cNvSpPr/>
                          <wps:spPr>
                            <a:xfrm>
                              <a:off x="5157" y="492"/>
                              <a:ext cx="1940" cy="499"/>
                            </a:xfrm>
                            <a:prstGeom prst="rect">
                              <a:avLst/>
                            </a:prstGeom>
                            <a:noFill/>
                            <a:ln w="15875" cap="flat" cmpd="sng">
                              <a:solidFill>
                                <a:srgbClr val="000000"/>
                              </a:solidFill>
                              <a:prstDash val="solid"/>
                              <a:miter/>
                              <a:headEnd type="none" w="med" len="med"/>
                              <a:tailEnd type="none" w="med" len="med"/>
                            </a:ln>
                            <a:effectLst/>
                          </wps:spPr>
                          <wps:txbx>
                            <w:txbxContent>
                              <w:p>
                                <w:pPr>
                                  <w:spacing w:line="240" w:lineRule="auto"/>
                                  <w:ind w:firstLine="422"/>
                                  <w:jc w:val="center"/>
                                  <w:rPr>
                                    <w:rFonts w:ascii="宋体" w:hAnsi="宋体"/>
                                    <w:b/>
                                    <w:color w:val="000000"/>
                                    <w:kern w:val="0"/>
                                    <w:sz w:val="21"/>
                                  </w:rPr>
                                </w:pPr>
                                <w:r>
                                  <w:rPr>
                                    <w:rFonts w:hint="eastAsia" w:ascii="宋体" w:hAnsi="宋体"/>
                                    <w:b/>
                                    <w:color w:val="000000"/>
                                    <w:kern w:val="0"/>
                                    <w:sz w:val="21"/>
                                  </w:rPr>
                                  <w:t>应急办公室</w:t>
                                </w:r>
                              </w:p>
                            </w:txbxContent>
                          </wps:txbx>
                          <wps:bodyPr upright="1"/>
                        </wps:wsp>
                      </wpg:wgp>
                    </wpc:wpc>
                  </a:graphicData>
                </a:graphic>
              </wp:inline>
            </w:drawing>
          </mc:Choice>
          <mc:Fallback>
            <w:pict>
              <v:group id="_x0000_s1026" o:spid="_x0000_s1026" o:spt="203" style="height:109.25pt;width:390.2pt;" coordsize="4955540,1387475" editas="canvas" o:gfxdata="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K17ktTVAAAABQEAAA8AAAAAAAAAAQAgAAAAIgAAAGRycy9kb3ducmV2LnhtbFBLAQIU&#10;ABQAAAAIAIdO4kD3a/89ogQAAEocAAAOAAAAAAAAAAEAIAAAACQBAABkcnMvZTJvRG9jLnhtbFBL&#10;BQYAAAAABgAGAFkBAAA4CAAAAAA=&#10;">
                <o:lock v:ext="edit" aspectratio="f"/>
                <v:rect id="_x0000_s1026" o:spid="_x0000_s1026" o:spt="1" style="position:absolute;left:0;top:0;height:1387475;width:4955540;" filled="f" stroked="f" coordsize="21600,21600" o:gfxdata="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">
                  <v:fill on="f" focussize="0,0"/>
                  <v:stroke on="f"/>
                  <v:imagedata o:title=""/>
                  <o:lock v:ext="edit" rotation="t" aspectratio="t"/>
                </v:rect>
                <v:rect id="_x0000_s1026" o:spid="_x0000_s1026" o:spt="1" style="position:absolute;left:1860617;top:50547;height:329654;width:1232109;" filled="f" stroked="t" coordsize="21600,21600" o:gfxdata="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nd7BNYAAAAFAQAADwAAAAAAAAABACAAAAAiAAAAZHJzL2Rvd25yZXYueG1sUEsBAhQA&#10;FAAAAAgAh07iQJ5GLAb0AQAAzwMAAA4AAAAAAAAAAQAgAAAAJQEAAGRycy9lMm9Eb2MueG1sUEsF&#10;BgAAAAAGAAYAWQEAAIsFAAAAAA==&#10;">
                  <v:fill on="f" focussize="0,0"/>
                  <v:stroke weight="1.25pt" color="#000000" joinstyle="miter"/>
                  <v:imagedata o:title=""/>
                  <o:lock v:ext="edit" aspectratio="f"/>
                  <v:textbo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应急指挥部</w:t>
                        </w:r>
                      </w:p>
                    </w:txbxContent>
                  </v:textbox>
                </v:rect>
                <v:shape id="_x0000_s1026" o:spid="_x0000_s1026" o:spt="32" type="#_x0000_t32" style="position:absolute;left:2476671;top:388259;height:342840;width:733;" filled="f" stroked="t" coordsize="21600,21600" o:gfxdata="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STm9YAAAAFAQAADwAAAAAAAAABACAAAAAiAAAAZHJzL2Rvd25yZXYueG1s&#10;UEsBAhQAFAAAAAgAh07iQLjp+Df6AQAAvQMAAA4AAAAAAAAAAQAgAAAAJQEAAGRycy9lMm9Eb2Mu&#10;eG1sUEsFBgAAAAAGAAYAWQEAAJEFAAAAAA==&#10;">
                  <v:fill on="f" focussize="0,0"/>
                  <v:stroke weight="1.25pt" color="#000000" joinstyle="round"/>
                  <v:imagedata o:title=""/>
                  <o:lock v:ext="edit" aspectratio="f"/>
                </v:shape>
                <v:shape id="_x0000_s1026" o:spid="_x0000_s1026" o:spt="32" type="#_x0000_t32" style="position:absolute;left:625577;top:733296;height:733;width:3768847;" filled="f" stroked="t" coordsize="21600,21600" o:gfxdata="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orIV0wAAAAUBAAAPAAAAAAAAAAEAIAAAACIAAABkcnMvZG93bnJldi54bWxQSwECFAAU&#10;AAAACACHTuJApI4H3PYBAAC9AwAADgAAAAAAAAABACAAAAAiAQAAZHJzL2Uyb0RvYy54bWxQSwUG&#10;AAAAAAYABgBZAQAAigUAAAAA&#10;">
                  <v:fill on="f" focussize="0,0"/>
                  <v:stroke weight="1.5pt" color="#000000" joinstyle="round"/>
                  <v:imagedata o:title=""/>
                  <o:lock v:ext="edit" aspectratio="f"/>
                </v:shape>
                <v:shape id="_x0000_s1026" o:spid="_x0000_s1026" o:spt="32" type="#_x0000_t32" style="position:absolute;left:625577;top:733296;height:345037;width:733;" filled="f" stroked="t" coordsize="21600,21600" o:gfxdata="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dJOb1gAAAAUBAAAPAAAAAAAAAAEAIAAAACIAAABkcnMvZG93bnJldi54bWxQSwEC&#10;FAAUAAAACACHTuJAfiCvl/YBAAC8AwAADgAAAAAAAAABACAAAAAlAQAAZHJzL2Uyb0RvYy54bWxQ&#10;SwUGAAAAAAYABgBZAQAAjQUAAAAA&#10;">
                  <v:fill on="f" focussize="0,0"/>
                  <v:stroke weight="1.25pt" color="#000000" joinstyle="round"/>
                  <v:imagedata o:title=""/>
                  <o:lock v:ext="edit" aspectratio="f"/>
                </v:shape>
                <v:shape id="_x0000_s1026" o:spid="_x0000_s1026" o:spt="32" type="#_x0000_t32" style="position:absolute;left:2477404;top:735494;height:345770;width:1465;" filled="f" stroked="t" coordsize="21600,21600" o:gfxdata="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dJOb1gAAAAUBAAAPAAAAAAAAAAEAIAAAACIAAABkcnMvZG93bnJldi54&#10;bWxQSwECFAAUAAAACACHTuJAuhMK3/wBAAC+AwAADgAAAAAAAAABACAAAAAlAQAAZHJzL2Uyb0Rv&#10;Yy54bWxQSwUGAAAAAAYABgBZAQAAkwUAAAAA&#10;">
                  <v:fill on="f" focussize="0,0"/>
                  <v:stroke weight="1.25pt" color="#000000" joinstyle="round"/>
                  <v:imagedata o:title=""/>
                  <o:lock v:ext="edit" aspectratio="f"/>
                </v:shape>
                <v:rect id="_x0000_s1026" o:spid="_x0000_s1026" o:spt="1" style="position:absolute;left:0;top:1081264;height:306211;width:1289246;" filled="f" stroked="t" coordsize="21600,21600" o:gfxdata="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nd7BNYAAAAFAQAADwAAAAAAAAABACAAAAAiAAAAZHJzL2Rvd25yZXYueG1sUEsBAhQAFAAAAAgA&#10;h07iQDAvOfPuAQAAywMAAA4AAAAAAAAAAQAgAAAAJQEAAGRycy9lMm9Eb2MueG1sUEsFBgAAAAAG&#10;AAYAWQEAAIUFAAAAAA==&#10;">
                  <v:fill on="f" focussize="0,0"/>
                  <v:stroke weight="1.25pt" color="#000000" joinstyle="miter"/>
                  <v:imagedata o:title=""/>
                  <o:lock v:ext="edit" aspectratio="f"/>
                  <v:textbo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应急处置组</w:t>
                        </w:r>
                      </w:p>
                    </w:txbxContent>
                  </v:textbox>
                </v:rect>
                <v:rect id="_x0000_s1026" o:spid="_x0000_s1026" o:spt="1" style="position:absolute;left:1800549;top:1078333;height:309142;width:1347116;" filled="f" stroked="t" coordsize="21600,21600" o:gfxdata="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nd7BNYAAAAFAQAADwAAAAAAAAABACAAAAAiAAAAZHJzL2Rvd25yZXYueG1sUEsBAhQA&#10;FAAAAAgAh07iQNTQVI70AQAA0QMAAA4AAAAAAAAAAQAgAAAAJQEAAGRycy9lMm9Eb2MueG1sUEsF&#10;BgAAAAAGAAYAWQEAAIsFAAAAAA==&#10;">
                  <v:fill on="f" focussize="0,0"/>
                  <v:stroke weight="1.25pt" color="#000000" joinstyle="miter"/>
                  <v:imagedata o:title=""/>
                  <o:lock v:ext="edit" aspectratio="f"/>
                  <v:textbo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综合保障组</w:t>
                        </w:r>
                      </w:p>
                    </w:txbxContent>
                  </v:textbox>
                </v:rect>
                <v:shape id="_x0000_s1026" o:spid="_x0000_s1026" o:spt="32" type="#_x0000_t32" style="position:absolute;left:4392960;top:735494;height:345770;width:1465;" filled="f" stroked="t" coordsize="21600,21600" o:gfxdata="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STm9YAAAAFAQAADwAAAAAAAAABACAAAAAiAAAAZHJzL2Rvd25yZXYueG1s&#10;UEsBAhQAFAAAAAgAh07iQHVIzwf6AQAAvgMAAA4AAAAAAAAAAQAgAAAAJQEAAGRycy9lMm9Eb2Mu&#10;eG1sUEsFBgAAAAAGAAYAWQEAAJEFAAAAAA==&#10;">
                  <v:fill on="f" focussize="0,0"/>
                  <v:stroke weight="1.25pt" color="#000000" joinstyle="round"/>
                  <v:imagedata o:title=""/>
                  <o:lock v:ext="edit" aspectratio="f"/>
                </v:shape>
                <v:rect id="_x0000_s1026" o:spid="_x0000_s1026" o:spt="1" style="position:absolute;left:3730024;top:1078333;height:309142;width:1225516;" filled="f" stroked="t" coordsize="21600,21600" o:gfxdata="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nd7BNYAAAAFAQAADwAAAAAAAAABACAAAAAiAAAAZHJzL2Rvd25yZXYueG1sUEsBAhQA&#10;FAAAAAgAh07iQMXUsmT0AQAA0QMAAA4AAAAAAAAAAQAgAAAAJQEAAGRycy9lMm9Eb2MueG1sUEsF&#10;BgAAAAAGAAYAWQEAAIsFAAAAAA==&#10;">
                  <v:fill on="f" focussize="0,0"/>
                  <v:stroke weight="1.25pt" color="#000000" joinstyle="miter"/>
                  <v:imagedata o:title=""/>
                  <o:lock v:ext="edit" aspectratio="f"/>
                  <v:textbox>
                    <w:txbxContent>
                      <w:p>
                        <w:pPr>
                          <w:spacing w:line="240" w:lineRule="auto"/>
                          <w:ind w:firstLine="422"/>
                          <w:jc w:val="center"/>
                          <w:rPr>
                            <w:rFonts w:hint="eastAsia" w:ascii="宋体" w:hAnsi="宋体"/>
                            <w:b/>
                            <w:color w:val="000000"/>
                            <w:kern w:val="0"/>
                            <w:sz w:val="21"/>
                          </w:rPr>
                        </w:pPr>
                        <w:r>
                          <w:rPr>
                            <w:rFonts w:hint="eastAsia" w:ascii="宋体" w:hAnsi="宋体"/>
                            <w:b/>
                            <w:color w:val="000000"/>
                            <w:kern w:val="0"/>
                            <w:sz w:val="21"/>
                          </w:rPr>
                          <w:t>警戒疏散组</w:t>
                        </w:r>
                      </w:p>
                    </w:txbxContent>
                  </v:textbox>
                </v:rect>
                <v:group id="_x0000_s1026" o:spid="_x0000_s1026" o:spt="203" style="position:absolute;left:2480333;top:312805;height:1387475;width:4955540;" coordorigin="3906,493" coordsize="3192,500" o:gfxdata="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6gX2bWAAAABQEAAA8AAAAA&#10;AAAAAQAgAAAAIgAAAGRycy9kb3ducmV2LnhtbFBLAQIUABQAAAAIAIdO4kAh+7icwQIAADMHAAAO&#10;AAAAAAAAAAEAIAAAACUBAABkcnMvZTJvRG9jLnhtbFBLBQYAAAAABgAGAFkBAABYBgAAAAA=&#10;">
                  <o:lock v:ext="edit" aspectratio="f"/>
                  <v:line id="直接连接符 11" o:spid="_x0000_s1026" o:spt="20" style="position:absolute;left:3906;top:757;height:1;width:1259;" filled="f" stroked="t" coordsize="21600,21600" o:gfxdata="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TZc+5AAAA2wAA&#10;AA8AAAAAAAAAAQAgAAAAIgAAAGRycy9kb3ducmV2LnhtbFBLAQIUABQAAAAIAIdO4kAzLwWeOwAA&#10;ADkAAAAQAAAAAAAAAAEAIAAAAAgBAABkcnMvc2hhcGV4bWwueG1sUEsFBgAAAAAGAAYAWwEAALID&#10;AAAAAA==&#10;">
                    <v:fill on="f" focussize="0,0"/>
                    <v:stroke weight="1.25pt" color="#000001" joinstyle="miter"/>
                    <v:imagedata o:title=""/>
                    <o:lock v:ext="edit" aspectratio="f"/>
                  </v:line>
                  <v:rect id="矩形 12" o:spid="_x0000_s1026" o:spt="1" style="position:absolute;left:5157;top:492;height:499;width:1940;" filled="f" stroked="t" coordsize="21600,21600" o:gfxdata="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aHLXm2AAAA2wAAAA8A&#10;AAAAAAAAAQAgAAAAIgAAAGRycy9kb3ducmV2LnhtbFBLAQIUABQAAAAIAIdO4kAzLwWeOwAAADkA&#10;AAAQAAAAAAAAAAEAIAAAAAUBAABkcnMvc2hhcGV4bWwueG1sUEsFBgAAAAAGAAYAWwEAAK8DAAAA&#10;AA==&#10;">
                    <v:fill on="f" focussize="0,0"/>
                    <v:stroke weight="1.25pt" color="#000000" joinstyle="miter"/>
                    <v:imagedata o:title=""/>
                    <o:lock v:ext="edit" aspectratio="f"/>
                    <v:textbox>
                      <w:txbxContent>
                        <w:p>
                          <w:pPr>
                            <w:spacing w:line="240" w:lineRule="auto"/>
                            <w:ind w:firstLine="422"/>
                            <w:jc w:val="center"/>
                            <w:rPr>
                              <w:rFonts w:ascii="宋体" w:hAnsi="宋体"/>
                              <w:b/>
                              <w:color w:val="000000"/>
                              <w:kern w:val="0"/>
                              <w:sz w:val="21"/>
                            </w:rPr>
                          </w:pPr>
                          <w:r>
                            <w:rPr>
                              <w:rFonts w:hint="eastAsia" w:ascii="宋体" w:hAnsi="宋体"/>
                              <w:b/>
                              <w:color w:val="000000"/>
                              <w:kern w:val="0"/>
                              <w:sz w:val="21"/>
                            </w:rPr>
                            <w:t>应急办公室</w:t>
                          </w:r>
                        </w:p>
                      </w:txbxContent>
                    </v:textbox>
                  </v:rect>
                </v:group>
                <w10:wrap type="none"/>
                <w10:anchorlock/>
              </v:group>
            </w:pict>
          </mc:Fallback>
        </mc:AlternateContent>
      </w:r>
      <w:bookmarkEnd w:id="712"/>
    </w:p>
    <w:p>
      <w:pPr>
        <w:ind w:firstLine="422"/>
        <w:jc w:val="center"/>
        <w:rPr>
          <w:b/>
          <w:bCs/>
          <w:color w:val="000000"/>
          <w:sz w:val="21"/>
        </w:rPr>
      </w:pPr>
      <w:r>
        <w:rPr>
          <w:b/>
          <w:bCs/>
          <w:color w:val="000000"/>
          <w:sz w:val="21"/>
        </w:rPr>
        <w:t>图5.1-1 应急组织机构图</w:t>
      </w:r>
    </w:p>
    <w:p>
      <w:pPr>
        <w:ind w:firstLine="480"/>
      </w:pPr>
      <w:r>
        <w:t>企业应急救援机构人员见表5.1-1。</w:t>
      </w:r>
    </w:p>
    <w:p>
      <w:pPr>
        <w:adjustRightInd w:val="0"/>
        <w:snapToGrid w:val="0"/>
        <w:spacing w:line="312" w:lineRule="auto"/>
        <w:ind w:firstLine="422"/>
        <w:jc w:val="center"/>
        <w:rPr>
          <w:b/>
          <w:color w:val="000000"/>
        </w:rPr>
      </w:pPr>
      <w:r>
        <w:rPr>
          <w:b/>
          <w:color w:val="000000"/>
          <w:sz w:val="21"/>
        </w:rPr>
        <w:t>表5.1-1 应急救援指挥部组成成员及联系方式</w:t>
      </w:r>
      <w:bookmarkEnd w:id="706"/>
      <w:bookmarkEnd w:id="707"/>
      <w:bookmarkEnd w:id="708"/>
      <w:bookmarkEnd w:id="709"/>
      <w:bookmarkEnd w:id="710"/>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2"/>
        <w:gridCol w:w="732"/>
        <w:gridCol w:w="1853"/>
        <w:gridCol w:w="1701"/>
        <w:gridCol w:w="850"/>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642" w:type="dxa"/>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
                <w:color w:val="000000"/>
                <w:szCs w:val="21"/>
              </w:rPr>
            </w:pPr>
            <w:bookmarkStart w:id="713" w:name="_Toc516130261"/>
            <w:r>
              <w:rPr>
                <w:rFonts w:ascii="Times New Roman" w:hAnsi="Times New Roman"/>
                <w:b/>
                <w:color w:val="000000"/>
                <w:szCs w:val="21"/>
              </w:rPr>
              <w:t>序号</w:t>
            </w:r>
            <w:bookmarkEnd w:id="713"/>
          </w:p>
        </w:tc>
        <w:tc>
          <w:tcPr>
            <w:tcW w:w="2585" w:type="dxa"/>
            <w:gridSpan w:val="2"/>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
                <w:color w:val="000000"/>
                <w:szCs w:val="21"/>
              </w:rPr>
            </w:pPr>
            <w:bookmarkStart w:id="714" w:name="_Toc516130262"/>
            <w:r>
              <w:rPr>
                <w:rFonts w:ascii="Times New Roman" w:hAnsi="Times New Roman"/>
                <w:b/>
                <w:color w:val="000000"/>
                <w:szCs w:val="21"/>
              </w:rPr>
              <w:t>组织机构</w:t>
            </w:r>
            <w:bookmarkEnd w:id="714"/>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
                <w:color w:val="000000"/>
                <w:szCs w:val="21"/>
              </w:rPr>
            </w:pPr>
            <w:bookmarkStart w:id="715" w:name="_Toc516130263"/>
            <w:r>
              <w:rPr>
                <w:rFonts w:ascii="Times New Roman" w:hAnsi="Times New Roman"/>
                <w:b/>
                <w:color w:val="000000"/>
                <w:szCs w:val="21"/>
              </w:rPr>
              <w:t>职务</w:t>
            </w:r>
            <w:bookmarkEnd w:id="715"/>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
                <w:color w:val="000000"/>
                <w:szCs w:val="21"/>
              </w:rPr>
            </w:pPr>
            <w:bookmarkStart w:id="716" w:name="_Toc516130264"/>
            <w:r>
              <w:rPr>
                <w:rFonts w:ascii="Times New Roman" w:hAnsi="Times New Roman"/>
                <w:b/>
                <w:color w:val="000000"/>
                <w:szCs w:val="21"/>
              </w:rPr>
              <w:t>姓名</w:t>
            </w:r>
            <w:bookmarkEnd w:id="716"/>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
                <w:color w:val="000000"/>
                <w:szCs w:val="21"/>
              </w:rPr>
            </w:pPr>
            <w:bookmarkStart w:id="717" w:name="_Toc516130265"/>
            <w:r>
              <w:rPr>
                <w:rFonts w:ascii="Times New Roman" w:hAnsi="Times New Roman"/>
                <w:b/>
                <w:color w:val="000000"/>
                <w:szCs w:val="21"/>
              </w:rPr>
              <w:t>联络方式</w:t>
            </w:r>
            <w:bookmarkEnd w:id="71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642"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18" w:name="_Toc516130267"/>
            <w:r>
              <w:rPr>
                <w:rFonts w:ascii="Times New Roman" w:hAnsi="Times New Roman"/>
                <w:bCs/>
                <w:color w:val="000000"/>
                <w:szCs w:val="21"/>
              </w:rPr>
              <w:t>01</w:t>
            </w:r>
            <w:bookmarkEnd w:id="718"/>
          </w:p>
        </w:tc>
        <w:tc>
          <w:tcPr>
            <w:tcW w:w="732"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19" w:name="_Toc516130268"/>
            <w:r>
              <w:rPr>
                <w:rFonts w:ascii="Times New Roman" w:hAnsi="Times New Roman"/>
                <w:bCs/>
                <w:color w:val="000000"/>
                <w:szCs w:val="21"/>
              </w:rPr>
              <w:t>公司应急救援</w:t>
            </w:r>
          </w:p>
          <w:p>
            <w:pPr>
              <w:pStyle w:val="46"/>
              <w:spacing w:line="240" w:lineRule="auto"/>
              <w:rPr>
                <w:rFonts w:ascii="Times New Roman" w:hAnsi="Times New Roman"/>
                <w:bCs/>
                <w:color w:val="000000"/>
                <w:szCs w:val="21"/>
              </w:rPr>
            </w:pPr>
            <w:r>
              <w:rPr>
                <w:rFonts w:ascii="Times New Roman" w:hAnsi="Times New Roman"/>
                <w:bCs/>
                <w:color w:val="000000"/>
                <w:szCs w:val="21"/>
              </w:rPr>
              <w:t>队伍</w:t>
            </w:r>
            <w:bookmarkEnd w:id="719"/>
          </w:p>
        </w:tc>
        <w:tc>
          <w:tcPr>
            <w:tcW w:w="1853"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应急指挥部</w:t>
            </w: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20" w:name="_Toc516130270"/>
            <w:r>
              <w:rPr>
                <w:rFonts w:ascii="Times New Roman" w:hAnsi="Times New Roman"/>
                <w:bCs/>
                <w:color w:val="000000"/>
                <w:szCs w:val="21"/>
              </w:rPr>
              <w:t>指挥长</w:t>
            </w:r>
            <w:bookmarkEnd w:id="720"/>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张安俊</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 xml:space="preserve"> 13908394421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642"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1853"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1701" w:type="dxa"/>
            <w:tcBorders>
              <w:top w:val="single" w:color="000000" w:sz="2" w:space="0"/>
              <w:left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副指挥长</w:t>
            </w:r>
          </w:p>
        </w:tc>
        <w:tc>
          <w:tcPr>
            <w:tcW w:w="850" w:type="dxa"/>
            <w:tcBorders>
              <w:top w:val="single" w:color="000000" w:sz="2" w:space="0"/>
              <w:left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hint="eastAsia" w:ascii="Times New Roman" w:hAnsi="Times New Roman"/>
                <w:bCs/>
                <w:color w:val="000000"/>
                <w:szCs w:val="21"/>
              </w:rPr>
              <w:t>陈鑫</w:t>
            </w:r>
          </w:p>
        </w:tc>
        <w:tc>
          <w:tcPr>
            <w:tcW w:w="2127" w:type="dxa"/>
            <w:tcBorders>
              <w:top w:val="single" w:color="000000" w:sz="2" w:space="0"/>
              <w:left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hint="eastAsia" w:ascii="Times New Roman" w:hAnsi="Times New Roman"/>
                <w:bCs/>
                <w:color w:val="000000"/>
                <w:szCs w:val="21"/>
              </w:rPr>
              <w:t>13883080738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642"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bookmarkStart w:id="721" w:name="_Toc516130276"/>
            <w:r>
              <w:rPr>
                <w:rFonts w:ascii="Times New Roman" w:hAnsi="Times New Roman"/>
                <w:bCs/>
                <w:color w:val="000000"/>
                <w:szCs w:val="21"/>
              </w:rPr>
              <w:t>0</w:t>
            </w:r>
            <w:bookmarkEnd w:id="721"/>
            <w:r>
              <w:rPr>
                <w:rFonts w:hint="eastAsia" w:ascii="Times New Roman" w:hAnsi="Times New Roman"/>
                <w:bCs/>
                <w:color w:val="000000"/>
                <w:szCs w:val="21"/>
              </w:rPr>
              <w:t>2</w:t>
            </w: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hint="eastAsia" w:ascii="Times New Roman" w:hAnsi="Times New Roman"/>
                <w:bCs/>
                <w:color w:val="000000"/>
                <w:szCs w:val="21"/>
              </w:rPr>
              <w:t>应急处置组</w:t>
            </w: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22" w:name="_Toc516130278"/>
            <w:r>
              <w:rPr>
                <w:rFonts w:ascii="Times New Roman" w:hAnsi="Times New Roman"/>
                <w:bCs/>
                <w:color w:val="000000"/>
                <w:szCs w:val="21"/>
              </w:rPr>
              <w:t>组长</w:t>
            </w:r>
            <w:bookmarkEnd w:id="722"/>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hint="eastAsia" w:ascii="Times New Roman" w:hAnsi="Times New Roman"/>
                <w:bCs/>
                <w:color w:val="000000"/>
                <w:szCs w:val="21"/>
              </w:rPr>
              <w:t>廖建军</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15730481700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jc w:val="center"/>
        </w:trPr>
        <w:tc>
          <w:tcPr>
            <w:tcW w:w="642"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组员</w:t>
            </w:r>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hint="eastAsia" w:ascii="Times New Roman" w:hAnsi="Times New Roman"/>
                <w:bCs/>
                <w:color w:val="000000"/>
                <w:szCs w:val="21"/>
              </w:rPr>
              <w:t>吴</w:t>
            </w:r>
            <w:r>
              <w:rPr>
                <w:rFonts w:ascii="Times New Roman" w:hAnsi="Times New Roman"/>
                <w:bCs/>
                <w:color w:val="000000"/>
                <w:szCs w:val="21"/>
              </w:rPr>
              <w:t>峰</w:t>
            </w:r>
          </w:p>
          <w:p>
            <w:pPr>
              <w:pStyle w:val="46"/>
              <w:spacing w:line="240" w:lineRule="auto"/>
              <w:rPr>
                <w:rFonts w:ascii="Times New Roman" w:hAnsi="Times New Roman"/>
                <w:bCs/>
                <w:color w:val="000000"/>
                <w:szCs w:val="21"/>
              </w:rPr>
            </w:pPr>
            <w:r>
              <w:rPr>
                <w:rFonts w:ascii="Times New Roman" w:hAnsi="Times New Roman"/>
                <w:bCs/>
                <w:color w:val="000000"/>
                <w:szCs w:val="21"/>
              </w:rPr>
              <w:t>曹多毅</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hint="eastAsia" w:ascii="Times New Roman" w:hAnsi="Times New Roman"/>
                <w:bCs/>
                <w:color w:val="000000"/>
                <w:szCs w:val="21"/>
              </w:rPr>
              <w:t>13883307151</w:t>
            </w:r>
          </w:p>
          <w:p>
            <w:pPr>
              <w:pStyle w:val="46"/>
              <w:spacing w:line="240" w:lineRule="auto"/>
              <w:rPr>
                <w:rFonts w:ascii="Times New Roman" w:hAnsi="Times New Roman"/>
                <w:bCs/>
                <w:color w:val="000000"/>
                <w:szCs w:val="21"/>
              </w:rPr>
            </w:pPr>
            <w:r>
              <w:rPr>
                <w:rFonts w:ascii="Times New Roman" w:hAnsi="Times New Roman"/>
                <w:bCs/>
                <w:color w:val="000000"/>
                <w:szCs w:val="21"/>
              </w:rPr>
              <w:t>13527413186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642"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bookmarkStart w:id="723" w:name="_Toc516130281"/>
            <w:r>
              <w:rPr>
                <w:rFonts w:ascii="Times New Roman" w:hAnsi="Times New Roman"/>
                <w:bCs/>
                <w:color w:val="000000"/>
                <w:szCs w:val="21"/>
              </w:rPr>
              <w:t>0</w:t>
            </w:r>
            <w:bookmarkEnd w:id="723"/>
            <w:r>
              <w:rPr>
                <w:rFonts w:hint="eastAsia" w:ascii="Times New Roman" w:hAnsi="Times New Roman"/>
                <w:bCs/>
                <w:color w:val="000000"/>
                <w:szCs w:val="21"/>
              </w:rPr>
              <w:t>3</w:t>
            </w: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24" w:name="_Toc516130282"/>
            <w:r>
              <w:rPr>
                <w:rFonts w:ascii="Times New Roman" w:hAnsi="Times New Roman"/>
                <w:bCs/>
                <w:color w:val="000000"/>
                <w:szCs w:val="21"/>
              </w:rPr>
              <w:t>警戒疏散组</w:t>
            </w:r>
            <w:bookmarkEnd w:id="724"/>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bookmarkStart w:id="725" w:name="_Toc516130283"/>
            <w:r>
              <w:rPr>
                <w:rFonts w:ascii="Times New Roman" w:hAnsi="Times New Roman"/>
                <w:bCs/>
                <w:color w:val="000000"/>
                <w:szCs w:val="21"/>
              </w:rPr>
              <w:t>组长</w:t>
            </w:r>
            <w:bookmarkEnd w:id="725"/>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庞超</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13452185625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642"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组员</w:t>
            </w:r>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潘勇</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15025472733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642"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ascii="Times New Roman" w:hAnsi="Times New Roman"/>
                <w:bCs/>
                <w:color w:val="000000"/>
                <w:szCs w:val="21"/>
              </w:rPr>
              <w:t>0</w:t>
            </w:r>
            <w:r>
              <w:rPr>
                <w:rFonts w:hint="eastAsia" w:ascii="Times New Roman" w:hAnsi="Times New Roman"/>
                <w:bCs/>
                <w:color w:val="000000"/>
                <w:szCs w:val="21"/>
              </w:rPr>
              <w:t>4</w:t>
            </w: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restart"/>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综合保障组</w:t>
            </w: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组长</w:t>
            </w:r>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丁洪飞</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15923019598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642"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732" w:type="dxa"/>
            <w:vMerge w:val="continue"/>
            <w:tcBorders>
              <w:top w:val="single" w:color="000000" w:sz="2" w:space="0"/>
              <w:left w:val="single" w:color="000000" w:sz="2" w:space="0"/>
              <w:bottom w:val="single" w:color="000000" w:sz="2" w:space="0"/>
              <w:right w:val="single" w:color="000000" w:sz="2" w:space="0"/>
            </w:tcBorders>
            <w:noWrap w:val="0"/>
            <w:vAlign w:val="top"/>
          </w:tcPr>
          <w:p>
            <w:pPr>
              <w:pStyle w:val="46"/>
              <w:spacing w:line="240" w:lineRule="auto"/>
              <w:rPr>
                <w:rFonts w:ascii="Times New Roman" w:hAnsi="Times New Roman"/>
                <w:bCs/>
                <w:color w:val="000000"/>
                <w:szCs w:val="21"/>
              </w:rPr>
            </w:pPr>
          </w:p>
        </w:tc>
        <w:tc>
          <w:tcPr>
            <w:tcW w:w="1853" w:type="dxa"/>
            <w:vMerge w:val="continue"/>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p>
        </w:tc>
        <w:tc>
          <w:tcPr>
            <w:tcW w:w="1701"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ascii="Times New Roman" w:hAnsi="Times New Roman"/>
                <w:bCs/>
                <w:color w:val="000000"/>
                <w:szCs w:val="21"/>
              </w:rPr>
              <w:t>组员</w:t>
            </w:r>
          </w:p>
        </w:tc>
        <w:tc>
          <w:tcPr>
            <w:tcW w:w="850"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ascii="Times New Roman" w:hAnsi="Times New Roman"/>
                <w:bCs/>
                <w:color w:val="000000"/>
                <w:szCs w:val="21"/>
              </w:rPr>
            </w:pPr>
            <w:r>
              <w:rPr>
                <w:rFonts w:hint="eastAsia" w:ascii="Times New Roman" w:hAnsi="Times New Roman"/>
                <w:bCs/>
                <w:color w:val="000000"/>
                <w:szCs w:val="21"/>
              </w:rPr>
              <w:t>吴</w:t>
            </w:r>
            <w:r>
              <w:rPr>
                <w:rFonts w:ascii="Times New Roman" w:hAnsi="Times New Roman"/>
                <w:bCs/>
                <w:color w:val="000000"/>
                <w:szCs w:val="21"/>
              </w:rPr>
              <w:t>峰</w:t>
            </w:r>
          </w:p>
          <w:p>
            <w:pPr>
              <w:pStyle w:val="46"/>
              <w:spacing w:line="240" w:lineRule="auto"/>
              <w:rPr>
                <w:rFonts w:ascii="Times New Roman" w:hAnsi="Times New Roman"/>
                <w:bCs/>
                <w:color w:val="000000"/>
                <w:szCs w:val="21"/>
              </w:rPr>
            </w:pPr>
            <w:r>
              <w:rPr>
                <w:rFonts w:ascii="Times New Roman" w:hAnsi="Times New Roman"/>
                <w:bCs/>
                <w:color w:val="000000"/>
                <w:szCs w:val="21"/>
              </w:rPr>
              <w:t>王健</w:t>
            </w:r>
          </w:p>
        </w:tc>
        <w:tc>
          <w:tcPr>
            <w:tcW w:w="2127" w:type="dxa"/>
            <w:tcBorders>
              <w:top w:val="single" w:color="000000" w:sz="2" w:space="0"/>
              <w:left w:val="single" w:color="000000" w:sz="2" w:space="0"/>
              <w:bottom w:val="single" w:color="000000" w:sz="2" w:space="0"/>
              <w:right w:val="single" w:color="000000" w:sz="2" w:space="0"/>
            </w:tcBorders>
            <w:noWrap w:val="0"/>
            <w:vAlign w:val="center"/>
          </w:tcPr>
          <w:p>
            <w:pPr>
              <w:pStyle w:val="46"/>
              <w:spacing w:line="240" w:lineRule="auto"/>
              <w:rPr>
                <w:rFonts w:hint="eastAsia" w:ascii="Times New Roman" w:hAnsi="Times New Roman"/>
                <w:bCs/>
                <w:color w:val="000000"/>
                <w:szCs w:val="21"/>
              </w:rPr>
            </w:pPr>
            <w:r>
              <w:rPr>
                <w:rFonts w:hint="eastAsia" w:ascii="Times New Roman" w:hAnsi="Times New Roman"/>
                <w:bCs/>
                <w:color w:val="000000"/>
                <w:szCs w:val="21"/>
              </w:rPr>
              <w:t>13883307151</w:t>
            </w:r>
          </w:p>
          <w:p>
            <w:pPr>
              <w:pStyle w:val="46"/>
              <w:spacing w:line="240" w:lineRule="auto"/>
              <w:rPr>
                <w:rFonts w:ascii="Times New Roman" w:hAnsi="Times New Roman"/>
                <w:bCs/>
                <w:color w:val="000000"/>
                <w:szCs w:val="21"/>
              </w:rPr>
            </w:pPr>
            <w:r>
              <w:rPr>
                <w:rFonts w:ascii="Times New Roman" w:hAnsi="Times New Roman"/>
                <w:bCs/>
                <w:color w:val="000000"/>
                <w:szCs w:val="21"/>
              </w:rPr>
              <w:t>13668080666</w:t>
            </w:r>
          </w:p>
        </w:tc>
      </w:tr>
    </w:tbl>
    <w:p>
      <w:pPr>
        <w:ind w:firstLine="0" w:firstLineChars="0"/>
        <w:rPr>
          <w:color w:val="000000"/>
        </w:rPr>
      </w:pPr>
    </w:p>
    <w:p>
      <w:pPr>
        <w:pStyle w:val="2"/>
        <w:keepNext w:val="0"/>
        <w:keepLines w:val="0"/>
        <w:spacing w:line="240" w:lineRule="auto"/>
        <w:ind w:firstLine="562"/>
        <w:rPr>
          <w:rFonts w:ascii="Times New Roman" w:hAnsi="Times New Roman"/>
          <w:color w:val="000000"/>
          <w:sz w:val="28"/>
          <w:szCs w:val="28"/>
          <w:lang w:val="zh-CN"/>
        </w:rPr>
      </w:pPr>
      <w:bookmarkStart w:id="726" w:name="_Toc5579_WPSOffice_Level2"/>
      <w:bookmarkStart w:id="727" w:name="_Toc17664"/>
      <w:bookmarkStart w:id="728" w:name="_Toc7439"/>
      <w:bookmarkStart w:id="729" w:name="_Toc407620174"/>
      <w:bookmarkStart w:id="730" w:name="_Toc11258_WPSOffice_Level2"/>
      <w:bookmarkStart w:id="731" w:name="_Toc15020"/>
      <w:bookmarkStart w:id="732" w:name="_Toc386313001"/>
      <w:bookmarkStart w:id="733" w:name="_Toc531529736"/>
      <w:bookmarkStart w:id="734" w:name="_Toc491120186"/>
      <w:r>
        <w:rPr>
          <w:rFonts w:ascii="Times New Roman" w:hAnsi="Times New Roman"/>
          <w:color w:val="000000"/>
          <w:sz w:val="28"/>
          <w:szCs w:val="28"/>
          <w:lang w:val="zh-CN"/>
        </w:rPr>
        <w:t>5.2 应急救援队伍及职责</w:t>
      </w:r>
      <w:bookmarkEnd w:id="726"/>
      <w:bookmarkEnd w:id="727"/>
      <w:bookmarkEnd w:id="728"/>
      <w:bookmarkEnd w:id="729"/>
      <w:bookmarkEnd w:id="730"/>
      <w:bookmarkEnd w:id="731"/>
      <w:bookmarkEnd w:id="732"/>
      <w:bookmarkEnd w:id="733"/>
      <w:bookmarkEnd w:id="734"/>
      <w:r>
        <w:rPr>
          <w:rFonts w:ascii="Times New Roman" w:hAnsi="Times New Roman"/>
          <w:color w:val="000000"/>
          <w:sz w:val="28"/>
          <w:szCs w:val="28"/>
          <w:lang w:val="zh-CN"/>
        </w:rPr>
        <w:t xml:space="preserve"> </w:t>
      </w:r>
    </w:p>
    <w:p>
      <w:pPr>
        <w:pStyle w:val="19"/>
        <w:spacing w:before="0" w:beforeAutospacing="0" w:after="0" w:afterAutospacing="0"/>
        <w:ind w:firstLine="480"/>
        <w:jc w:val="both"/>
        <w:rPr>
          <w:rFonts w:ascii="Times New Roman" w:hAnsi="Times New Roman" w:cs="Times New Roman"/>
        </w:rPr>
      </w:pPr>
      <w:bookmarkStart w:id="735" w:name="_Toc491120187"/>
      <w:bookmarkStart w:id="736" w:name="_Toc531529737"/>
      <w:bookmarkStart w:id="737" w:name="_Toc20367"/>
      <w:bookmarkStart w:id="738" w:name="_Toc29626_WPSOffice_Level2"/>
      <w:bookmarkStart w:id="739" w:name="_Toc5479"/>
      <w:bookmarkStart w:id="740" w:name="_Toc407620175"/>
      <w:bookmarkStart w:id="741" w:name="_Toc1638_WPSOffice_Level2"/>
      <w:r>
        <w:rPr>
          <w:rFonts w:ascii="Times New Roman" w:hAnsi="Times New Roman" w:cs="Times New Roman"/>
        </w:rPr>
        <w:t>在发生事故时，公司成立事故应急指挥部，负责应急指挥工作，各应急救援小组按照各自的职责分工展开救援工作，应急指挥部及应急小组主要职责如下：</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（1）应急指挥部主要职责</w:t>
      </w:r>
    </w:p>
    <w:p>
      <w:pPr>
        <w:ind w:firstLine="480"/>
        <w:rPr>
          <w:color w:val="000000"/>
        </w:rPr>
      </w:pPr>
      <w:r>
        <w:rPr>
          <w:color w:val="000000"/>
        </w:rPr>
        <w:t>① 发生事故时，宣布应急预案的启动及终止；</w:t>
      </w:r>
    </w:p>
    <w:p>
      <w:pPr>
        <w:ind w:firstLine="480"/>
        <w:rPr>
          <w:color w:val="000000"/>
        </w:rPr>
      </w:pPr>
      <w:r>
        <w:rPr>
          <w:color w:val="000000"/>
        </w:rPr>
        <w:t>② 指挥各应急小组迅速准确到位开展应急处置工作、及时制止灾情的蔓延和扩大，尽可能减少事故现场人员及财产损失；并根据各应急小组的救援情况报告，及时调整应急响应的等级。</w:t>
      </w:r>
    </w:p>
    <w:p>
      <w:pPr>
        <w:ind w:firstLine="480"/>
        <w:rPr>
          <w:color w:val="000000"/>
        </w:rPr>
      </w:pPr>
      <w:r>
        <w:rPr>
          <w:color w:val="000000"/>
        </w:rPr>
        <w:t>③ 向上级报告和向友邻单位通报事故情况，必要时向有关单位发出救援请求；</w:t>
      </w:r>
    </w:p>
    <w:p>
      <w:pPr>
        <w:ind w:firstLine="480"/>
        <w:rPr>
          <w:color w:val="000000"/>
        </w:rPr>
      </w:pPr>
      <w:r>
        <w:rPr>
          <w:color w:val="000000"/>
        </w:rPr>
        <w:t>④ 组织事故调查、总结应急处置工作经验教训，组织并迅速恢复生产。</w:t>
      </w:r>
    </w:p>
    <w:p>
      <w:pPr>
        <w:ind w:firstLine="480"/>
        <w:rPr>
          <w:color w:val="000000"/>
        </w:rPr>
      </w:pPr>
      <w:r>
        <w:rPr>
          <w:color w:val="000000"/>
        </w:rPr>
        <w:t xml:space="preserve">⑤ 若指挥长不在公司时，由副总指挥长为临时总指挥和副总指挥，全权负责厂区应急工作，直到上一级人员到达现场后，指挥权自动向上移交，以保证应急救援工作有秩序地顺利进行。 </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应急处置组</w:t>
      </w:r>
    </w:p>
    <w:p>
      <w:pPr>
        <w:pStyle w:val="19"/>
        <w:spacing w:before="0" w:beforeAutospacing="0" w:after="0" w:afterAutospacing="0"/>
        <w:ind w:firstLine="480"/>
        <w:rPr>
          <w:rFonts w:ascii="Times New Roman" w:hAnsi="Times New Roman"/>
        </w:rPr>
      </w:pPr>
      <w:r>
        <w:rPr>
          <w:rFonts w:hint="eastAsia" w:ascii="Times New Roman" w:hAnsi="Times New Roman"/>
        </w:rPr>
        <w:t>按指挥部指令及各自的职责对事故进行现场人员营救或设备等转移，故障设备抢修等工作；</w:t>
      </w:r>
    </w:p>
    <w:p>
      <w:pPr>
        <w:pStyle w:val="19"/>
        <w:spacing w:before="0" w:beforeAutospacing="0" w:after="0" w:afterAutospacing="0"/>
        <w:ind w:firstLine="480"/>
        <w:rPr>
          <w:rFonts w:ascii="Times New Roman" w:hAnsi="Times New Roman"/>
        </w:rPr>
      </w:pPr>
      <w:r>
        <w:rPr>
          <w:rFonts w:hint="eastAsia" w:ascii="Times New Roman" w:hAnsi="Times New Roman"/>
        </w:rPr>
        <w:t>发生环境风险物质泄漏事故时，负责现场堵漏，泄漏物质的转移；关闭或设法堵住危险物质泄漏源，控制危险物质的扩散，将污染控制在最小范围；</w:t>
      </w:r>
    </w:p>
    <w:p>
      <w:pPr>
        <w:pStyle w:val="19"/>
        <w:spacing w:before="0" w:beforeAutospacing="0" w:after="0" w:afterAutospacing="0"/>
        <w:ind w:firstLine="480"/>
        <w:rPr>
          <w:rFonts w:ascii="Times New Roman" w:hAnsi="Times New Roman"/>
        </w:rPr>
      </w:pPr>
      <w:r>
        <w:rPr>
          <w:rFonts w:hint="eastAsia" w:ascii="Times New Roman" w:hAnsi="Times New Roman"/>
        </w:rPr>
        <w:t>发生火灾引发此生环境污染事故时，对事故废水及其他废弃物进行截留、收集、回收、处置等，确保含环境风险物质的事故废水导流到事故池，规避对环境的污染。</w:t>
      </w:r>
    </w:p>
    <w:p>
      <w:pPr>
        <w:pStyle w:val="19"/>
        <w:spacing w:before="0" w:beforeAutospacing="0" w:after="0" w:afterAutospacing="0"/>
        <w:ind w:firstLine="480"/>
        <w:jc w:val="both"/>
        <w:rPr>
          <w:rFonts w:ascii="Times New Roman" w:hAnsi="Times New Roman"/>
        </w:rPr>
      </w:pPr>
      <w:r>
        <w:rPr>
          <w:rFonts w:hint="eastAsia" w:ascii="Times New Roman" w:hAnsi="Times New Roman"/>
        </w:rPr>
        <w:t>妥善处理各项善后事宜，消除各种不安全、不稳定因素；</w:t>
      </w:r>
    </w:p>
    <w:p>
      <w:pPr>
        <w:pStyle w:val="19"/>
        <w:spacing w:before="0" w:beforeAutospacing="0" w:after="0" w:afterAutospacing="0"/>
        <w:ind w:firstLine="480"/>
        <w:jc w:val="both"/>
        <w:rPr>
          <w:rFonts w:ascii="Times New Roman" w:hAnsi="Times New Roman"/>
        </w:rPr>
      </w:pPr>
      <w:r>
        <w:rPr>
          <w:rFonts w:hint="eastAsia" w:ascii="Times New Roman" w:hAnsi="Times New Roman"/>
        </w:rPr>
        <w:t>（4）警戒疏散组</w:t>
      </w:r>
    </w:p>
    <w:p>
      <w:pPr>
        <w:pStyle w:val="19"/>
        <w:spacing w:before="0" w:beforeAutospacing="0" w:after="0" w:afterAutospacing="0"/>
        <w:ind w:firstLine="480"/>
        <w:rPr>
          <w:rFonts w:ascii="Times New Roman" w:hAnsi="Times New Roman" w:cs="Times New Roman"/>
        </w:rPr>
      </w:pPr>
      <w:r>
        <w:rPr>
          <w:rFonts w:hint="eastAsia" w:ascii="Times New Roman" w:hAnsi="Times New Roman" w:cs="Times New Roman"/>
        </w:rPr>
        <w:t>设置警戒区域，维护现场秩序，疏通道路；</w:t>
      </w:r>
    </w:p>
    <w:p>
      <w:pPr>
        <w:pStyle w:val="19"/>
        <w:spacing w:before="0" w:beforeAutospacing="0" w:after="0" w:afterAutospacing="0"/>
        <w:ind w:firstLine="480"/>
        <w:rPr>
          <w:rFonts w:ascii="Times New Roman" w:hAnsi="Times New Roman" w:cs="Times New Roman"/>
        </w:rPr>
      </w:pPr>
      <w:r>
        <w:rPr>
          <w:rFonts w:hint="eastAsia" w:ascii="Times New Roman" w:hAnsi="Times New Roman" w:cs="Times New Roman"/>
        </w:rPr>
        <w:t>按技术专家确定的避灾路线组织危险区人员撤离；</w:t>
      </w:r>
    </w:p>
    <w:p>
      <w:pPr>
        <w:pStyle w:val="19"/>
        <w:spacing w:before="0" w:beforeAutospacing="0" w:after="0" w:afterAutospacing="0"/>
        <w:ind w:firstLine="480"/>
        <w:rPr>
          <w:rFonts w:ascii="Times New Roman" w:hAnsi="Times New Roman" w:cs="Times New Roman"/>
        </w:rPr>
      </w:pPr>
      <w:r>
        <w:rPr>
          <w:rFonts w:hint="eastAsia" w:ascii="Times New Roman" w:hAnsi="Times New Roman" w:cs="Times New Roman"/>
        </w:rPr>
        <w:t>劝说无关人员离开事故现场，进行人员疏散，保证人员安全撤离；</w:t>
      </w:r>
    </w:p>
    <w:p>
      <w:pPr>
        <w:pStyle w:val="19"/>
        <w:spacing w:before="0" w:beforeAutospacing="0" w:after="0" w:afterAutospacing="0"/>
        <w:ind w:firstLine="480"/>
        <w:rPr>
          <w:rFonts w:ascii="Times New Roman" w:hAnsi="Times New Roman" w:cs="Times New Roman"/>
        </w:rPr>
      </w:pPr>
      <w:r>
        <w:rPr>
          <w:rFonts w:hint="eastAsia" w:ascii="Times New Roman" w:hAnsi="Times New Roman" w:cs="Times New Roman"/>
        </w:rPr>
        <w:t>保证交通路线畅通，保障救灾物资安全、顺利到达事故现场；</w:t>
      </w:r>
    </w:p>
    <w:p>
      <w:pPr>
        <w:pStyle w:val="19"/>
        <w:spacing w:before="0" w:beforeAutospacing="0" w:after="0" w:afterAutospacing="0"/>
        <w:ind w:firstLine="480"/>
        <w:jc w:val="both"/>
        <w:rPr>
          <w:rFonts w:ascii="Times New Roman" w:hAnsi="Times New Roman" w:cs="Times New Roman"/>
        </w:rPr>
      </w:pPr>
      <w:r>
        <w:rPr>
          <w:rFonts w:hint="eastAsia" w:ascii="Times New Roman" w:hAnsi="Times New Roman" w:cs="Times New Roman"/>
        </w:rPr>
        <w:t>事故发生后，禁止无关人员进入现场。</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综合保障组</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负责信息发布等应急处置工作；</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负责组织、运送应急处置物资，为应急处置行动提供物资保障；</w:t>
      </w:r>
    </w:p>
    <w:p>
      <w:pPr>
        <w:pStyle w:val="19"/>
        <w:spacing w:before="0" w:beforeAutospacing="0" w:after="0" w:afterAutospacing="0"/>
        <w:ind w:firstLine="480"/>
        <w:jc w:val="both"/>
        <w:rPr>
          <w:rFonts w:ascii="Times New Roman" w:hAnsi="Times New Roman" w:cs="Times New Roman"/>
        </w:rPr>
      </w:pPr>
      <w:r>
        <w:rPr>
          <w:rFonts w:ascii="Times New Roman" w:hAnsi="Times New Roman" w:cs="Times New Roman"/>
        </w:rPr>
        <w:t>对各应急处置行动提供</w:t>
      </w:r>
      <w:r>
        <w:rPr>
          <w:rFonts w:hint="eastAsia" w:ascii="Times New Roman" w:hAnsi="Times New Roman" w:cs="Times New Roman"/>
        </w:rPr>
        <w:t>人员及其他物资</w:t>
      </w:r>
      <w:r>
        <w:rPr>
          <w:rFonts w:ascii="Times New Roman" w:hAnsi="Times New Roman" w:cs="Times New Roman"/>
        </w:rPr>
        <w:t>支持；</w:t>
      </w:r>
    </w:p>
    <w:p>
      <w:pPr>
        <w:pStyle w:val="19"/>
        <w:spacing w:before="0" w:beforeAutospacing="0" w:after="0" w:afterAutospacing="0"/>
        <w:ind w:firstLine="480"/>
        <w:jc w:val="both"/>
        <w:rPr>
          <w:rFonts w:ascii="Times New Roman" w:hAnsi="Times New Roman" w:cs="Times New Roman"/>
        </w:rPr>
      </w:pPr>
      <w:r>
        <w:rPr>
          <w:rFonts w:hint="eastAsia" w:ascii="Times New Roman" w:hAnsi="Times New Roman" w:cs="Times New Roman"/>
        </w:rPr>
        <w:t>联络应急监测单位，并</w:t>
      </w:r>
      <w:r>
        <w:rPr>
          <w:rFonts w:ascii="Times New Roman" w:hAnsi="Times New Roman" w:cs="Times New Roman"/>
        </w:rPr>
        <w:t>配合</w:t>
      </w:r>
      <w:r>
        <w:rPr>
          <w:rFonts w:hint="eastAsia" w:ascii="Times New Roman" w:hAnsi="Times New Roman" w:cs="Times New Roman"/>
        </w:rPr>
        <w:t>外协应急监测单位</w:t>
      </w:r>
      <w:r>
        <w:rPr>
          <w:rFonts w:ascii="Times New Roman" w:hAnsi="Times New Roman" w:cs="Times New Roman"/>
        </w:rPr>
        <w:t>对环境污染事件现场及周边环境污染</w:t>
      </w:r>
      <w:r>
        <w:rPr>
          <w:rFonts w:hint="eastAsia" w:ascii="Times New Roman" w:hAnsi="Times New Roman" w:cs="Times New Roman"/>
        </w:rPr>
        <w:t>情况开展</w:t>
      </w:r>
      <w:r>
        <w:rPr>
          <w:rFonts w:ascii="Times New Roman" w:hAnsi="Times New Roman" w:cs="Times New Roman"/>
        </w:rPr>
        <w:t>监测</w:t>
      </w:r>
      <w:r>
        <w:rPr>
          <w:rFonts w:hint="eastAsia" w:ascii="Times New Roman" w:hAnsi="Times New Roman" w:cs="Times New Roman"/>
        </w:rPr>
        <w:t>工作</w:t>
      </w:r>
      <w:r>
        <w:rPr>
          <w:rFonts w:ascii="Times New Roman" w:hAnsi="Times New Roman" w:cs="Times New Roman"/>
        </w:rPr>
        <w:t>；</w:t>
      </w:r>
    </w:p>
    <w:p>
      <w:pPr>
        <w:pStyle w:val="19"/>
        <w:spacing w:before="0" w:beforeAutospacing="0" w:after="0" w:afterAutospacing="0"/>
        <w:ind w:firstLine="480"/>
        <w:jc w:val="both"/>
        <w:rPr>
          <w:rFonts w:ascii="Times New Roman" w:hAnsi="Times New Roman" w:cs="Times New Roman"/>
        </w:rPr>
      </w:pPr>
      <w:r>
        <w:rPr>
          <w:rFonts w:hint="eastAsia" w:ascii="Times New Roman" w:hAnsi="Times New Roman" w:cs="Times New Roman"/>
        </w:rPr>
        <w:t>负责受伤人员的医疗救助工作等。</w:t>
      </w:r>
    </w:p>
    <w:p>
      <w:pPr>
        <w:pStyle w:val="2"/>
        <w:ind w:firstLine="562"/>
        <w:contextualSpacing/>
        <w:rPr>
          <w:rFonts w:ascii="Times New Roman" w:hAnsi="Times New Roman"/>
          <w:color w:val="000000"/>
          <w:sz w:val="28"/>
          <w:szCs w:val="28"/>
          <w:lang w:val="zh-CN"/>
        </w:rPr>
      </w:pPr>
      <w:bookmarkStart w:id="742" w:name="_Toc28688"/>
      <w:r>
        <w:rPr>
          <w:rFonts w:ascii="Times New Roman" w:hAnsi="Times New Roman"/>
          <w:color w:val="000000"/>
          <w:sz w:val="28"/>
          <w:szCs w:val="28"/>
        </w:rPr>
        <w:t>5.3 外部应急救援力量</w:t>
      </w:r>
      <w:bookmarkEnd w:id="735"/>
      <w:bookmarkEnd w:id="736"/>
      <w:bookmarkEnd w:id="737"/>
      <w:bookmarkEnd w:id="738"/>
      <w:bookmarkEnd w:id="739"/>
      <w:bookmarkEnd w:id="740"/>
      <w:bookmarkEnd w:id="741"/>
      <w:bookmarkEnd w:id="742"/>
    </w:p>
    <w:p>
      <w:pPr>
        <w:ind w:firstLine="480"/>
        <w:rPr>
          <w:color w:val="000000"/>
        </w:rPr>
      </w:pPr>
      <w:r>
        <w:rPr>
          <w:color w:val="000000"/>
        </w:rPr>
        <w:t>在事故救援过程中，若事故范围或程度进一步扩大，企业救援队伍或应急物资设备不够时，当企业发生的环境事故企业没有能力应急处理时，事故处理及应急保障方面，可向沙坪坝区生态环境局、沙坪坝区公安局、沙坪坝区公安消防支队、沙坪坝区政府应急办公室等部门联系，调动其应急资源，予以援助。</w:t>
      </w:r>
    </w:p>
    <w:p>
      <w:pPr>
        <w:ind w:firstLine="480"/>
        <w:rPr>
          <w:color w:val="000000"/>
        </w:rPr>
      </w:pPr>
      <w:r>
        <w:rPr>
          <w:color w:val="000000"/>
        </w:rPr>
        <w:t>当环境事件发生后，应急监测方面，可借助重庆市沙坪坝区环境监测站对厂区内和厂区外附近的空气、土壤、水等进行应急监测。</w:t>
      </w:r>
    </w:p>
    <w:p>
      <w:pPr>
        <w:ind w:firstLine="480"/>
        <w:rPr>
          <w:color w:val="000000"/>
        </w:rPr>
      </w:pPr>
      <w:r>
        <w:rPr>
          <w:color w:val="000000"/>
        </w:rPr>
        <w:t>医疗方面，可以联系沙坪坝区青木关镇社区卫生服务中心提供医疗救援，其距公司约</w:t>
      </w:r>
      <w:r>
        <w:rPr>
          <w:rFonts w:hint="eastAsia"/>
          <w:color w:val="000000"/>
        </w:rPr>
        <w:t>3.</w:t>
      </w:r>
      <w:r>
        <w:rPr>
          <w:color w:val="000000"/>
        </w:rPr>
        <w:t>2公里，10分钟左右能到达公司。具体见表5.3-1。</w:t>
      </w:r>
    </w:p>
    <w:p>
      <w:pPr>
        <w:spacing w:line="480" w:lineRule="exact"/>
        <w:ind w:firstLine="422"/>
        <w:jc w:val="center"/>
        <w:rPr>
          <w:b/>
          <w:color w:val="000000"/>
          <w:sz w:val="26"/>
          <w:szCs w:val="26"/>
        </w:rPr>
      </w:pPr>
      <w:bookmarkStart w:id="743" w:name="_Toc4884_WPSOffice_Level3"/>
      <w:bookmarkStart w:id="744" w:name="_Toc18222_WPSOffice_Level3"/>
      <w:bookmarkStart w:id="745" w:name="_Toc8394_WPSOffice_Level2"/>
      <w:bookmarkStart w:id="746" w:name="_Toc16538_WPSOffice_Level3"/>
      <w:bookmarkStart w:id="747" w:name="_Toc21089_WPSOffice_Level3"/>
      <w:r>
        <w:rPr>
          <w:b/>
          <w:color w:val="000000"/>
          <w:sz w:val="21"/>
        </w:rPr>
        <w:t>表5.3-1   外部应急救援力量</w:t>
      </w:r>
      <w:bookmarkEnd w:id="743"/>
      <w:bookmarkEnd w:id="744"/>
      <w:bookmarkEnd w:id="745"/>
      <w:bookmarkEnd w:id="746"/>
      <w:bookmarkEnd w:id="747"/>
      <w:r>
        <w:rPr>
          <w:b/>
          <w:color w:val="000000"/>
          <w:sz w:val="28"/>
          <w:szCs w:val="28"/>
        </w:rPr>
        <w:t xml:space="preserve">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747"/>
        <w:gridCol w:w="3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widowControl/>
              <w:adjustRightInd w:val="0"/>
              <w:snapToGrid w:val="0"/>
              <w:ind w:firstLine="0" w:firstLineChars="0"/>
              <w:rPr>
                <w:color w:val="000000"/>
              </w:rPr>
            </w:pPr>
            <w:r>
              <w:rPr>
                <w:color w:val="000000"/>
              </w:rPr>
              <w:t>序号</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单位名称</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环保专线</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2</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沙坪坝区生态环境局</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023-65314510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3</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重庆市生态环境局</w:t>
            </w:r>
          </w:p>
        </w:tc>
        <w:tc>
          <w:tcPr>
            <w:tcW w:w="3748" w:type="dxa"/>
            <w:noWrap w:val="0"/>
            <w:vAlign w:val="top"/>
          </w:tcPr>
          <w:p>
            <w:pPr>
              <w:pStyle w:val="46"/>
              <w:spacing w:line="360" w:lineRule="auto"/>
              <w:rPr>
                <w:rFonts w:ascii="Times New Roman" w:hAnsi="Times New Roman"/>
                <w:color w:val="000000"/>
                <w:szCs w:val="21"/>
              </w:rPr>
            </w:pPr>
            <w:r>
              <w:rPr>
                <w:rFonts w:hint="eastAsia" w:ascii="Times New Roman" w:hAnsi="Times New Roman" w:eastAsia="微软雅黑 Light"/>
                <w:color w:val="000000"/>
              </w:rPr>
              <w:t>023-89112369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4</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沙坪坝区政府应急办公室</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023-89181998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5</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沙坪坝区应急局</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023-65465906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6</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沙坪坝区公安消防支队</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023-65635704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7</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沙坪坝区人民医院</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023-65365120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8</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沙坪坝区青木关镇社区卫生服务中心</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023-88617702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9</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急救</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10</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消防</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11</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公安</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27" w:type="dxa"/>
            <w:noWrap w:val="0"/>
            <w:vAlign w:val="top"/>
          </w:tcPr>
          <w:p>
            <w:pPr>
              <w:pStyle w:val="46"/>
              <w:spacing w:line="360" w:lineRule="auto"/>
              <w:rPr>
                <w:rFonts w:hint="eastAsia"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2</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重庆市沙坪坝区</w:t>
            </w:r>
            <w:r>
              <w:rPr>
                <w:rFonts w:hint="eastAsia" w:ascii="Times New Roman" w:hAnsi="Times New Roman"/>
                <w:color w:val="000000"/>
                <w:szCs w:val="21"/>
              </w:rPr>
              <w:t>生态</w:t>
            </w:r>
            <w:r>
              <w:rPr>
                <w:rFonts w:ascii="Times New Roman" w:hAnsi="Times New Roman"/>
                <w:color w:val="000000"/>
                <w:szCs w:val="21"/>
              </w:rPr>
              <w:t>环境监测站</w:t>
            </w:r>
          </w:p>
        </w:tc>
        <w:tc>
          <w:tcPr>
            <w:tcW w:w="3748" w:type="dxa"/>
            <w:noWrap w:val="0"/>
            <w:vAlign w:val="top"/>
          </w:tcPr>
          <w:p>
            <w:pPr>
              <w:pStyle w:val="46"/>
              <w:spacing w:line="360" w:lineRule="auto"/>
              <w:rPr>
                <w:rFonts w:hint="eastAsia" w:ascii="Times New Roman" w:hAnsi="Times New Roman"/>
                <w:color w:val="000000"/>
                <w:szCs w:val="21"/>
              </w:rPr>
            </w:pPr>
            <w:r>
              <w:rPr>
                <w:rFonts w:ascii="Times New Roman" w:hAnsi="Times New Roman"/>
                <w:color w:val="000000"/>
                <w:szCs w:val="21"/>
              </w:rPr>
              <w:t>023-6</w:t>
            </w:r>
            <w:r>
              <w:rPr>
                <w:rFonts w:hint="eastAsia" w:ascii="Times New Roman" w:hAnsi="Times New Roman"/>
                <w:color w:val="000000"/>
                <w:szCs w:val="21"/>
              </w:rPr>
              <w:t>5301964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27" w:type="dxa"/>
            <w:noWrap w:val="0"/>
            <w:vAlign w:val="top"/>
          </w:tcPr>
          <w:p>
            <w:pPr>
              <w:pStyle w:val="46"/>
              <w:spacing w:line="360" w:lineRule="auto"/>
              <w:rPr>
                <w:rFonts w:hint="eastAsia"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3</w:t>
            </w:r>
          </w:p>
        </w:tc>
        <w:tc>
          <w:tcPr>
            <w:tcW w:w="3747"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重庆市沙坪坝区交警支队</w:t>
            </w:r>
          </w:p>
        </w:tc>
        <w:tc>
          <w:tcPr>
            <w:tcW w:w="3748" w:type="dxa"/>
            <w:noWrap w:val="0"/>
            <w:vAlign w:val="top"/>
          </w:tcPr>
          <w:p>
            <w:pPr>
              <w:pStyle w:val="46"/>
              <w:spacing w:line="360" w:lineRule="auto"/>
              <w:rPr>
                <w:rFonts w:ascii="Times New Roman" w:hAnsi="Times New Roman"/>
                <w:color w:val="000000"/>
                <w:szCs w:val="21"/>
              </w:rPr>
            </w:pPr>
            <w:r>
              <w:rPr>
                <w:rFonts w:ascii="Times New Roman" w:hAnsi="Times New Roman"/>
                <w:color w:val="000000"/>
                <w:szCs w:val="21"/>
              </w:rPr>
              <w:t>023-68675511</w:t>
            </w:r>
          </w:p>
        </w:tc>
      </w:tr>
    </w:tbl>
    <w:p>
      <w:pPr>
        <w:pStyle w:val="48"/>
        <w:rPr>
          <w:color w:val="000000"/>
        </w:rPr>
        <w:sectPr>
          <w:pgSz w:w="11906" w:h="16838"/>
          <w:pgMar w:top="1440" w:right="1800" w:bottom="1440" w:left="1800" w:header="1134" w:footer="992" w:gutter="0"/>
          <w:cols w:space="720" w:num="1"/>
          <w:docGrid w:type="lines" w:linePitch="318" w:charSpace="0"/>
        </w:sectPr>
      </w:pPr>
    </w:p>
    <w:p>
      <w:pPr>
        <w:pStyle w:val="3"/>
        <w:rPr>
          <w:rFonts w:ascii="Times New Roman" w:hAnsi="Times New Roman" w:eastAsia="宋体"/>
          <w:color w:val="000000"/>
        </w:rPr>
      </w:pPr>
      <w:bookmarkStart w:id="748" w:name="_Toc17649_WPSOffice_Level1"/>
      <w:bookmarkStart w:id="749" w:name="_Toc3417"/>
      <w:bookmarkStart w:id="750" w:name="_Toc531529738"/>
      <w:bookmarkStart w:id="751" w:name="_Toc5611_WPSOffice_Level1"/>
      <w:bookmarkStart w:id="752" w:name="_Toc27924"/>
      <w:bookmarkStart w:id="753" w:name="_Toc10522"/>
      <w:r>
        <w:rPr>
          <w:rFonts w:ascii="Times New Roman" w:hAnsi="Times New Roman" w:eastAsia="宋体"/>
          <w:color w:val="000000"/>
        </w:rPr>
        <w:t>6 预防预警</w:t>
      </w:r>
      <w:bookmarkEnd w:id="704"/>
      <w:bookmarkEnd w:id="705"/>
      <w:bookmarkEnd w:id="748"/>
      <w:bookmarkEnd w:id="749"/>
      <w:bookmarkEnd w:id="750"/>
      <w:bookmarkEnd w:id="751"/>
      <w:bookmarkEnd w:id="752"/>
      <w:bookmarkEnd w:id="753"/>
    </w:p>
    <w:p>
      <w:pPr>
        <w:pStyle w:val="2"/>
        <w:keepNext w:val="0"/>
        <w:keepLines w:val="0"/>
        <w:spacing w:line="240" w:lineRule="auto"/>
        <w:ind w:firstLine="602"/>
        <w:rPr>
          <w:rFonts w:ascii="Times New Roman" w:hAnsi="Times New Roman"/>
          <w:color w:val="000000"/>
          <w:lang w:val="zh-CN"/>
        </w:rPr>
      </w:pPr>
      <w:bookmarkStart w:id="754" w:name="_Toc295467963"/>
      <w:bookmarkStart w:id="755" w:name="_Toc294080726"/>
      <w:bookmarkStart w:id="756" w:name="_Toc28292"/>
      <w:bookmarkStart w:id="757" w:name="_Toc2787_WPSOffice_Level2"/>
      <w:bookmarkStart w:id="758" w:name="_Toc531529739"/>
      <w:bookmarkStart w:id="759" w:name="_Toc5509"/>
      <w:bookmarkStart w:id="760" w:name="_Toc7841"/>
      <w:bookmarkStart w:id="761" w:name="_Toc27287_WPSOffice_Level2"/>
      <w:r>
        <w:rPr>
          <w:rFonts w:ascii="Times New Roman" w:hAnsi="Times New Roman"/>
          <w:color w:val="000000"/>
          <w:lang w:val="zh-CN"/>
        </w:rPr>
        <w:t>6.</w:t>
      </w:r>
      <w:bookmarkEnd w:id="754"/>
      <w:bookmarkEnd w:id="755"/>
      <w:r>
        <w:rPr>
          <w:rFonts w:ascii="Times New Roman" w:hAnsi="Times New Roman"/>
          <w:color w:val="000000"/>
          <w:lang w:val="zh-CN"/>
        </w:rPr>
        <w:t>1 预防</w:t>
      </w:r>
      <w:bookmarkEnd w:id="756"/>
      <w:bookmarkEnd w:id="757"/>
      <w:bookmarkEnd w:id="758"/>
      <w:bookmarkEnd w:id="759"/>
      <w:bookmarkEnd w:id="760"/>
      <w:bookmarkEnd w:id="761"/>
    </w:p>
    <w:p>
      <w:pPr>
        <w:pStyle w:val="4"/>
        <w:ind w:firstLine="562"/>
        <w:rPr>
          <w:rFonts w:ascii="Times New Roman" w:hAnsi="Times New Roman"/>
        </w:rPr>
      </w:pPr>
      <w:bookmarkStart w:id="762" w:name="_Toc27289"/>
      <w:bookmarkStart w:id="763" w:name="_Toc531529740"/>
      <w:bookmarkStart w:id="764" w:name="_Toc13301"/>
      <w:bookmarkStart w:id="765" w:name="_Toc2870_WPSOffice_Level2"/>
      <w:bookmarkStart w:id="766" w:name="_Toc5463_WPSOffice_Level2"/>
      <w:bookmarkStart w:id="767" w:name="_Toc20396"/>
      <w:r>
        <w:rPr>
          <w:rFonts w:ascii="Times New Roman" w:hAnsi="Times New Roman"/>
        </w:rPr>
        <w:t>6.1.1监控方式方法</w:t>
      </w:r>
      <w:bookmarkEnd w:id="762"/>
    </w:p>
    <w:p>
      <w:pPr>
        <w:ind w:firstLine="480"/>
      </w:pPr>
      <w:r>
        <w:t>（1）视频监控系统</w:t>
      </w:r>
    </w:p>
    <w:p>
      <w:pPr>
        <w:ind w:firstLine="480"/>
      </w:pPr>
      <w:r>
        <w:rPr>
          <w:rFonts w:hint="eastAsia"/>
        </w:rPr>
        <w:t>青鹏</w:t>
      </w:r>
      <w:r>
        <w:t>公司设置了视频监控摄像装置，可监控危险工序的操作，且监控系统24小时开机，可随时查看。</w:t>
      </w:r>
    </w:p>
    <w:p>
      <w:pPr>
        <w:ind w:firstLine="480"/>
      </w:pPr>
      <w:r>
        <w:t>（2）定期巡检，维护保养</w:t>
      </w:r>
    </w:p>
    <w:p>
      <w:pPr>
        <w:ind w:firstLine="480"/>
      </w:pPr>
      <w:r>
        <w:rPr>
          <w:lang w:val="en-GB"/>
        </w:rPr>
        <w:t>正常情况下，严格按照巡检制度进行巡检，检查内容主要为物料及危废储存容器的状况是否正常，并做记录</w:t>
      </w:r>
      <w:r>
        <w:t>；对</w:t>
      </w:r>
      <w:r>
        <w:rPr>
          <w:rFonts w:hint="eastAsia"/>
        </w:rPr>
        <w:t>水泥</w:t>
      </w:r>
      <w:r>
        <w:t>生产设施日常维护，减少因设备故障导致的环境污染事故；每日对厂区进行巡查，及时发现事故，及时处理。</w:t>
      </w:r>
    </w:p>
    <w:p>
      <w:pPr>
        <w:ind w:firstLine="480"/>
      </w:pPr>
      <w:r>
        <w:t>（3）设置警示标识、进行专业预防培训</w:t>
      </w:r>
    </w:p>
    <w:p>
      <w:pPr>
        <w:ind w:firstLine="480"/>
      </w:pPr>
      <w:r>
        <w:t>在风险源现场设置明显的安全警示标识。对相关人员进行了安全教育和技术培训，建立了安全教育培训档案，相关人员熟悉了危险源的应急处理措施。</w:t>
      </w:r>
    </w:p>
    <w:p>
      <w:pPr>
        <w:pStyle w:val="4"/>
        <w:ind w:firstLine="562"/>
        <w:rPr>
          <w:rFonts w:ascii="Times New Roman" w:hAnsi="Times New Roman"/>
        </w:rPr>
      </w:pPr>
      <w:bookmarkStart w:id="768" w:name="_Toc31805"/>
      <w:bookmarkStart w:id="769" w:name="_Toc14722"/>
      <w:r>
        <w:rPr>
          <w:rFonts w:hint="eastAsia" w:ascii="Times New Roman" w:hAnsi="Times New Roman"/>
        </w:rPr>
        <w:t>6</w:t>
      </w:r>
      <w:r>
        <w:rPr>
          <w:rFonts w:ascii="Times New Roman" w:hAnsi="Times New Roman"/>
        </w:rPr>
        <w:t>.1.2预防措施</w:t>
      </w:r>
      <w:bookmarkEnd w:id="768"/>
      <w:bookmarkEnd w:id="769"/>
    </w:p>
    <w:p>
      <w:pPr>
        <w:ind w:firstLine="480"/>
        <w:rPr>
          <w:color w:val="000000"/>
        </w:rPr>
      </w:pPr>
      <w:r>
        <w:rPr>
          <w:color w:val="000000"/>
        </w:rPr>
        <w:t>根据危险源及危险因素分析，主要从以下几个方面进行预防：</w:t>
      </w:r>
    </w:p>
    <w:p>
      <w:pPr>
        <w:ind w:firstLine="480"/>
        <w:rPr>
          <w:color w:val="000000"/>
        </w:rPr>
      </w:pPr>
      <w:r>
        <w:rPr>
          <w:color w:val="000000"/>
        </w:rPr>
        <w:t>（1）风险单元防控措施</w:t>
      </w:r>
    </w:p>
    <w:p>
      <w:pPr>
        <w:ind w:firstLine="480"/>
        <w:rPr>
          <w:color w:val="000000"/>
        </w:rPr>
      </w:pPr>
      <w:r>
        <w:rPr>
          <w:color w:val="000000"/>
        </w:rPr>
        <w:t>①配备泄漏应急处理设施，截流、收集和导流措施完善；</w:t>
      </w:r>
    </w:p>
    <w:p>
      <w:pPr>
        <w:ind w:firstLine="480"/>
        <w:rPr>
          <w:color w:val="000000"/>
        </w:rPr>
      </w:pPr>
      <w:r>
        <w:rPr>
          <w:color w:val="000000"/>
        </w:rPr>
        <w:t>②周围设置有有毒物品标记及禁止非工作人员入内警示牌；</w:t>
      </w:r>
    </w:p>
    <w:p>
      <w:pPr>
        <w:ind w:firstLine="480"/>
        <w:rPr>
          <w:color w:val="000000"/>
        </w:rPr>
      </w:pPr>
      <w:r>
        <w:rPr>
          <w:color w:val="000000"/>
        </w:rPr>
        <w:t>③安排工作人员每天进行巡查，按规定填写巡视记录；</w:t>
      </w:r>
    </w:p>
    <w:p>
      <w:pPr>
        <w:ind w:firstLine="480"/>
      </w:pPr>
      <w:r>
        <w:t>④各风险单元设置围堰，并做好地面防腐防渗；</w:t>
      </w:r>
    </w:p>
    <w:p>
      <w:pPr>
        <w:ind w:firstLine="480"/>
      </w:pPr>
      <w:r>
        <w:t>⑤操作人员必须经过专门培训，严格遵守操作规程，操作时佩戴相应的防护用品；</w:t>
      </w:r>
    </w:p>
    <w:p>
      <w:pPr>
        <w:ind w:firstLine="480"/>
      </w:pPr>
      <w:r>
        <w:t>⑥生产区域设置“闲人免进”、“严禁烟火”以及化学危险品警示牌；</w:t>
      </w:r>
    </w:p>
    <w:p>
      <w:pPr>
        <w:ind w:firstLine="480"/>
      </w:pPr>
      <w:r>
        <w:t>⑦固体化学品及液体化学品分间储存，防止物质之间因泄漏发生反应，引发事故；</w:t>
      </w:r>
    </w:p>
    <w:p>
      <w:pPr>
        <w:ind w:firstLine="480"/>
      </w:pPr>
      <w:r>
        <w:t>⑧各风险单元附近配备应急设备如防毒面具、洗眼器等，以便发生事故可立即采取救护措施，并及时进行人员疏散。</w:t>
      </w:r>
    </w:p>
    <w:p>
      <w:pPr>
        <w:ind w:firstLine="482"/>
      </w:pPr>
      <w:r>
        <w:rPr>
          <w:b/>
          <w:bCs/>
        </w:rPr>
        <w:t>（2）管理及操作环节风险防控措施</w:t>
      </w:r>
    </w:p>
    <w:p>
      <w:pPr>
        <w:ind w:firstLine="480"/>
      </w:pPr>
      <w:r>
        <w:t>①建立健全安全生产责任制，制定安全生产规章制度和操作规程；</w:t>
      </w:r>
    </w:p>
    <w:p>
      <w:pPr>
        <w:ind w:firstLine="480"/>
      </w:pPr>
      <w:r>
        <w:t>②各生产、储存单元配备专职或兼职安全员，各生产单元的主要负责人和安全生产管理人员应当接受有关主管部门的安全生产知识和管理能力考核，合格后方可任职；</w:t>
      </w:r>
    </w:p>
    <w:p>
      <w:pPr>
        <w:ind w:firstLine="480"/>
      </w:pPr>
      <w:r>
        <w:t>③对工作人员应进行安全生产教育和培训，并定期进行理论和实践考核，保证工作人员具备必要的安全生产技能，并熟悉安全生产规章制度和安全生产规程；</w:t>
      </w:r>
    </w:p>
    <w:p>
      <w:pPr>
        <w:ind w:firstLine="480"/>
      </w:pPr>
      <w:r>
        <w:t>④严格执行危险化学品安全管理制度，落实安全责任制，加强化学品储存区和危废暂存区的安全管理；</w:t>
      </w:r>
    </w:p>
    <w:p>
      <w:pPr>
        <w:ind w:firstLine="480"/>
      </w:pPr>
      <w:r>
        <w:t>⑤工作人员严格按照规程进行操作，并按照要求穿戴工作服和使用劳动防护用品，如操作加药设备时应戴橡胶手套、穿胶靴、戴口罩以及防护服；电气检修时应穿绝缘靴、戴绝缘手套等；对防护用品如防毒面具等应定期检测，以确保其有效性；</w:t>
      </w:r>
    </w:p>
    <w:p>
      <w:pPr>
        <w:ind w:firstLine="480"/>
        <w:rPr>
          <w:lang w:val="zh-CN"/>
        </w:rPr>
      </w:pPr>
      <w:r>
        <w:t>⑥装卸过程应做到轻装轻卸。</w:t>
      </w:r>
    </w:p>
    <w:p>
      <w:pPr>
        <w:pStyle w:val="2"/>
        <w:keepNext w:val="0"/>
        <w:keepLines w:val="0"/>
        <w:spacing w:line="240" w:lineRule="auto"/>
        <w:ind w:firstLine="602"/>
        <w:rPr>
          <w:rFonts w:ascii="Times New Roman" w:hAnsi="Times New Roman"/>
          <w:color w:val="000000"/>
          <w:lang w:val="zh-CN"/>
        </w:rPr>
      </w:pPr>
      <w:bookmarkStart w:id="770" w:name="_Toc23946"/>
      <w:r>
        <w:rPr>
          <w:rFonts w:ascii="Times New Roman" w:hAnsi="Times New Roman"/>
          <w:color w:val="000000"/>
          <w:lang w:val="zh-CN"/>
        </w:rPr>
        <w:t>6.2 预警</w:t>
      </w:r>
      <w:bookmarkEnd w:id="763"/>
      <w:bookmarkEnd w:id="764"/>
      <w:bookmarkEnd w:id="765"/>
      <w:bookmarkEnd w:id="766"/>
      <w:bookmarkEnd w:id="767"/>
      <w:bookmarkEnd w:id="770"/>
    </w:p>
    <w:p>
      <w:pPr>
        <w:pStyle w:val="4"/>
        <w:ind w:firstLine="562"/>
        <w:rPr>
          <w:rFonts w:ascii="Times New Roman" w:hAnsi="Times New Roman"/>
        </w:rPr>
      </w:pPr>
      <w:bookmarkStart w:id="771" w:name="_Toc3486"/>
      <w:r>
        <w:rPr>
          <w:rFonts w:ascii="Times New Roman" w:hAnsi="Times New Roman"/>
        </w:rPr>
        <w:t>6.2.1预警情景</w:t>
      </w:r>
      <w:bookmarkEnd w:id="771"/>
    </w:p>
    <w:p>
      <w:pPr>
        <w:ind w:firstLine="480"/>
      </w:pPr>
      <w:r>
        <w:t>（1）通过本企业设有的视频监控系统及现场工作人员报告，出现事故征兆，有可能发生突发环境污染事故；</w:t>
      </w:r>
    </w:p>
    <w:p>
      <w:pPr>
        <w:ind w:firstLine="480"/>
      </w:pPr>
      <w:r>
        <w:t>（2）国家或地方政府通过新闻媒体公开发布了预警信息；</w:t>
      </w:r>
    </w:p>
    <w:p>
      <w:pPr>
        <w:ind w:firstLine="480"/>
        <w:rPr>
          <w:lang w:val="zh-CN"/>
        </w:rPr>
      </w:pPr>
      <w:r>
        <w:t>（3）与本企业相关联的地区或单位发生突发性环境污染事件，可能对本企业环境或公共安全等产生影响。</w:t>
      </w:r>
    </w:p>
    <w:p>
      <w:pPr>
        <w:pStyle w:val="4"/>
        <w:spacing w:before="0"/>
        <w:ind w:firstLine="562"/>
        <w:rPr>
          <w:rFonts w:ascii="Times New Roman" w:hAnsi="Times New Roman"/>
          <w:kern w:val="2"/>
          <w:szCs w:val="28"/>
        </w:rPr>
      </w:pPr>
      <w:bookmarkStart w:id="772" w:name="_Toc16326"/>
      <w:bookmarkStart w:id="773" w:name="_Toc32138"/>
      <w:r>
        <w:rPr>
          <w:rFonts w:ascii="Times New Roman" w:hAnsi="Times New Roman"/>
        </w:rPr>
        <w:t>6.2.2 预警分级</w:t>
      </w:r>
      <w:bookmarkEnd w:id="772"/>
      <w:bookmarkEnd w:id="773"/>
    </w:p>
    <w:p>
      <w:pPr>
        <w:ind w:firstLine="480"/>
        <w:rPr>
          <w:color w:val="000000"/>
        </w:rPr>
      </w:pPr>
      <w:r>
        <w:rPr>
          <w:color w:val="000000"/>
        </w:rPr>
        <w:t>按照企业可能发生的突发环境事件，对突发环境事件的预警进行相应分级，按严重——轻微分别分为ⅠI级（企业级）</w:t>
      </w:r>
      <w:r>
        <w:rPr>
          <w:rFonts w:hint="eastAsia"/>
          <w:color w:val="000000"/>
        </w:rPr>
        <w:t>(用橙色预警表示)</w:t>
      </w:r>
      <w:r>
        <w:rPr>
          <w:color w:val="000000"/>
        </w:rPr>
        <w:t>、I级预警（社会联动级）</w:t>
      </w:r>
      <w:r>
        <w:rPr>
          <w:rFonts w:hint="eastAsia"/>
          <w:color w:val="000000"/>
        </w:rPr>
        <w:t>(用红色预警表示)</w:t>
      </w:r>
      <w:r>
        <w:rPr>
          <w:color w:val="000000"/>
        </w:rPr>
        <w:t>。根据事态的发展情况和采取措施的效果，预警可以升级、降级或解除。具体分级情况如下：</w:t>
      </w:r>
    </w:p>
    <w:p>
      <w:pPr>
        <w:ind w:firstLine="480"/>
        <w:rPr>
          <w:color w:val="000000"/>
        </w:rPr>
      </w:pPr>
      <w:r>
        <w:rPr>
          <w:color w:val="000000"/>
        </w:rPr>
        <w:t>II级预警（企业级）</w:t>
      </w:r>
      <w:r>
        <w:rPr>
          <w:rFonts w:hint="eastAsia"/>
          <w:color w:val="000000"/>
        </w:rPr>
        <w:t>(用橙色预警表示)</w:t>
      </w:r>
      <w:r>
        <w:rPr>
          <w:color w:val="000000"/>
        </w:rPr>
        <w:t>：</w:t>
      </w:r>
    </w:p>
    <w:p>
      <w:pPr>
        <w:ind w:firstLine="480"/>
        <w:rPr>
          <w:color w:val="000000"/>
        </w:rPr>
      </w:pPr>
      <w:r>
        <w:rPr>
          <w:color w:val="000000"/>
        </w:rPr>
        <w:t>企业可能发生少量化学品泄漏，如：润滑油</w:t>
      </w:r>
      <w:r>
        <w:rPr>
          <w:rFonts w:hint="eastAsia"/>
          <w:color w:val="000000"/>
        </w:rPr>
        <w:t>库房润滑油</w:t>
      </w:r>
      <w:r>
        <w:rPr>
          <w:bCs/>
          <w:color w:val="000000"/>
        </w:rPr>
        <w:t>发生少量泄漏，危废少量</w:t>
      </w:r>
      <w:r>
        <w:rPr>
          <w:color w:val="000000"/>
        </w:rPr>
        <w:t>泄漏</w:t>
      </w:r>
      <w:r>
        <w:rPr>
          <w:bCs/>
          <w:color w:val="000000"/>
        </w:rPr>
        <w:t>，</w:t>
      </w:r>
      <w:r>
        <w:rPr>
          <w:rFonts w:hint="eastAsia"/>
          <w:color w:val="000000"/>
        </w:rPr>
        <w:t>柴油储罐柴油</w:t>
      </w:r>
      <w:r>
        <w:rPr>
          <w:bCs/>
          <w:color w:val="000000"/>
        </w:rPr>
        <w:t>发生少量泄漏，</w:t>
      </w:r>
      <w:r>
        <w:rPr>
          <w:rFonts w:hint="eastAsia"/>
          <w:color w:val="000000"/>
        </w:rPr>
        <w:t>氨水储罐氨水</w:t>
      </w:r>
      <w:r>
        <w:rPr>
          <w:bCs/>
          <w:color w:val="000000"/>
        </w:rPr>
        <w:t>发生少量泄漏</w:t>
      </w:r>
      <w:r>
        <w:rPr>
          <w:color w:val="000000"/>
        </w:rPr>
        <w:t>。但即使发生泄漏物质也不会扩散至厂区以外区域，公司调集所有应急救援力量有能力处置的泄漏事故。</w:t>
      </w:r>
    </w:p>
    <w:p>
      <w:pPr>
        <w:ind w:firstLine="480"/>
        <w:rPr>
          <w:color w:val="000000"/>
        </w:rPr>
      </w:pPr>
      <w:r>
        <w:rPr>
          <w:color w:val="000000"/>
        </w:rPr>
        <w:t>Ⅰ级预警（社会联动级）</w:t>
      </w:r>
      <w:r>
        <w:rPr>
          <w:rFonts w:hint="eastAsia"/>
          <w:color w:val="000000"/>
        </w:rPr>
        <w:t>(用红色预警表示)</w:t>
      </w:r>
      <w:r>
        <w:rPr>
          <w:color w:val="000000"/>
        </w:rPr>
        <w:t>：</w:t>
      </w:r>
    </w:p>
    <w:p>
      <w:pPr>
        <w:ind w:firstLine="480"/>
        <w:rPr>
          <w:color w:val="000000"/>
        </w:rPr>
      </w:pPr>
      <w:r>
        <w:rPr>
          <w:color w:val="000000"/>
        </w:rPr>
        <w:t>（1）企业可能发生大量泄漏，如：润滑油</w:t>
      </w:r>
      <w:r>
        <w:rPr>
          <w:rFonts w:hint="eastAsia"/>
          <w:color w:val="000000"/>
        </w:rPr>
        <w:t>库房润滑油</w:t>
      </w:r>
      <w:r>
        <w:rPr>
          <w:bCs/>
          <w:color w:val="000000"/>
        </w:rPr>
        <w:t>发生</w:t>
      </w:r>
      <w:r>
        <w:rPr>
          <w:rFonts w:hint="eastAsia"/>
          <w:bCs/>
          <w:color w:val="000000"/>
        </w:rPr>
        <w:t>大</w:t>
      </w:r>
      <w:r>
        <w:rPr>
          <w:bCs/>
          <w:color w:val="000000"/>
        </w:rPr>
        <w:t>量泄漏，危废</w:t>
      </w:r>
      <w:r>
        <w:rPr>
          <w:rFonts w:hint="eastAsia"/>
          <w:bCs/>
          <w:color w:val="000000"/>
        </w:rPr>
        <w:t>大</w:t>
      </w:r>
      <w:r>
        <w:rPr>
          <w:bCs/>
          <w:color w:val="000000"/>
        </w:rPr>
        <w:t>量</w:t>
      </w:r>
      <w:r>
        <w:rPr>
          <w:color w:val="000000"/>
        </w:rPr>
        <w:t>泄漏</w:t>
      </w:r>
      <w:r>
        <w:rPr>
          <w:bCs/>
          <w:color w:val="000000"/>
        </w:rPr>
        <w:t>，</w:t>
      </w:r>
      <w:r>
        <w:rPr>
          <w:rFonts w:hint="eastAsia"/>
          <w:color w:val="000000"/>
        </w:rPr>
        <w:t>柴油储罐柴油</w:t>
      </w:r>
      <w:r>
        <w:rPr>
          <w:bCs/>
          <w:color w:val="000000"/>
        </w:rPr>
        <w:t>发生</w:t>
      </w:r>
      <w:r>
        <w:rPr>
          <w:rFonts w:hint="eastAsia"/>
          <w:bCs/>
          <w:color w:val="000000"/>
        </w:rPr>
        <w:t>大</w:t>
      </w:r>
      <w:r>
        <w:rPr>
          <w:bCs/>
          <w:color w:val="000000"/>
        </w:rPr>
        <w:t>量泄漏，</w:t>
      </w:r>
      <w:r>
        <w:rPr>
          <w:rFonts w:hint="eastAsia"/>
          <w:color w:val="000000"/>
        </w:rPr>
        <w:t>氨水储罐氨水</w:t>
      </w:r>
      <w:r>
        <w:rPr>
          <w:bCs/>
          <w:color w:val="000000"/>
        </w:rPr>
        <w:t>发生</w:t>
      </w:r>
      <w:r>
        <w:rPr>
          <w:rFonts w:hint="eastAsia"/>
          <w:bCs/>
          <w:color w:val="000000"/>
        </w:rPr>
        <w:t>大</w:t>
      </w:r>
      <w:r>
        <w:rPr>
          <w:bCs/>
          <w:color w:val="000000"/>
        </w:rPr>
        <w:t>量泄漏</w:t>
      </w:r>
      <w:r>
        <w:rPr>
          <w:color w:val="000000"/>
        </w:rPr>
        <w:t>。泄漏物质有扩散至公司以外区域的可能，对环境产生不利影响，公司已经没有能力处置的泄漏事故。</w:t>
      </w:r>
    </w:p>
    <w:p>
      <w:pPr>
        <w:ind w:firstLine="480"/>
        <w:rPr>
          <w:lang w:val="zh-CN"/>
        </w:rPr>
      </w:pPr>
      <w:r>
        <w:rPr>
          <w:color w:val="000000"/>
        </w:rPr>
        <w:t>（2）企业可能发生火灾，但次生有毒废气会对公司外区域人员造成明显影响的事故。</w:t>
      </w:r>
    </w:p>
    <w:p>
      <w:pPr>
        <w:pStyle w:val="4"/>
        <w:ind w:firstLine="562"/>
        <w:rPr>
          <w:rFonts w:ascii="Times New Roman" w:hAnsi="Times New Roman"/>
        </w:rPr>
      </w:pPr>
      <w:bookmarkStart w:id="774" w:name="_Toc12498"/>
      <w:bookmarkStart w:id="775" w:name="_Toc28480"/>
      <w:r>
        <w:rPr>
          <w:rFonts w:ascii="Times New Roman" w:hAnsi="Times New Roman"/>
        </w:rPr>
        <w:t>6.2.3预警信息发布</w:t>
      </w:r>
      <w:bookmarkEnd w:id="774"/>
      <w:bookmarkEnd w:id="775"/>
    </w:p>
    <w:p>
      <w:pPr>
        <w:ind w:firstLine="482"/>
      </w:pPr>
      <w:bookmarkStart w:id="776" w:name="_Toc19401_WPSOffice_Level3"/>
      <w:bookmarkStart w:id="777" w:name="_Toc13345_WPSOffice_Level3"/>
      <w:bookmarkStart w:id="778" w:name="_Toc19485"/>
      <w:bookmarkStart w:id="779" w:name="_Toc295467974"/>
      <w:bookmarkStart w:id="780" w:name="_Toc294620779"/>
      <w:bookmarkStart w:id="781" w:name="_Toc294620580"/>
      <w:bookmarkStart w:id="782" w:name="_Toc294871996"/>
      <w:bookmarkStart w:id="783" w:name="_Toc295393615"/>
      <w:bookmarkStart w:id="784" w:name="_Toc294080732"/>
      <w:r>
        <w:rPr>
          <w:b/>
          <w:bCs/>
        </w:rPr>
        <w:t>（1）预警信息发布条件</w:t>
      </w:r>
    </w:p>
    <w:p>
      <w:pPr>
        <w:ind w:firstLine="480"/>
      </w:pPr>
      <w:r>
        <w:t>①通过公司设有的监测、报警设施发出的监测、报警信号或数据分析，出现事故征兆，有可能发生突发环境污染事故；</w:t>
      </w:r>
    </w:p>
    <w:p>
      <w:pPr>
        <w:ind w:firstLine="480"/>
      </w:pPr>
      <w:r>
        <w:t>②在风险源排查时发现存在可能造成人员伤亡、财产损失、环境污染等严重后果的危险源时，应及时预警；</w:t>
      </w:r>
    </w:p>
    <w:p>
      <w:pPr>
        <w:ind w:firstLine="480"/>
      </w:pPr>
      <w:r>
        <w:t>③岗位操作人员发现泄漏事故或火灾爆炸可能发生；</w:t>
      </w:r>
    </w:p>
    <w:p>
      <w:pPr>
        <w:ind w:firstLine="480"/>
      </w:pPr>
      <w:r>
        <w:t>④收到的环境信息证明突发环境事件即将发生或者发生的可能性增大时。</w:t>
      </w:r>
    </w:p>
    <w:p>
      <w:pPr>
        <w:ind w:firstLine="480"/>
      </w:pPr>
      <w:r>
        <w:t>⑤国家或地方政府通过新闻媒体公开发布了预警信息；</w:t>
      </w:r>
    </w:p>
    <w:p>
      <w:pPr>
        <w:ind w:firstLine="480"/>
      </w:pPr>
      <w:r>
        <w:t>⑥与公司相关联的地区或单位发生突发环境污染事件，可能对公司环境或公共安全等产生影响。</w:t>
      </w:r>
    </w:p>
    <w:p>
      <w:pPr>
        <w:ind w:firstLine="482"/>
        <w:rPr>
          <w:b/>
          <w:bCs/>
        </w:rPr>
      </w:pPr>
      <w:r>
        <w:rPr>
          <w:b/>
          <w:bCs/>
        </w:rPr>
        <w:t>（2）预警发布程序及内容</w:t>
      </w:r>
    </w:p>
    <w:p>
      <w:pPr>
        <w:ind w:firstLine="480"/>
      </w:pPr>
      <w:r>
        <w:t>收到可能导致突发环境事件的状况，II级预警由应急办公室决定发布和解除；I级预警由公司应急指挥部配合上级部门发布和解除。</w:t>
      </w:r>
    </w:p>
    <w:p>
      <w:pPr>
        <w:ind w:firstLine="480"/>
      </w:pPr>
      <w:r>
        <w:t>发布内容包括：预警级别、突发环境事件名称、环境事件预计发生的时间、地点、环境事件涉及物料名称、环境事件类型、环境事件可能会影响的范围后果、拟采取的应对措施和发布机关等。</w:t>
      </w:r>
    </w:p>
    <w:p>
      <w:pPr>
        <w:ind w:firstLine="480"/>
      </w:pPr>
      <w:r>
        <w:t>预警通知发布后，需要变更预警内容的应当及时发布变更公告。</w:t>
      </w:r>
    </w:p>
    <w:p>
      <w:pPr>
        <w:pStyle w:val="4"/>
        <w:spacing w:before="0"/>
        <w:ind w:firstLine="562"/>
        <w:rPr>
          <w:rFonts w:ascii="Times New Roman" w:hAnsi="Times New Roman"/>
        </w:rPr>
      </w:pPr>
      <w:bookmarkStart w:id="785" w:name="_Toc20451"/>
      <w:r>
        <w:rPr>
          <w:rFonts w:ascii="Times New Roman" w:hAnsi="Times New Roman"/>
        </w:rPr>
        <w:t>6.2.4 预警行动</w:t>
      </w:r>
      <w:bookmarkEnd w:id="776"/>
      <w:bookmarkEnd w:id="777"/>
      <w:bookmarkEnd w:id="778"/>
      <w:bookmarkEnd w:id="785"/>
    </w:p>
    <w:bookmarkEnd w:id="779"/>
    <w:bookmarkEnd w:id="780"/>
    <w:bookmarkEnd w:id="781"/>
    <w:bookmarkEnd w:id="782"/>
    <w:bookmarkEnd w:id="783"/>
    <w:p>
      <w:pPr>
        <w:ind w:firstLine="480"/>
      </w:pPr>
      <w:r>
        <w:t>在确认进入预警状态之后，对即将发生的环境突发事件的特点和可能造成的危害，采取下列一项或者多项措施：</w:t>
      </w:r>
    </w:p>
    <w:p>
      <w:pPr>
        <w:ind w:firstLine="480"/>
      </w:pPr>
      <w:r>
        <w:t>（1）责令应急处置小组进入待命状态，并动员后备人员做好参加应急救援和处置工作的准备；</w:t>
      </w:r>
    </w:p>
    <w:p>
      <w:pPr>
        <w:ind w:firstLine="480"/>
      </w:pPr>
      <w:r>
        <w:t>（2）针对突发事故可能造成的危害，封闭、隔离或者限制使用有关场所，中止可能导致危害扩大的行为和活动；</w:t>
      </w:r>
    </w:p>
    <w:p>
      <w:pPr>
        <w:ind w:firstLine="480"/>
      </w:pPr>
      <w:r>
        <w:t>（3）根据预警级别，在需要时随时准备转移、撤离或者疏散可能受到危害的人员，并进行妥善安置；</w:t>
      </w:r>
    </w:p>
    <w:p>
      <w:pPr>
        <w:ind w:firstLine="480"/>
      </w:pPr>
      <w:r>
        <w:t>（4）加强对重要基础设施的安全保卫；</w:t>
      </w:r>
    </w:p>
    <w:p>
      <w:pPr>
        <w:ind w:firstLine="480"/>
      </w:pPr>
      <w:r>
        <w:t>（5）确保应急物资到位，采取必要措施保障交通、通信、供水、排水等公共设施的安全和正常运行。</w:t>
      </w:r>
    </w:p>
    <w:p>
      <w:pPr>
        <w:pStyle w:val="4"/>
        <w:spacing w:before="0"/>
        <w:ind w:firstLine="562"/>
        <w:rPr>
          <w:rFonts w:ascii="Times New Roman" w:hAnsi="Times New Roman"/>
        </w:rPr>
      </w:pPr>
      <w:bookmarkStart w:id="786" w:name="_Toc24088"/>
      <w:bookmarkStart w:id="787" w:name="_Toc28536_WPSOffice_Level3"/>
      <w:bookmarkStart w:id="788" w:name="_Toc9676_WPSOffice_Level3"/>
      <w:bookmarkStart w:id="789" w:name="_Toc6217"/>
      <w:r>
        <w:rPr>
          <w:rFonts w:ascii="Times New Roman" w:hAnsi="Times New Roman"/>
        </w:rPr>
        <w:t>6.2.5 预警解除</w:t>
      </w:r>
      <w:bookmarkEnd w:id="786"/>
      <w:bookmarkEnd w:id="787"/>
      <w:bookmarkEnd w:id="788"/>
      <w:bookmarkEnd w:id="789"/>
    </w:p>
    <w:p>
      <w:pPr>
        <w:ind w:firstLine="480"/>
        <w:rPr>
          <w:color w:val="000000"/>
        </w:rPr>
      </w:pPr>
      <w:r>
        <w:rPr>
          <w:color w:val="000000"/>
        </w:rPr>
        <w:t>待危机解除，可能导致突发环境事件的状况消除，由公司应急办公室向全公司发布解除预警通知；或者根据市、区人民政府公告、上级职能部门的预警通知，由应急办公室发布解除预警通知。</w:t>
      </w:r>
    </w:p>
    <w:p>
      <w:pPr>
        <w:ind w:firstLine="480"/>
        <w:rPr>
          <w:color w:val="000000"/>
        </w:rPr>
      </w:pPr>
      <w:r>
        <w:rPr>
          <w:color w:val="000000"/>
        </w:rPr>
        <w:t>预警结束后，应急指挥部应根据实际情况，继续进行事态跟踪，直至事态隐患完全消除为止；有关部门、单位、应急队伍应继续查找可能产生环境污染隐患的原因，提出预防措施，明确落实责任，防止类似问题的重复出现。</w:t>
      </w:r>
    </w:p>
    <w:bookmarkEnd w:id="784"/>
    <w:p>
      <w:pPr>
        <w:pStyle w:val="3"/>
        <w:jc w:val="both"/>
        <w:rPr>
          <w:rFonts w:ascii="Times New Roman" w:hAnsi="Times New Roman" w:eastAsia="宋体"/>
          <w:color w:val="000000"/>
        </w:rPr>
      </w:pPr>
      <w:bookmarkStart w:id="790" w:name="_Toc294080736"/>
      <w:bookmarkStart w:id="791" w:name="_Toc295467978"/>
      <w:bookmarkStart w:id="792" w:name="_Toc531529741"/>
      <w:r>
        <w:rPr>
          <w:rFonts w:ascii="Times New Roman" w:hAnsi="Times New Roman" w:eastAsia="宋体"/>
          <w:color w:val="000000"/>
        </w:rPr>
        <w:br w:type="page"/>
      </w:r>
      <w:bookmarkStart w:id="793" w:name="_Toc506_WPSOffice_Level1"/>
      <w:bookmarkStart w:id="794" w:name="_Toc10554_WPSOffice_Level1"/>
      <w:r>
        <w:rPr>
          <w:rFonts w:ascii="Times New Roman" w:hAnsi="Times New Roman" w:eastAsia="宋体"/>
          <w:color w:val="000000"/>
        </w:rPr>
        <w:t xml:space="preserve">                    </w:t>
      </w:r>
      <w:bookmarkStart w:id="795" w:name="_Toc7823"/>
      <w:bookmarkStart w:id="796" w:name="_Toc28363"/>
      <w:r>
        <w:rPr>
          <w:rFonts w:ascii="Times New Roman" w:hAnsi="Times New Roman" w:eastAsia="宋体"/>
          <w:color w:val="000000"/>
        </w:rPr>
        <w:t>7 信息报告与处置</w:t>
      </w:r>
      <w:bookmarkEnd w:id="790"/>
      <w:bookmarkEnd w:id="791"/>
      <w:bookmarkEnd w:id="792"/>
      <w:bookmarkEnd w:id="793"/>
      <w:bookmarkEnd w:id="794"/>
      <w:bookmarkEnd w:id="795"/>
      <w:bookmarkEnd w:id="796"/>
    </w:p>
    <w:p>
      <w:pPr>
        <w:pStyle w:val="2"/>
        <w:ind w:firstLine="602"/>
        <w:rPr>
          <w:rFonts w:ascii="Times New Roman" w:hAnsi="Times New Roman"/>
        </w:rPr>
      </w:pPr>
      <w:bookmarkStart w:id="797" w:name="_Toc26540"/>
      <w:bookmarkStart w:id="798" w:name="_Toc1047"/>
      <w:bookmarkStart w:id="799" w:name="_Toc10186"/>
      <w:bookmarkStart w:id="800" w:name="_Toc10555"/>
      <w:bookmarkStart w:id="801" w:name="_Toc32724"/>
      <w:bookmarkStart w:id="802" w:name="_Toc28364_WPSOffice_Level2"/>
      <w:bookmarkStart w:id="803" w:name="_Toc12838_WPSOffice_Level2"/>
      <w:bookmarkStart w:id="804" w:name="_Toc295467979"/>
      <w:bookmarkStart w:id="805" w:name="_Toc531529742"/>
      <w:bookmarkStart w:id="806" w:name="_Toc294080737"/>
      <w:r>
        <w:rPr>
          <w:rFonts w:ascii="Times New Roman" w:hAnsi="Times New Roman"/>
        </w:rPr>
        <w:t>7.1报警、通讯方式</w:t>
      </w:r>
      <w:bookmarkEnd w:id="797"/>
      <w:bookmarkEnd w:id="798"/>
    </w:p>
    <w:p>
      <w:pPr>
        <w:pStyle w:val="4"/>
        <w:ind w:firstLine="562"/>
        <w:rPr>
          <w:rFonts w:ascii="Times New Roman" w:hAnsi="Times New Roman"/>
        </w:rPr>
      </w:pPr>
      <w:bookmarkStart w:id="807" w:name="_Toc9551"/>
      <w:r>
        <w:rPr>
          <w:rFonts w:ascii="Times New Roman" w:hAnsi="Times New Roman"/>
        </w:rPr>
        <w:t>7.1.1 24小时有效报警装置</w:t>
      </w:r>
      <w:bookmarkEnd w:id="807"/>
    </w:p>
    <w:p>
      <w:pPr>
        <w:pStyle w:val="46"/>
        <w:spacing w:line="360" w:lineRule="auto"/>
        <w:ind w:firstLine="480" w:firstLineChars="200"/>
        <w:jc w:val="both"/>
        <w:rPr>
          <w:rFonts w:ascii="Times New Roman" w:hAnsi="Times New Roman"/>
          <w:sz w:val="24"/>
          <w:szCs w:val="21"/>
        </w:rPr>
      </w:pPr>
      <w:r>
        <w:rPr>
          <w:rFonts w:ascii="Times New Roman" w:hAnsi="Times New Roman"/>
          <w:sz w:val="24"/>
          <w:szCs w:val="21"/>
        </w:rPr>
        <w:t>公司 24 小时值班电话为15730481700（</w:t>
      </w:r>
      <w:r>
        <w:rPr>
          <w:rFonts w:hint="eastAsia" w:ascii="Times New Roman" w:hAnsi="Times New Roman"/>
          <w:sz w:val="24"/>
          <w:szCs w:val="21"/>
        </w:rPr>
        <w:t>廖建军</w:t>
      </w:r>
      <w:r>
        <w:rPr>
          <w:rFonts w:ascii="Times New Roman" w:hAnsi="Times New Roman"/>
          <w:sz w:val="24"/>
          <w:szCs w:val="21"/>
        </w:rPr>
        <w:t>）。</w:t>
      </w:r>
    </w:p>
    <w:p>
      <w:pPr>
        <w:pStyle w:val="46"/>
        <w:spacing w:line="360" w:lineRule="auto"/>
        <w:ind w:firstLine="480" w:firstLineChars="200"/>
        <w:jc w:val="both"/>
        <w:rPr>
          <w:rFonts w:ascii="Times New Roman" w:hAnsi="Times New Roman"/>
        </w:rPr>
      </w:pPr>
      <w:r>
        <w:rPr>
          <w:rFonts w:ascii="Times New Roman" w:hAnsi="Times New Roman"/>
          <w:sz w:val="24"/>
          <w:szCs w:val="21"/>
        </w:rPr>
        <w:t>当确认发生事故时，现场人员应第一时间按程序报警，报警时不要慌张、言词要清楚并按规定说明具体事故情况</w:t>
      </w:r>
      <w:r>
        <w:rPr>
          <w:rFonts w:ascii="Times New Roman" w:hAnsi="Times New Roman"/>
        </w:rPr>
        <w:t>。</w:t>
      </w:r>
    </w:p>
    <w:p>
      <w:pPr>
        <w:ind w:firstLine="480"/>
      </w:pPr>
      <w:r>
        <w:t>（1）出事部位、事故详细地点；</w:t>
      </w:r>
    </w:p>
    <w:p>
      <w:pPr>
        <w:ind w:firstLine="480"/>
      </w:pPr>
      <w:r>
        <w:t>（2）可能化学品泄漏部位、泄漏物质、泄漏量等相关的事故信息；</w:t>
      </w:r>
    </w:p>
    <w:p>
      <w:pPr>
        <w:ind w:firstLine="480"/>
      </w:pPr>
      <w:r>
        <w:t>（3）有无人员受伤等信息；</w:t>
      </w:r>
    </w:p>
    <w:p>
      <w:pPr>
        <w:ind w:firstLine="480"/>
      </w:pPr>
      <w:r>
        <w:t>（4）事故现场的发展趋势等。</w:t>
      </w:r>
    </w:p>
    <w:p>
      <w:pPr>
        <w:pStyle w:val="4"/>
        <w:ind w:firstLine="562"/>
        <w:rPr>
          <w:rFonts w:ascii="Times New Roman" w:hAnsi="Times New Roman"/>
        </w:rPr>
      </w:pPr>
      <w:bookmarkStart w:id="808" w:name="_Toc14340"/>
      <w:r>
        <w:rPr>
          <w:rFonts w:ascii="Times New Roman" w:hAnsi="Times New Roman"/>
        </w:rPr>
        <w:t>7.1.2内部、外部通讯联络手段</w:t>
      </w:r>
      <w:bookmarkEnd w:id="808"/>
    </w:p>
    <w:p>
      <w:pPr>
        <w:ind w:firstLine="480"/>
      </w:pPr>
      <w:r>
        <w:t>公司应急救援人员之间采用内部、外部电话和手机进行联系，应急救援小组的电话必须24小时开机，禁止随意更换电话号码。特殊情况下，电话号码发生变更，必须在变更之日起48小时内向安全环保部门报告。安全环保部门必须在24小时内向各成员和部门发布变更通知。</w:t>
      </w:r>
    </w:p>
    <w:p>
      <w:pPr>
        <w:pStyle w:val="2"/>
        <w:ind w:firstLine="602"/>
        <w:rPr>
          <w:rFonts w:ascii="Times New Roman" w:hAnsi="Times New Roman"/>
        </w:rPr>
      </w:pPr>
      <w:bookmarkStart w:id="809" w:name="_Toc31578"/>
      <w:bookmarkStart w:id="810" w:name="_Toc4029"/>
      <w:r>
        <w:rPr>
          <w:rFonts w:ascii="Times New Roman" w:hAnsi="Times New Roman"/>
        </w:rPr>
        <w:t>7.2事故信息报告</w:t>
      </w:r>
      <w:bookmarkEnd w:id="809"/>
      <w:bookmarkEnd w:id="810"/>
    </w:p>
    <w:p>
      <w:pPr>
        <w:pStyle w:val="4"/>
        <w:ind w:firstLine="562"/>
        <w:rPr>
          <w:rFonts w:ascii="Times New Roman" w:hAnsi="Times New Roman"/>
        </w:rPr>
      </w:pPr>
      <w:bookmarkStart w:id="811" w:name="_Toc16629"/>
      <w:r>
        <w:rPr>
          <w:rFonts w:ascii="Times New Roman" w:hAnsi="Times New Roman"/>
        </w:rPr>
        <w:t>7.2.1内部报告</w:t>
      </w:r>
      <w:bookmarkEnd w:id="811"/>
    </w:p>
    <w:p>
      <w:pPr>
        <w:ind w:firstLine="480"/>
      </w:pPr>
      <w:r>
        <w:t>（1）第一发现人：发现环境事故信息时，岗位的操作员工或事故最早发现者应该立即用手机或者随身对讲机向当班班长或应急办公室报告，若发生重、较大事故，当班员工可以直接向公司总经理报告。</w:t>
      </w:r>
    </w:p>
    <w:p>
      <w:pPr>
        <w:ind w:firstLine="480"/>
      </w:pPr>
      <w:r>
        <w:t>（2）当班班长报告后，应立即报告应急办公室或应急总指挥（总经理），应急总指挥（总经理）接到报告后组织有关人员对紧急情况的性质、可能产生的污染情况进行初步判断，由总经理决定是否启动本预案。如决定启动本预案，应同时确定响应级别。应急处置人员联系方式见附件。</w:t>
      </w:r>
    </w:p>
    <w:p>
      <w:pPr>
        <w:ind w:firstLine="480"/>
      </w:pPr>
      <w:r>
        <w:t>（3）凡任何人发现环境事故时，除了及时发出报警信息外，有权对险情所在区域作业活动下达停止作业的指令；值班人员如发现险情可能危及人身安全时，有权在第一时间下达停产撤人指令。</w:t>
      </w:r>
    </w:p>
    <w:p>
      <w:pPr>
        <w:pStyle w:val="4"/>
        <w:ind w:firstLine="562"/>
        <w:rPr>
          <w:rFonts w:ascii="Times New Roman" w:hAnsi="Times New Roman"/>
        </w:rPr>
      </w:pPr>
      <w:bookmarkStart w:id="812" w:name="_Toc3152"/>
      <w:r>
        <w:rPr>
          <w:rFonts w:ascii="Times New Roman" w:hAnsi="Times New Roman"/>
        </w:rPr>
        <w:t>7.2.2 外部报告</w:t>
      </w:r>
      <w:bookmarkEnd w:id="812"/>
    </w:p>
    <w:p>
      <w:pPr>
        <w:ind w:firstLine="480"/>
      </w:pPr>
      <w:r>
        <w:t>当事故可能超出公司处置能力的或可能影响周边其他单位的，由公司应急总指挥（总经理）立即向沙坪坝区生态环保局、消防、公安等主管部门报告。</w:t>
      </w:r>
    </w:p>
    <w:p>
      <w:pPr>
        <w:ind w:firstLine="480"/>
      </w:pPr>
      <w:r>
        <w:t>当事故等级一时难以确定，环境事故可能扩大时，由公司应急总指挥（总经理）在5分钟内用电话等快捷通讯方式向沙坪坝区生态环境局快报；应急终止1h后，由应急办公室负责人以书面形式向公司应急指挥部报告事件发生、处置的详细情况及对环境影响的初步评估。应急指挥部视事故等级向沙坪坝区生态环境局报告。</w:t>
      </w:r>
    </w:p>
    <w:p>
      <w:pPr>
        <w:pStyle w:val="4"/>
        <w:ind w:firstLine="562"/>
        <w:rPr>
          <w:rFonts w:ascii="Times New Roman" w:hAnsi="Times New Roman"/>
        </w:rPr>
      </w:pPr>
      <w:bookmarkStart w:id="813" w:name="_Toc13480"/>
      <w:r>
        <w:rPr>
          <w:rFonts w:ascii="Times New Roman" w:hAnsi="Times New Roman"/>
        </w:rPr>
        <w:t>7.2.3应急报告方式及内容</w:t>
      </w:r>
      <w:bookmarkEnd w:id="813"/>
    </w:p>
    <w:p>
      <w:pPr>
        <w:ind w:firstLine="480"/>
      </w:pPr>
      <w:r>
        <w:t>突发性环境污染事故的报告分为初报、续报和处理结果报告三类。初报从发现事件后由发现人立即上报；续报在查清有关基本情况后由事件调查人员随时上报；总结报告在事件处理完毕后由事件调查人员立即上报。</w:t>
      </w:r>
    </w:p>
    <w:p>
      <w:pPr>
        <w:ind w:firstLine="480"/>
      </w:pPr>
      <w:r>
        <w:t>其中：如果发生企业级的应急事件，应急指挥部在事故处置结束 后，将事故情况发生情况、处置情况向园区进行书面备案。</w:t>
      </w:r>
    </w:p>
    <w:p>
      <w:pPr>
        <w:ind w:firstLine="480"/>
      </w:pPr>
      <w:r>
        <w:t>如果发生社会联动级的应急响应，待应急处置工作结束24小时内，应急指挥部以书面形式向园区及沙坪坝区生态环境局就事件发生情况、处置情况及对环境影响的情况进行初评报告。待事故调查及后期处置结束后，公司向沙坪坝区生态环境局就该事故情况进行详细书面总结报告。</w:t>
      </w:r>
    </w:p>
    <w:p>
      <w:pPr>
        <w:ind w:firstLine="480"/>
      </w:pPr>
      <w:r>
        <w:t>总结报告应包括以下内容：事故发生时间、单位、地点、原因、相关设施毁损情况、人员伤亡及救助情况、事故处置情况、事故调查情况、结果处理情况等；</w:t>
      </w:r>
      <w:bookmarkEnd w:id="799"/>
    </w:p>
    <w:p>
      <w:pPr>
        <w:pStyle w:val="2"/>
        <w:ind w:firstLine="602"/>
        <w:rPr>
          <w:rFonts w:ascii="Times New Roman" w:hAnsi="Times New Roman"/>
          <w:color w:val="000000"/>
          <w:lang w:val="zh-CN"/>
        </w:rPr>
      </w:pPr>
      <w:bookmarkStart w:id="814" w:name="_Toc26139"/>
      <w:r>
        <w:rPr>
          <w:rFonts w:ascii="Times New Roman" w:hAnsi="Times New Roman"/>
          <w:color w:val="000000"/>
        </w:rPr>
        <w:t>7</w:t>
      </w:r>
      <w:r>
        <w:rPr>
          <w:rFonts w:ascii="Times New Roman" w:hAnsi="Times New Roman"/>
          <w:color w:val="000000"/>
          <w:lang w:val="zh-CN"/>
        </w:rPr>
        <w:t>.3信息通报</w:t>
      </w:r>
      <w:bookmarkEnd w:id="800"/>
      <w:bookmarkEnd w:id="801"/>
      <w:bookmarkEnd w:id="814"/>
    </w:p>
    <w:p>
      <w:pPr>
        <w:ind w:firstLine="480"/>
        <w:rPr>
          <w:color w:val="000000"/>
          <w:lang w:val="zh-CN"/>
        </w:rPr>
      </w:pPr>
      <w:r>
        <w:rPr>
          <w:color w:val="000000"/>
          <w:lang w:val="zh-CN"/>
        </w:rPr>
        <w:t>当应急预案启动后，特别是发出疏散警报后，必须通过电话、广播、电台等进行应急广播、紧急公告等，并对警报盲区和特殊需要群体（如听力障碍、语言不通等）等进行其它辅助方式的警报有效告之，尽最大努力不遗漏任何可能被波及的人员。及时通报友邻单位和居民等，告知灾情程度、风向等事故情况，必要时向有关单位发出支援请求。</w:t>
      </w:r>
    </w:p>
    <w:p>
      <w:pPr>
        <w:pStyle w:val="3"/>
        <w:rPr>
          <w:rFonts w:ascii="Times New Roman" w:hAnsi="Times New Roman" w:eastAsia="宋体"/>
          <w:color w:val="000000"/>
          <w:lang w:val="zh-CN"/>
        </w:rPr>
      </w:pPr>
      <w:bookmarkStart w:id="815" w:name="_Toc13628"/>
      <w:bookmarkStart w:id="816" w:name="_Toc20570"/>
      <w:bookmarkStart w:id="817" w:name="_Toc27921"/>
      <w:r>
        <w:rPr>
          <w:rFonts w:ascii="Times New Roman" w:hAnsi="Times New Roman" w:eastAsia="宋体"/>
          <w:color w:val="000000"/>
        </w:rPr>
        <w:t>8</w:t>
      </w:r>
      <w:r>
        <w:rPr>
          <w:rFonts w:ascii="Times New Roman" w:hAnsi="Times New Roman" w:eastAsia="宋体"/>
          <w:color w:val="000000"/>
          <w:lang w:val="zh-CN"/>
        </w:rPr>
        <w:t>应急响应</w:t>
      </w:r>
      <w:bookmarkEnd w:id="815"/>
      <w:bookmarkEnd w:id="816"/>
      <w:bookmarkEnd w:id="817"/>
    </w:p>
    <w:p>
      <w:pPr>
        <w:pStyle w:val="2"/>
        <w:ind w:firstLine="602"/>
        <w:rPr>
          <w:rFonts w:ascii="Times New Roman" w:hAnsi="Times New Roman"/>
          <w:color w:val="000000"/>
          <w:lang w:val="zh-CN"/>
        </w:rPr>
      </w:pPr>
      <w:bookmarkStart w:id="818" w:name="_Toc4996"/>
      <w:bookmarkStart w:id="819" w:name="_Toc21566"/>
      <w:bookmarkStart w:id="820" w:name="_Toc13462"/>
      <w:r>
        <w:rPr>
          <w:rFonts w:ascii="Times New Roman" w:hAnsi="Times New Roman"/>
          <w:color w:val="000000"/>
        </w:rPr>
        <w:t>8</w:t>
      </w:r>
      <w:r>
        <w:rPr>
          <w:rFonts w:ascii="Times New Roman" w:hAnsi="Times New Roman"/>
          <w:color w:val="000000"/>
          <w:lang w:val="zh-CN"/>
        </w:rPr>
        <w:t>.1 应急响应分级</w:t>
      </w:r>
      <w:bookmarkEnd w:id="818"/>
      <w:bookmarkEnd w:id="819"/>
      <w:bookmarkEnd w:id="820"/>
    </w:p>
    <w:p>
      <w:pPr>
        <w:ind w:firstLine="480"/>
        <w:rPr>
          <w:color w:val="000000"/>
          <w:lang w:val="zh-CN"/>
        </w:rPr>
      </w:pPr>
      <w:r>
        <w:rPr>
          <w:color w:val="000000"/>
          <w:lang w:val="zh-CN"/>
        </w:rPr>
        <w:t>针对事故严重程度、影响范围和单位对事态控制的能力，将应急响应分为两级：Ⅱ级即公司级，Ⅰ级即</w:t>
      </w:r>
      <w:r>
        <w:rPr>
          <w:color w:val="000000"/>
        </w:rPr>
        <w:t>社会联动</w:t>
      </w:r>
      <w:r>
        <w:rPr>
          <w:color w:val="000000"/>
          <w:lang w:val="zh-CN"/>
        </w:rPr>
        <w:t xml:space="preserve">级。 </w:t>
      </w:r>
    </w:p>
    <w:p>
      <w:pPr>
        <w:ind w:firstLine="480"/>
        <w:rPr>
          <w:color w:val="000000"/>
          <w:lang w:val="zh-CN"/>
        </w:rPr>
      </w:pPr>
      <w:r>
        <w:rPr>
          <w:color w:val="000000"/>
          <w:lang w:val="zh-CN"/>
        </w:rPr>
        <w:t>Ⅱ级响应</w:t>
      </w:r>
      <w:r>
        <w:rPr>
          <w:rFonts w:hint="eastAsia"/>
          <w:color w:val="000000"/>
        </w:rPr>
        <w:t>(用橙色预警表示)</w:t>
      </w:r>
      <w:r>
        <w:rPr>
          <w:color w:val="000000"/>
          <w:lang w:val="zh-CN"/>
        </w:rPr>
        <w:t>：</w:t>
      </w:r>
    </w:p>
    <w:p>
      <w:pPr>
        <w:ind w:firstLine="480"/>
        <w:rPr>
          <w:color w:val="000000"/>
          <w:lang w:val="zh-CN"/>
        </w:rPr>
      </w:pPr>
      <w:r>
        <w:rPr>
          <w:color w:val="000000"/>
          <w:lang w:val="zh-CN"/>
        </w:rPr>
        <w:t>发生突发环境事件的影响范围不超出企业风险单元或者厂界，公司内部有能力应急的事故，应启动Ⅱ级响应。</w:t>
      </w:r>
    </w:p>
    <w:p>
      <w:pPr>
        <w:ind w:firstLine="480"/>
        <w:rPr>
          <w:color w:val="000000"/>
          <w:lang w:val="zh-CN"/>
        </w:rPr>
      </w:pPr>
      <w:r>
        <w:rPr>
          <w:color w:val="000000"/>
          <w:lang w:val="zh-CN"/>
        </w:rPr>
        <w:t>公司应急救援指挥部负责人指令各应急小组按本单位制定的现场处置方案实施处置救援。</w:t>
      </w:r>
    </w:p>
    <w:p>
      <w:pPr>
        <w:ind w:firstLine="480"/>
        <w:rPr>
          <w:color w:val="000000"/>
          <w:lang w:val="zh-CN"/>
        </w:rPr>
      </w:pPr>
      <w:r>
        <w:rPr>
          <w:color w:val="000000"/>
          <w:lang w:val="zh-CN"/>
        </w:rPr>
        <w:t>Ⅰ级响应</w:t>
      </w:r>
      <w:r>
        <w:rPr>
          <w:rFonts w:hint="eastAsia"/>
          <w:color w:val="000000"/>
        </w:rPr>
        <w:t>(用红色预警表示)</w:t>
      </w:r>
      <w:r>
        <w:rPr>
          <w:color w:val="000000"/>
          <w:lang w:val="zh-CN"/>
        </w:rPr>
        <w:t>：</w:t>
      </w:r>
    </w:p>
    <w:p>
      <w:pPr>
        <w:ind w:firstLine="480"/>
        <w:rPr>
          <w:color w:val="000000"/>
          <w:lang w:val="zh-CN"/>
        </w:rPr>
      </w:pPr>
      <w:r>
        <w:rPr>
          <w:color w:val="000000"/>
          <w:lang w:val="zh-CN"/>
        </w:rPr>
        <w:t>发生突发环境事件的影响范围超出企业风险单元或者厂界，公司内部没有能力应急的事故，应启动Ⅰ级响应。</w:t>
      </w:r>
    </w:p>
    <w:p>
      <w:pPr>
        <w:ind w:firstLine="480"/>
        <w:rPr>
          <w:color w:val="000000"/>
          <w:lang w:val="zh-CN"/>
        </w:rPr>
      </w:pPr>
      <w:r>
        <w:rPr>
          <w:color w:val="000000"/>
          <w:lang w:val="zh-CN"/>
        </w:rPr>
        <w:t>当青鹏公司无法应急的时候，需沙坪坝区生态环境局应急救援指挥部负责人指令当班值班管理人员组织现场操作人员，按本单位制定的现场处置方案实施处置救援。</w:t>
      </w:r>
    </w:p>
    <w:p>
      <w:pPr>
        <w:pStyle w:val="2"/>
        <w:ind w:firstLine="602"/>
        <w:rPr>
          <w:rFonts w:ascii="Times New Roman" w:hAnsi="Times New Roman"/>
          <w:color w:val="000000"/>
          <w:lang w:val="zh-CN"/>
        </w:rPr>
      </w:pPr>
      <w:bookmarkStart w:id="821" w:name="_Toc22046"/>
      <w:bookmarkStart w:id="822" w:name="_Toc448"/>
      <w:bookmarkStart w:id="823" w:name="_Toc27334"/>
      <w:r>
        <w:rPr>
          <w:rFonts w:ascii="Times New Roman" w:hAnsi="Times New Roman"/>
          <w:color w:val="000000"/>
        </w:rPr>
        <w:t>8</w:t>
      </w:r>
      <w:r>
        <w:rPr>
          <w:rFonts w:ascii="Times New Roman" w:hAnsi="Times New Roman"/>
          <w:color w:val="000000"/>
          <w:lang w:val="zh-CN"/>
        </w:rPr>
        <w:t>.2 响应程序</w:t>
      </w:r>
      <w:bookmarkEnd w:id="821"/>
      <w:bookmarkEnd w:id="822"/>
      <w:bookmarkEnd w:id="823"/>
    </w:p>
    <w:p>
      <w:pPr>
        <w:pStyle w:val="4"/>
        <w:ind w:firstLine="562"/>
        <w:rPr>
          <w:rFonts w:ascii="Times New Roman" w:hAnsi="Times New Roman"/>
          <w:lang w:val="zh-CN"/>
        </w:rPr>
      </w:pPr>
      <w:bookmarkStart w:id="824" w:name="_Toc31732"/>
      <w:bookmarkStart w:id="825" w:name="_Toc31790"/>
      <w:r>
        <w:rPr>
          <w:rFonts w:ascii="Times New Roman" w:hAnsi="Times New Roman"/>
        </w:rPr>
        <w:t>8</w:t>
      </w:r>
      <w:r>
        <w:rPr>
          <w:rFonts w:ascii="Times New Roman" w:hAnsi="Times New Roman"/>
          <w:lang w:val="zh-CN"/>
        </w:rPr>
        <w:t>.2.1 应急响应启动条件</w:t>
      </w:r>
      <w:bookmarkEnd w:id="824"/>
      <w:bookmarkEnd w:id="825"/>
    </w:p>
    <w:p>
      <w:pPr>
        <w:ind w:firstLine="480"/>
        <w:rPr>
          <w:color w:val="000000"/>
          <w:lang w:val="zh-CN"/>
        </w:rPr>
      </w:pPr>
      <w:r>
        <w:rPr>
          <w:color w:val="000000"/>
          <w:lang w:val="zh-CN"/>
        </w:rPr>
        <w:t>II级应急响应：危险目标发生化学品少量泄漏事故，如：</w:t>
      </w:r>
      <w:r>
        <w:rPr>
          <w:color w:val="000000"/>
        </w:rPr>
        <w:t>润滑油</w:t>
      </w:r>
      <w:r>
        <w:rPr>
          <w:rFonts w:hint="eastAsia"/>
          <w:color w:val="000000"/>
        </w:rPr>
        <w:t>库房润滑油</w:t>
      </w:r>
      <w:r>
        <w:rPr>
          <w:bCs/>
          <w:color w:val="000000"/>
        </w:rPr>
        <w:t>发生少量泄漏，危废少量</w:t>
      </w:r>
      <w:r>
        <w:rPr>
          <w:color w:val="000000"/>
        </w:rPr>
        <w:t>泄漏</w:t>
      </w:r>
      <w:r>
        <w:rPr>
          <w:bCs/>
          <w:color w:val="000000"/>
        </w:rPr>
        <w:t>，</w:t>
      </w:r>
      <w:r>
        <w:rPr>
          <w:rFonts w:hint="eastAsia"/>
          <w:color w:val="000000"/>
        </w:rPr>
        <w:t>柴油储罐柴油</w:t>
      </w:r>
      <w:r>
        <w:rPr>
          <w:bCs/>
          <w:color w:val="000000"/>
        </w:rPr>
        <w:t>发生少量泄漏，</w:t>
      </w:r>
      <w:r>
        <w:rPr>
          <w:rFonts w:hint="eastAsia"/>
          <w:color w:val="000000"/>
        </w:rPr>
        <w:t>氨水储罐氨水</w:t>
      </w:r>
      <w:r>
        <w:rPr>
          <w:bCs/>
          <w:color w:val="000000"/>
        </w:rPr>
        <w:t>发生少量泄漏</w:t>
      </w:r>
      <w:r>
        <w:rPr>
          <w:color w:val="000000"/>
          <w:lang w:val="zh-CN"/>
        </w:rPr>
        <w:t>泄漏物质已经扩散至车间以及风险单元以外区域，但泄漏物质未扩散至公司以外区域，未对环境产生不利影响，公司调集所有应急救援力量有能力处置的泄漏事故。</w:t>
      </w:r>
    </w:p>
    <w:p>
      <w:pPr>
        <w:ind w:firstLine="480"/>
        <w:rPr>
          <w:color w:val="000000"/>
        </w:rPr>
      </w:pPr>
      <w:r>
        <w:rPr>
          <w:color w:val="000000"/>
          <w:szCs w:val="22"/>
          <w:lang w:val="zh-CN"/>
        </w:rPr>
        <w:t>I级应急响应：危险目标发生化学品泄漏事故，如：</w:t>
      </w:r>
      <w:r>
        <w:rPr>
          <w:color w:val="000000"/>
        </w:rPr>
        <w:t>润滑油</w:t>
      </w:r>
      <w:r>
        <w:rPr>
          <w:rFonts w:hint="eastAsia"/>
          <w:color w:val="000000"/>
        </w:rPr>
        <w:t>库房润滑油</w:t>
      </w:r>
      <w:r>
        <w:rPr>
          <w:bCs/>
          <w:color w:val="000000"/>
        </w:rPr>
        <w:t>发生</w:t>
      </w:r>
      <w:r>
        <w:rPr>
          <w:rFonts w:hint="eastAsia"/>
          <w:bCs/>
          <w:color w:val="000000"/>
        </w:rPr>
        <w:t>大</w:t>
      </w:r>
      <w:r>
        <w:rPr>
          <w:bCs/>
          <w:color w:val="000000"/>
        </w:rPr>
        <w:t>量泄漏，危废</w:t>
      </w:r>
      <w:r>
        <w:rPr>
          <w:rFonts w:hint="eastAsia"/>
          <w:bCs/>
          <w:color w:val="000000"/>
        </w:rPr>
        <w:t>大</w:t>
      </w:r>
      <w:r>
        <w:rPr>
          <w:bCs/>
          <w:color w:val="000000"/>
        </w:rPr>
        <w:t>量</w:t>
      </w:r>
      <w:r>
        <w:rPr>
          <w:color w:val="000000"/>
        </w:rPr>
        <w:t>泄漏</w:t>
      </w:r>
      <w:r>
        <w:rPr>
          <w:bCs/>
          <w:color w:val="000000"/>
        </w:rPr>
        <w:t>，</w:t>
      </w:r>
      <w:r>
        <w:rPr>
          <w:rFonts w:hint="eastAsia"/>
          <w:color w:val="000000"/>
        </w:rPr>
        <w:t>柴油储罐柴油</w:t>
      </w:r>
      <w:r>
        <w:rPr>
          <w:bCs/>
          <w:color w:val="000000"/>
        </w:rPr>
        <w:t>发生</w:t>
      </w:r>
      <w:r>
        <w:rPr>
          <w:rFonts w:hint="eastAsia"/>
          <w:bCs/>
          <w:color w:val="000000"/>
        </w:rPr>
        <w:t>大</w:t>
      </w:r>
      <w:r>
        <w:rPr>
          <w:bCs/>
          <w:color w:val="000000"/>
        </w:rPr>
        <w:t>量泄漏，</w:t>
      </w:r>
      <w:r>
        <w:rPr>
          <w:rFonts w:hint="eastAsia"/>
          <w:color w:val="000000"/>
        </w:rPr>
        <w:t>氨水储罐氨水</w:t>
      </w:r>
      <w:r>
        <w:rPr>
          <w:bCs/>
          <w:color w:val="000000"/>
        </w:rPr>
        <w:t>发生</w:t>
      </w:r>
      <w:r>
        <w:rPr>
          <w:rFonts w:hint="eastAsia"/>
          <w:bCs/>
          <w:color w:val="000000"/>
        </w:rPr>
        <w:t>大</w:t>
      </w:r>
      <w:r>
        <w:rPr>
          <w:bCs/>
          <w:color w:val="000000"/>
        </w:rPr>
        <w:t>量泄漏</w:t>
      </w:r>
      <w:r>
        <w:rPr>
          <w:color w:val="000000"/>
          <w:szCs w:val="22"/>
          <w:lang w:val="zh-CN"/>
        </w:rPr>
        <w:t>，泄漏物质已经扩散至风险单元以及厂区以外区域，可能对环境产生不利影响。公司调集所有应急救援力量都不能处置的泄漏事故时候，需</w:t>
      </w:r>
      <w:r>
        <w:rPr>
          <w:color w:val="000000"/>
          <w:lang w:val="zh-CN"/>
        </w:rPr>
        <w:t>沙坪坝区生态环境局</w:t>
      </w:r>
      <w:r>
        <w:rPr>
          <w:color w:val="000000"/>
          <w:szCs w:val="22"/>
          <w:lang w:val="zh-CN"/>
        </w:rPr>
        <w:t>调集应急救援力量才能力处置的事故。</w:t>
      </w:r>
    </w:p>
    <w:bookmarkEnd w:id="802"/>
    <w:bookmarkEnd w:id="803"/>
    <w:bookmarkEnd w:id="804"/>
    <w:bookmarkEnd w:id="805"/>
    <w:bookmarkEnd w:id="806"/>
    <w:p>
      <w:pPr>
        <w:pStyle w:val="4"/>
        <w:spacing w:before="0"/>
        <w:ind w:firstLine="562"/>
        <w:rPr>
          <w:rFonts w:ascii="Times New Roman" w:hAnsi="Times New Roman"/>
        </w:rPr>
      </w:pPr>
      <w:bookmarkStart w:id="826" w:name="_Toc17863_WPSOffice_Level3"/>
      <w:bookmarkStart w:id="827" w:name="_Toc15931_WPSOffice_Level3"/>
      <w:bookmarkStart w:id="828" w:name="_Toc21249"/>
      <w:bookmarkStart w:id="829" w:name="_Toc31222"/>
      <w:bookmarkStart w:id="830" w:name="_Toc295467987"/>
      <w:bookmarkStart w:id="831" w:name="_Toc294080746"/>
      <w:r>
        <w:rPr>
          <w:rFonts w:ascii="Times New Roman" w:hAnsi="Times New Roman"/>
        </w:rPr>
        <w:t>8.2.2 应急响应流程</w:t>
      </w:r>
      <w:bookmarkEnd w:id="826"/>
      <w:bookmarkEnd w:id="827"/>
      <w:bookmarkEnd w:id="828"/>
      <w:bookmarkEnd w:id="829"/>
    </w:p>
    <w:p>
      <w:pPr>
        <w:ind w:firstLine="480"/>
        <w:rPr>
          <w:color w:val="000000"/>
        </w:rPr>
      </w:pPr>
      <w:r>
        <w:rPr>
          <w:color w:val="000000"/>
        </w:rPr>
        <w:t>企业应急响应流程见图8.2-1。</w:t>
      </w:r>
    </w:p>
    <w:p>
      <w:pPr>
        <w:ind w:firstLine="480"/>
        <w:rPr>
          <w:color w:val="000000"/>
        </w:rPr>
      </w:pPr>
      <w:r>
        <w:rPr>
          <w:kern w:val="0"/>
          <w:lang w:bidi="ar"/>
        </w:rPr>
        <w:fldChar w:fldCharType="begin"/>
      </w:r>
      <w:r>
        <w:rPr>
          <w:kern w:val="0"/>
          <w:lang w:bidi="ar"/>
        </w:rPr>
        <w:instrText xml:space="preserve">INCLUDEPICTURE \d "C:\\Users\\Administrator\\AppData\\Roaming\\Tencent\\Users\\1197154272\\QQ\\WinTemp\\RichOle\\FRU7L]@CB%(X$2MKK`011}P.png" \* MERGEFORMATINET </w:instrText>
      </w:r>
      <w:r>
        <w:rPr>
          <w:kern w:val="0"/>
          <w:lang w:bidi="ar"/>
        </w:rPr>
        <w:fldChar w:fldCharType="separate"/>
      </w:r>
      <w:r>
        <w:rPr>
          <w:kern w:val="0"/>
          <w:lang w:bidi="ar"/>
        </w:rPr>
        <w:drawing>
          <wp:inline distT="0" distB="0" distL="114300" distR="114300">
            <wp:extent cx="4608830" cy="5419725"/>
            <wp:effectExtent l="0" t="0" r="1270" b="9525"/>
            <wp:docPr id="61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8" descr="IMG_256"/>
                    <pic:cNvPicPr>
                      <a:picLocks noChangeAspect="1"/>
                    </pic:cNvPicPr>
                  </pic:nvPicPr>
                  <pic:blipFill>
                    <a:blip r:embed="rId66"/>
                    <a:stretch>
                      <a:fillRect/>
                    </a:stretch>
                  </pic:blipFill>
                  <pic:spPr>
                    <a:xfrm>
                      <a:off x="0" y="0"/>
                      <a:ext cx="4608830" cy="5419725"/>
                    </a:xfrm>
                    <a:prstGeom prst="rect">
                      <a:avLst/>
                    </a:prstGeom>
                    <a:noFill/>
                    <a:ln>
                      <a:noFill/>
                    </a:ln>
                  </pic:spPr>
                </pic:pic>
              </a:graphicData>
            </a:graphic>
          </wp:inline>
        </w:drawing>
      </w:r>
      <w:r>
        <w:rPr>
          <w:kern w:val="0"/>
          <w:lang w:bidi="ar"/>
        </w:rPr>
        <w:fldChar w:fldCharType="end"/>
      </w:r>
    </w:p>
    <w:p>
      <w:pPr>
        <w:adjustRightInd w:val="0"/>
        <w:snapToGrid w:val="0"/>
        <w:ind w:firstLine="422"/>
        <w:jc w:val="center"/>
        <w:rPr>
          <w:color w:val="000000"/>
        </w:rPr>
      </w:pPr>
      <w:bookmarkStart w:id="832" w:name="_Toc25977_WPSOffice_Level3"/>
      <w:bookmarkStart w:id="833" w:name="_Toc8447_WPSOffice_Level3"/>
      <w:bookmarkStart w:id="834" w:name="_Toc13764_WPSOffice_Level3"/>
      <w:bookmarkStart w:id="835" w:name="_Toc6665_WPSOffice_Level3"/>
      <w:r>
        <w:rPr>
          <w:b/>
          <w:bCs/>
          <w:color w:val="000000"/>
          <w:sz w:val="21"/>
        </w:rPr>
        <w:t>图8.2-1  应急响应程序</w:t>
      </w:r>
      <w:bookmarkEnd w:id="832"/>
      <w:bookmarkEnd w:id="833"/>
      <w:bookmarkEnd w:id="834"/>
      <w:bookmarkEnd w:id="835"/>
    </w:p>
    <w:p>
      <w:pPr>
        <w:pStyle w:val="4"/>
        <w:spacing w:before="0"/>
        <w:ind w:firstLine="562"/>
        <w:rPr>
          <w:rFonts w:ascii="Times New Roman" w:hAnsi="Times New Roman"/>
        </w:rPr>
      </w:pPr>
      <w:bookmarkStart w:id="836" w:name="_Toc311034127"/>
      <w:bookmarkStart w:id="837" w:name="_Toc417807816"/>
      <w:bookmarkStart w:id="838" w:name="_Toc417808365"/>
      <w:bookmarkStart w:id="839" w:name="_Toc16592"/>
      <w:bookmarkStart w:id="840" w:name="_Toc21345"/>
      <w:bookmarkStart w:id="841" w:name="_Toc9168_WPSOffice_Level3"/>
      <w:bookmarkStart w:id="842" w:name="_Toc22779_WPSOffice_Level3"/>
      <w:r>
        <w:rPr>
          <w:rFonts w:ascii="Times New Roman" w:hAnsi="Times New Roman"/>
        </w:rPr>
        <w:t>8.2.2 接警与响应级别确定</w:t>
      </w:r>
      <w:bookmarkEnd w:id="836"/>
      <w:bookmarkEnd w:id="837"/>
      <w:bookmarkEnd w:id="838"/>
      <w:bookmarkEnd w:id="839"/>
      <w:bookmarkEnd w:id="840"/>
    </w:p>
    <w:p>
      <w:pPr>
        <w:ind w:firstLine="480"/>
        <w:rPr>
          <w:color w:val="000000"/>
        </w:rPr>
      </w:pPr>
      <w:r>
        <w:rPr>
          <w:color w:val="000000"/>
        </w:rPr>
        <w:t>接到事故报警后，按照工作程序，对警情做出判断，初步确定相应的响应级别。</w:t>
      </w:r>
    </w:p>
    <w:p>
      <w:pPr>
        <w:pStyle w:val="4"/>
        <w:ind w:firstLine="562"/>
        <w:rPr>
          <w:rFonts w:ascii="Times New Roman" w:hAnsi="Times New Roman"/>
          <w:szCs w:val="28"/>
        </w:rPr>
      </w:pPr>
      <w:bookmarkStart w:id="843" w:name="_Toc236638386"/>
      <w:bookmarkStart w:id="844" w:name="_Toc236638229"/>
      <w:bookmarkStart w:id="845" w:name="_Toc417807817"/>
      <w:bookmarkStart w:id="846" w:name="_Toc236639709"/>
      <w:bookmarkStart w:id="847" w:name="_Toc417808366"/>
      <w:bookmarkStart w:id="848" w:name="_Toc236638583"/>
      <w:bookmarkStart w:id="849" w:name="_Toc236639227"/>
      <w:bookmarkStart w:id="850" w:name="_Toc236639340"/>
      <w:bookmarkStart w:id="851" w:name="_Toc26914"/>
      <w:bookmarkStart w:id="852" w:name="_Toc236638756"/>
      <w:bookmarkStart w:id="853" w:name="_Toc236638480"/>
      <w:bookmarkStart w:id="854" w:name="_Toc202890360"/>
      <w:bookmarkStart w:id="855" w:name="_Toc25631"/>
      <w:bookmarkStart w:id="856" w:name="_Toc311034128"/>
      <w:bookmarkStart w:id="857" w:name="_Toc236639145"/>
      <w:r>
        <w:rPr>
          <w:rFonts w:ascii="Times New Roman" w:hAnsi="Times New Roman"/>
        </w:rPr>
        <w:t>8.2.3应急启动</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pPr>
        <w:ind w:firstLine="480"/>
        <w:rPr>
          <w:color w:val="000000"/>
        </w:rPr>
      </w:pPr>
      <w:r>
        <w:rPr>
          <w:color w:val="000000"/>
        </w:rPr>
        <w:t>应急响应级别确定后，按所确定的响应级别启动应急程序，如通知相关人员到位、通知调配应急处置所需的应急资源（包括应急队伍和物资、装备等）、成立现场指挥部等，应急启动由应急指挥部负责。</w:t>
      </w:r>
    </w:p>
    <w:p>
      <w:pPr>
        <w:pStyle w:val="4"/>
        <w:ind w:firstLine="562"/>
        <w:rPr>
          <w:rFonts w:ascii="Times New Roman" w:hAnsi="Times New Roman"/>
        </w:rPr>
      </w:pPr>
      <w:bookmarkStart w:id="858" w:name="_Toc20250"/>
      <w:bookmarkStart w:id="859" w:name="_Toc321"/>
      <w:r>
        <w:rPr>
          <w:rFonts w:ascii="Times New Roman" w:hAnsi="Times New Roman"/>
        </w:rPr>
        <w:t>8.2.5先期处置</w:t>
      </w:r>
      <w:bookmarkEnd w:id="858"/>
      <w:bookmarkEnd w:id="859"/>
    </w:p>
    <w:bookmarkEnd w:id="841"/>
    <w:bookmarkEnd w:id="842"/>
    <w:p>
      <w:pPr>
        <w:ind w:firstLine="411" w:firstLineChars="196"/>
        <w:rPr>
          <w:kern w:val="0"/>
        </w:rPr>
      </w:pPr>
      <w:bookmarkStart w:id="860" w:name="_Toc19985"/>
      <w:bookmarkStart w:id="861" w:name="_Toc27823"/>
      <w:bookmarkStart w:id="862" w:name="_Toc6355"/>
      <w:bookmarkStart w:id="863" w:name="_Toc882_WPSOffice_Level3"/>
      <w:bookmarkStart w:id="864" w:name="_Toc5173_WPSOffice_Level3"/>
      <w:bookmarkStart w:id="865" w:name="_Toc30140_WPSOffice_Level3"/>
      <w:r>
        <w:rPr>
          <w:kern w:val="0"/>
        </w:rPr>
        <w:t>事故或险情出现后，所属部门必须按“保障人员生命安全优先，防止事故扩大措施优先”的原则，实施先期应急处置。主要内容：抢救受伤人员和在危险区人员；堵漏转移、隔离危险区等；组织无关人员撤离危险危害区域，清点现场人数；组织力量消除道路堵塞，为下步应急处置创造条件。</w:t>
      </w:r>
    </w:p>
    <w:p>
      <w:pPr>
        <w:pStyle w:val="4"/>
        <w:ind w:firstLine="562"/>
        <w:rPr>
          <w:rFonts w:ascii="Times New Roman" w:hAnsi="Times New Roman"/>
        </w:rPr>
      </w:pPr>
      <w:bookmarkStart w:id="866" w:name="_Toc11922"/>
      <w:bookmarkStart w:id="867" w:name="_Toc21754"/>
      <w:bookmarkStart w:id="868" w:name="_Toc272328341"/>
      <w:r>
        <w:rPr>
          <w:rFonts w:ascii="Times New Roman" w:hAnsi="Times New Roman"/>
        </w:rPr>
        <w:t>8.2.4应急指挥</w:t>
      </w:r>
      <w:bookmarkEnd w:id="866"/>
      <w:bookmarkEnd w:id="867"/>
      <w:bookmarkEnd w:id="868"/>
    </w:p>
    <w:p>
      <w:pPr>
        <w:ind w:firstLine="480"/>
        <w:rPr>
          <w:color w:val="000000"/>
        </w:rPr>
      </w:pPr>
      <w:r>
        <w:rPr>
          <w:color w:val="000000"/>
        </w:rPr>
        <w:t>根据事故发生的危害程度和发展态势，采取不同的应急指挥。发生事故需利用企业所有相关部门及一切资源来进行抢险救援时，由企业应急指挥部负责统一指挥和协调事故现场应急处置行动，实施重大事情决策指挥；事发现场各应急组服从应急指挥部的统一调度，按各自的职责做好相应的指挥、部署、实施工作；救援中所涉及的相关负责人和应急援助人员到达救援现场后立即到各自岗位，做好提供需要的物力、技术和其他支援的准备，按命令开展协助工作。</w:t>
      </w:r>
    </w:p>
    <w:p>
      <w:pPr>
        <w:ind w:firstLine="480"/>
        <w:rPr>
          <w:color w:val="000000"/>
        </w:rPr>
      </w:pPr>
      <w:r>
        <w:rPr>
          <w:color w:val="000000"/>
        </w:rPr>
        <w:t>所有现场应急处置人员必须在应急指挥部的统一指挥下，密切配合，协同实施抢险和紧急处置行动。</w:t>
      </w:r>
    </w:p>
    <w:p>
      <w:pPr>
        <w:pStyle w:val="2"/>
        <w:ind w:firstLine="602"/>
        <w:rPr>
          <w:rFonts w:ascii="Times New Roman" w:hAnsi="Times New Roman"/>
          <w:color w:val="000000"/>
        </w:rPr>
      </w:pPr>
      <w:bookmarkStart w:id="869" w:name="_Toc2754"/>
      <w:r>
        <w:rPr>
          <w:rFonts w:ascii="Times New Roman" w:hAnsi="Times New Roman"/>
          <w:color w:val="000000"/>
        </w:rPr>
        <w:t>8.3突发环境事件现场应急措施</w:t>
      </w:r>
      <w:bookmarkEnd w:id="860"/>
      <w:bookmarkEnd w:id="861"/>
      <w:bookmarkEnd w:id="862"/>
      <w:bookmarkEnd w:id="869"/>
    </w:p>
    <w:p>
      <w:pPr>
        <w:pStyle w:val="4"/>
        <w:ind w:firstLine="562"/>
        <w:rPr>
          <w:rFonts w:ascii="Times New Roman" w:hAnsi="Times New Roman"/>
        </w:rPr>
      </w:pPr>
      <w:bookmarkStart w:id="870" w:name="_Toc30921"/>
      <w:bookmarkStart w:id="871" w:name="_Toc14910"/>
      <w:bookmarkStart w:id="872" w:name="_Toc3633"/>
      <w:r>
        <w:rPr>
          <w:rFonts w:ascii="Times New Roman" w:hAnsi="Times New Roman"/>
        </w:rPr>
        <w:t>8.3.1氨水储罐、柴油储罐、润滑油库房、危险废物区泄漏事故处置</w:t>
      </w:r>
      <w:bookmarkEnd w:id="870"/>
      <w:bookmarkEnd w:id="871"/>
    </w:p>
    <w:p>
      <w:pPr>
        <w:ind w:firstLine="411" w:firstLineChars="196"/>
        <w:rPr>
          <w:color w:val="000000"/>
          <w:kern w:val="0"/>
        </w:rPr>
      </w:pPr>
      <w:r>
        <w:rPr>
          <w:color w:val="000000"/>
          <w:kern w:val="0"/>
        </w:rPr>
        <w:t>（</w:t>
      </w:r>
      <w:r>
        <w:rPr>
          <w:color w:val="000000"/>
        </w:rPr>
        <w:t>1）氨水储罐、柴油储罐、润滑油库房视</w:t>
      </w:r>
      <w:r>
        <w:rPr>
          <w:color w:val="000000"/>
          <w:kern w:val="0"/>
        </w:rPr>
        <w:t>频监控装置或操作人员报告发现泄漏时，当班负责人立即向</w:t>
      </w:r>
      <w:r>
        <w:rPr>
          <w:color w:val="000000"/>
        </w:rPr>
        <w:t>应急办公室</w:t>
      </w:r>
      <w:r>
        <w:rPr>
          <w:color w:val="000000"/>
          <w:kern w:val="0"/>
        </w:rPr>
        <w:t>报告。由</w:t>
      </w:r>
      <w:r>
        <w:rPr>
          <w:color w:val="000000"/>
        </w:rPr>
        <w:t>应急</w:t>
      </w:r>
      <w:r>
        <w:rPr>
          <w:rFonts w:hint="eastAsia"/>
          <w:color w:val="000000"/>
        </w:rPr>
        <w:t>指挥部</w:t>
      </w:r>
      <w:r>
        <w:rPr>
          <w:color w:val="000000"/>
          <w:kern w:val="0"/>
        </w:rPr>
        <w:t>启动应急预案，根据事态发展情况，决定应急预案启动等级；</w:t>
      </w:r>
    </w:p>
    <w:p>
      <w:pPr>
        <w:ind w:firstLine="411" w:firstLineChars="196"/>
        <w:rPr>
          <w:color w:val="000000"/>
          <w:kern w:val="0"/>
        </w:rPr>
      </w:pPr>
      <w:r>
        <w:rPr>
          <w:color w:val="000000"/>
          <w:kern w:val="0"/>
        </w:rPr>
        <w:t>（2）应急救援人员穿戴耐酸手套，胶靴等防护措施后，立即进入现场施救，在有人员伤亡的情况下，首先把伤亡人员转移到安全地带进行救援；</w:t>
      </w:r>
    </w:p>
    <w:p>
      <w:pPr>
        <w:ind w:firstLine="411" w:firstLineChars="196"/>
        <w:rPr>
          <w:color w:val="000000"/>
          <w:kern w:val="0"/>
        </w:rPr>
      </w:pPr>
      <w:r>
        <w:rPr>
          <w:color w:val="000000"/>
          <w:kern w:val="0"/>
        </w:rPr>
        <w:t>（3）安全警戒组</w:t>
      </w:r>
      <w:r>
        <w:rPr>
          <w:color w:val="000000"/>
        </w:rPr>
        <w:t>迅速撤离泄漏污染区人员至安全区，并进行隔离，严格限制出入，</w:t>
      </w:r>
      <w:r>
        <w:rPr>
          <w:color w:val="000000"/>
          <w:kern w:val="0"/>
        </w:rPr>
        <w:t>并设置警戒线；</w:t>
      </w:r>
    </w:p>
    <w:p>
      <w:pPr>
        <w:ind w:firstLine="411" w:firstLineChars="196"/>
        <w:rPr>
          <w:color w:val="000000"/>
        </w:rPr>
      </w:pPr>
      <w:r>
        <w:rPr>
          <w:color w:val="000000"/>
          <w:kern w:val="0"/>
        </w:rPr>
        <w:t>（4）抢险救援组人员做好防护措施，</w:t>
      </w:r>
      <w:r>
        <w:rPr>
          <w:color w:val="000000"/>
        </w:rPr>
        <w:t>发生泄漏时，首先应封堵泄漏源，然后采用空桶收集，最后采用吸附棉对残留泄漏物吸附；</w:t>
      </w:r>
    </w:p>
    <w:p>
      <w:pPr>
        <w:ind w:firstLine="411" w:firstLineChars="196"/>
        <w:rPr>
          <w:color w:val="000000"/>
          <w:kern w:val="0"/>
        </w:rPr>
      </w:pPr>
      <w:r>
        <w:rPr>
          <w:color w:val="000000"/>
          <w:kern w:val="0"/>
        </w:rPr>
        <w:t>（6）当事故得到控制，对设备系统进行详细检查，确认事故隐患已消除，总指挥根据现场环境监测结果，发布应急处置队伍撤离现场，恢复生产的指令。</w:t>
      </w:r>
    </w:p>
    <w:p>
      <w:pPr>
        <w:ind w:firstLine="480"/>
        <w:rPr>
          <w:color w:val="000000"/>
        </w:rPr>
      </w:pPr>
      <w:r>
        <w:rPr>
          <w:color w:val="000000"/>
        </w:rPr>
        <w:t>（7）事故处置中产生的危险废弃物做危废处置。</w:t>
      </w:r>
    </w:p>
    <w:p>
      <w:pPr>
        <w:pStyle w:val="4"/>
        <w:ind w:firstLine="562"/>
        <w:rPr>
          <w:rFonts w:ascii="Times New Roman" w:hAnsi="Times New Roman"/>
        </w:rPr>
      </w:pPr>
      <w:bookmarkStart w:id="873" w:name="_Toc4083"/>
      <w:bookmarkStart w:id="874" w:name="_Toc20053"/>
      <w:r>
        <w:rPr>
          <w:rFonts w:ascii="Times New Roman" w:hAnsi="Times New Roman"/>
        </w:rPr>
        <w:t>8.3.3柴油储罐、润滑油库房、危险废物区发生火灾事故处置</w:t>
      </w:r>
      <w:bookmarkEnd w:id="873"/>
      <w:bookmarkEnd w:id="874"/>
    </w:p>
    <w:p>
      <w:pPr>
        <w:ind w:firstLine="480"/>
        <w:rPr>
          <w:color w:val="000000"/>
        </w:rPr>
      </w:pPr>
      <w:r>
        <w:rPr>
          <w:color w:val="000000"/>
        </w:rPr>
        <w:t>（1）危废暂存间、柴油储罐、润滑油库房视频监控装置或操作人员报告发现火灾时，当班负责人立即向应急办公室报告。</w:t>
      </w:r>
      <w:r>
        <w:rPr>
          <w:color w:val="000000"/>
          <w:kern w:val="0"/>
        </w:rPr>
        <w:t>由</w:t>
      </w:r>
      <w:r>
        <w:rPr>
          <w:color w:val="000000"/>
        </w:rPr>
        <w:t>应急</w:t>
      </w:r>
      <w:r>
        <w:rPr>
          <w:rFonts w:hint="eastAsia"/>
          <w:color w:val="000000"/>
        </w:rPr>
        <w:t>指挥部</w:t>
      </w:r>
      <w:r>
        <w:rPr>
          <w:color w:val="000000"/>
          <w:kern w:val="0"/>
        </w:rPr>
        <w:t>启动应急预案</w:t>
      </w:r>
      <w:r>
        <w:rPr>
          <w:color w:val="000000"/>
        </w:rPr>
        <w:t>，根据事态发展情况，决定应急预案启动等级；</w:t>
      </w:r>
    </w:p>
    <w:p>
      <w:pPr>
        <w:ind w:firstLine="480"/>
        <w:rPr>
          <w:color w:val="000000"/>
        </w:rPr>
      </w:pPr>
      <w:r>
        <w:rPr>
          <w:color w:val="000000"/>
        </w:rPr>
        <w:t>（2）应急救援人员穿戴全身防护措施后，在保障自身安全的情况下立即进入现场施救，在有人员伤亡的情况下，首先把伤亡人员转移到安全地带进行救援；</w:t>
      </w:r>
    </w:p>
    <w:p>
      <w:pPr>
        <w:ind w:firstLine="480"/>
        <w:rPr>
          <w:color w:val="000000"/>
        </w:rPr>
      </w:pPr>
      <w:r>
        <w:rPr>
          <w:color w:val="000000"/>
        </w:rPr>
        <w:t>（3）安全警戒组迅速撤离所有厂区人员至安全区，并进行隔离，严格限制出入，并设置警戒线；</w:t>
      </w:r>
    </w:p>
    <w:p>
      <w:pPr>
        <w:ind w:firstLine="480"/>
        <w:rPr>
          <w:color w:val="000000"/>
        </w:rPr>
      </w:pPr>
      <w:r>
        <w:rPr>
          <w:color w:val="000000"/>
        </w:rPr>
        <w:t>（4）抢险救援组人员做好防护措施，在火灾可控的情况下使用厂区的灭火器进行灭火，在不可控情况下撤离到安全区；</w:t>
      </w:r>
    </w:p>
    <w:p>
      <w:pPr>
        <w:ind w:firstLine="480"/>
        <w:rPr>
          <w:color w:val="000000"/>
        </w:rPr>
      </w:pPr>
      <w:r>
        <w:rPr>
          <w:color w:val="000000"/>
        </w:rPr>
        <w:t>（5）当事故得到控制，对设备系统进行详细检查，确认事故隐患已消除，总指挥根据现场环境监测结果，发布应急处置队伍撤离现场，恢复生产的指令。</w:t>
      </w:r>
    </w:p>
    <w:p>
      <w:pPr>
        <w:ind w:firstLine="480"/>
        <w:rPr>
          <w:color w:val="000000"/>
        </w:rPr>
      </w:pPr>
      <w:r>
        <w:rPr>
          <w:color w:val="000000"/>
        </w:rPr>
        <w:t>（6）事故处置中产生的事故废水通过收集桶收集。</w:t>
      </w:r>
    </w:p>
    <w:bookmarkEnd w:id="872"/>
    <w:p>
      <w:pPr>
        <w:pStyle w:val="2"/>
        <w:ind w:firstLine="602"/>
        <w:rPr>
          <w:rFonts w:ascii="Times New Roman" w:hAnsi="Times New Roman"/>
          <w:color w:val="000000"/>
        </w:rPr>
      </w:pPr>
      <w:bookmarkStart w:id="875" w:name="_Toc7771"/>
      <w:bookmarkStart w:id="876" w:name="_Toc28858"/>
      <w:bookmarkStart w:id="877" w:name="_Toc10630"/>
      <w:bookmarkStart w:id="878" w:name="_Toc14102"/>
      <w:bookmarkStart w:id="879" w:name="_Toc507"/>
      <w:bookmarkStart w:id="880" w:name="_Toc26854"/>
      <w:r>
        <w:rPr>
          <w:rFonts w:ascii="Times New Roman" w:hAnsi="Times New Roman"/>
          <w:color w:val="000000"/>
        </w:rPr>
        <w:t>8.4人员疏散方案</w:t>
      </w:r>
      <w:bookmarkEnd w:id="875"/>
      <w:bookmarkEnd w:id="876"/>
      <w:bookmarkEnd w:id="877"/>
      <w:bookmarkEnd w:id="878"/>
      <w:bookmarkEnd w:id="879"/>
      <w:bookmarkEnd w:id="880"/>
    </w:p>
    <w:p>
      <w:pPr>
        <w:ind w:firstLine="480"/>
        <w:rPr>
          <w:color w:val="000000"/>
        </w:rPr>
      </w:pPr>
      <w:r>
        <w:rPr>
          <w:color w:val="000000"/>
        </w:rPr>
        <w:t>听到各区域需要疏散人员警报时，区域内的人员应在</w:t>
      </w:r>
      <w:r>
        <w:rPr>
          <w:color w:val="000000"/>
          <w:kern w:val="0"/>
        </w:rPr>
        <w:t>当班负责人</w:t>
      </w:r>
      <w:r>
        <w:rPr>
          <w:color w:val="000000"/>
        </w:rPr>
        <w:t>和警戒疏散组的带领下迅速、有序地撤离危险区域，并到指定地点集合，从而避免人员伤亡。抢险救援组队员应利用最短的时间，关闭该区域内可能会引起更大事故的电源和管道阀门等。</w:t>
      </w:r>
    </w:p>
    <w:p>
      <w:pPr>
        <w:pStyle w:val="4"/>
        <w:ind w:firstLine="562"/>
        <w:rPr>
          <w:rFonts w:ascii="Times New Roman" w:hAnsi="Times New Roman"/>
        </w:rPr>
      </w:pPr>
      <w:bookmarkStart w:id="881" w:name="_Toc28055"/>
      <w:bookmarkStart w:id="882" w:name="_Toc8662"/>
      <w:bookmarkStart w:id="883" w:name="_Toc5881"/>
      <w:bookmarkStart w:id="884" w:name="_Toc18758"/>
      <w:r>
        <w:rPr>
          <w:rFonts w:ascii="Times New Roman" w:hAnsi="Times New Roman"/>
        </w:rPr>
        <w:t>8.4.1事故现场人员的撤离</w:t>
      </w:r>
      <w:bookmarkEnd w:id="881"/>
      <w:bookmarkEnd w:id="882"/>
      <w:bookmarkEnd w:id="883"/>
      <w:bookmarkEnd w:id="884"/>
    </w:p>
    <w:p>
      <w:pPr>
        <w:ind w:firstLine="480"/>
        <w:rPr>
          <w:color w:val="000000"/>
        </w:rPr>
      </w:pPr>
      <w:r>
        <w:rPr>
          <w:color w:val="000000"/>
        </w:rPr>
        <w:t>当</w:t>
      </w:r>
      <w:r>
        <w:rPr>
          <w:color w:val="000000"/>
          <w:kern w:val="0"/>
        </w:rPr>
        <w:t>班负责人</w:t>
      </w:r>
      <w:r>
        <w:rPr>
          <w:color w:val="000000"/>
        </w:rPr>
        <w:t>应组织本班人员有秩序地疏散到上风口安全地带，疏散顺序从最危险地段人员先开始，相互兼顾照应，并根据风向指明集合地点。人员在安全地点集合后，当班负责人负责清点本班人数，并向应急指挥部报告人员情况。发现缺员，应报告所缺员工的姓名和事故前所处位置，立即派人进入灾区寻找失踪人员，提供急救。</w:t>
      </w:r>
    </w:p>
    <w:p>
      <w:pPr>
        <w:pStyle w:val="4"/>
        <w:ind w:firstLine="562"/>
        <w:rPr>
          <w:rFonts w:ascii="Times New Roman" w:hAnsi="Times New Roman"/>
        </w:rPr>
      </w:pPr>
      <w:bookmarkStart w:id="885" w:name="_Toc8913"/>
      <w:bookmarkStart w:id="886" w:name="_Toc17240"/>
      <w:bookmarkStart w:id="887" w:name="_Toc21864"/>
      <w:bookmarkStart w:id="888" w:name="_Toc22695"/>
      <w:r>
        <w:rPr>
          <w:rFonts w:ascii="Times New Roman" w:hAnsi="Times New Roman"/>
        </w:rPr>
        <w:t>8.4.2抢救人员在撤离前、撤离后的报告</w:t>
      </w:r>
      <w:bookmarkEnd w:id="885"/>
      <w:bookmarkEnd w:id="886"/>
      <w:bookmarkEnd w:id="887"/>
      <w:bookmarkEnd w:id="888"/>
    </w:p>
    <w:p>
      <w:pPr>
        <w:ind w:firstLine="480"/>
        <w:rPr>
          <w:color w:val="000000"/>
        </w:rPr>
      </w:pPr>
      <w:r>
        <w:rPr>
          <w:color w:val="000000"/>
        </w:rPr>
        <w:t>负责应急处置的人员在接到通知后，立即带上救护和防护装备赶赴现场，等候指令，听从指挥。由抢险救援组组长视情况带领足够人员（可视情况临时补充、抽调）分批进入事发点进行现场抢险或救护。在进入事故点前，抢险救援组组长必须向应急指挥部报告每批参加抢险（或救护）人员数量和名单并登记。</w:t>
      </w:r>
    </w:p>
    <w:p>
      <w:pPr>
        <w:ind w:firstLine="480"/>
        <w:rPr>
          <w:color w:val="000000"/>
        </w:rPr>
      </w:pPr>
      <w:r>
        <w:rPr>
          <w:color w:val="000000"/>
        </w:rPr>
        <w:t>抢险救援组完成任务后，组长应向应急指挥部报告任务执行情况以及抢险（或救护）人员安全状况，申请下达撤离命令。应急指挥部根据事故控制情况，即时作出撤离或继续抢险（或救护）的决定。组长若接到撤离命令后，带领抢险人员撤离事故点至安全地带，清点人员后，再向现场应急指挥部报告。</w:t>
      </w:r>
    </w:p>
    <w:p>
      <w:pPr>
        <w:pStyle w:val="4"/>
        <w:ind w:firstLine="562"/>
        <w:rPr>
          <w:rFonts w:ascii="Times New Roman" w:hAnsi="Times New Roman"/>
        </w:rPr>
      </w:pPr>
      <w:bookmarkStart w:id="889" w:name="_Toc3036"/>
      <w:bookmarkStart w:id="890" w:name="_Toc22943"/>
      <w:bookmarkStart w:id="891" w:name="_Toc15646"/>
      <w:bookmarkStart w:id="892" w:name="_Toc4866"/>
      <w:r>
        <w:rPr>
          <w:rFonts w:ascii="Times New Roman" w:hAnsi="Times New Roman"/>
        </w:rPr>
        <w:t>8.4.3周边区域单位人员疏散的方式、方法</w:t>
      </w:r>
      <w:bookmarkEnd w:id="889"/>
      <w:bookmarkEnd w:id="890"/>
      <w:bookmarkEnd w:id="891"/>
      <w:bookmarkEnd w:id="892"/>
    </w:p>
    <w:p>
      <w:pPr>
        <w:ind w:firstLine="480"/>
        <w:rPr>
          <w:color w:val="000000"/>
        </w:rPr>
      </w:pPr>
      <w:r>
        <w:rPr>
          <w:color w:val="000000"/>
        </w:rPr>
        <w:t>当事故危急周边单位、居民、敏感单位时，由应急指挥部向政府以及周边单位、居民、敏感单位发送警报。事态严重紧急时，通过应急指挥部和综合协调组直接联系政府以及周边单位负责人，由应急指挥部指挥长亲自向政府或负责人发布消息，提出要求组织撤离疏散或者请求援助。在发布消息时，必须发布事态的缓急程度，提出撤离的具体方法、方式和路线。</w:t>
      </w:r>
    </w:p>
    <w:p>
      <w:pPr>
        <w:pStyle w:val="2"/>
        <w:ind w:firstLine="602"/>
        <w:rPr>
          <w:rFonts w:ascii="Times New Roman" w:hAnsi="Times New Roman"/>
          <w:color w:val="000000"/>
        </w:rPr>
      </w:pPr>
      <w:bookmarkStart w:id="893" w:name="_Toc1436"/>
      <w:bookmarkStart w:id="894" w:name="_Toc20321"/>
      <w:bookmarkStart w:id="895" w:name="_Toc2681"/>
      <w:bookmarkStart w:id="896" w:name="_Toc6622"/>
      <w:bookmarkStart w:id="897" w:name="_Toc13749"/>
      <w:bookmarkStart w:id="898" w:name="_Toc6601"/>
      <w:r>
        <w:rPr>
          <w:rFonts w:ascii="Times New Roman" w:hAnsi="Times New Roman"/>
          <w:color w:val="000000"/>
        </w:rPr>
        <w:t>8.5报警、通讯方式</w:t>
      </w:r>
      <w:bookmarkEnd w:id="893"/>
      <w:bookmarkEnd w:id="894"/>
      <w:bookmarkEnd w:id="895"/>
      <w:bookmarkEnd w:id="896"/>
      <w:bookmarkEnd w:id="897"/>
      <w:bookmarkEnd w:id="898"/>
    </w:p>
    <w:p>
      <w:pPr>
        <w:ind w:firstLine="480"/>
        <w:rPr>
          <w:color w:val="000000"/>
        </w:rPr>
      </w:pPr>
      <w:r>
        <w:rPr>
          <w:color w:val="000000"/>
        </w:rPr>
        <w:t>（1）24小时有效的报警装置</w:t>
      </w:r>
    </w:p>
    <w:p>
      <w:pPr>
        <w:ind w:firstLine="480"/>
        <w:rPr>
          <w:color w:val="000000"/>
        </w:rPr>
      </w:pPr>
      <w:r>
        <w:rPr>
          <w:color w:val="000000"/>
        </w:rPr>
        <w:t>青鹏公司突发环境事故报警方式采用内部电话和外部电话（包括手机等）线路进行报警。</w:t>
      </w:r>
    </w:p>
    <w:p>
      <w:pPr>
        <w:ind w:firstLine="480"/>
        <w:rPr>
          <w:color w:val="000000"/>
        </w:rPr>
      </w:pPr>
      <w:r>
        <w:rPr>
          <w:color w:val="000000"/>
        </w:rPr>
        <w:t>（2）24小时内有效的内部、外部通讯手段</w:t>
      </w:r>
    </w:p>
    <w:p>
      <w:pPr>
        <w:ind w:firstLine="480"/>
        <w:rPr>
          <w:color w:val="000000"/>
        </w:rPr>
      </w:pPr>
      <w:r>
        <w:rPr>
          <w:color w:val="000000"/>
        </w:rPr>
        <w:t>青鹏公司应急处置小组队员之间采用内部和外部电话（包括手机等）线路进行联系，应急处置小组的电话必须24小时开机，禁止随意更换电话号码。特殊情况下，电话号码发生变更，必须立即向应急办公室报告。应急办公室负责人及时向各成员和部门发布变更通知。</w:t>
      </w:r>
    </w:p>
    <w:p>
      <w:pPr>
        <w:ind w:firstLine="480"/>
        <w:rPr>
          <w:color w:val="000000"/>
        </w:rPr>
      </w:pPr>
      <w:r>
        <w:rPr>
          <w:color w:val="000000"/>
        </w:rPr>
        <w:t>（3）报警内容</w:t>
      </w:r>
    </w:p>
    <w:p>
      <w:pPr>
        <w:ind w:firstLine="480"/>
        <w:rPr>
          <w:color w:val="000000"/>
        </w:rPr>
      </w:pPr>
      <w:r>
        <w:rPr>
          <w:color w:val="000000"/>
        </w:rPr>
        <w:t>由应急指挥部根据事态情况通过公司通讯系统向公司内部发布事故消息，消息内容包括事故发生内容、事故发生性质、事故发生时间及事故发生地点等，并做出相应的紧急疏散和撤离等警报。当需要向社会和周边发布警报时，由警戒疏散组人员向政府以及周边单位、居民发送警报消息。事态严重紧急时，通过指挥部直接联系政府、上级公司以及周边单位负责人、居委会，由指挥长亲自向政府或负责人发布消息，提出要求组织撤离疏散或者请求援助，随时保持电话联系。</w:t>
      </w:r>
    </w:p>
    <w:p>
      <w:pPr>
        <w:pStyle w:val="2"/>
        <w:ind w:firstLine="602"/>
        <w:rPr>
          <w:rFonts w:ascii="Times New Roman" w:hAnsi="Times New Roman"/>
          <w:color w:val="000000"/>
        </w:rPr>
      </w:pPr>
      <w:bookmarkStart w:id="899" w:name="_Toc30824"/>
      <w:bookmarkStart w:id="900" w:name="_Toc24405"/>
      <w:bookmarkStart w:id="901" w:name="_Toc22244"/>
      <w:bookmarkStart w:id="902" w:name="_Toc95"/>
      <w:bookmarkStart w:id="903" w:name="_Toc10545"/>
      <w:bookmarkStart w:id="904" w:name="_Toc8438"/>
      <w:r>
        <w:rPr>
          <w:rFonts w:ascii="Times New Roman" w:hAnsi="Times New Roman"/>
          <w:color w:val="000000"/>
        </w:rPr>
        <w:t>8.6事故现场隔离区的划定</w:t>
      </w:r>
      <w:bookmarkEnd w:id="899"/>
      <w:bookmarkEnd w:id="900"/>
      <w:bookmarkEnd w:id="901"/>
      <w:bookmarkEnd w:id="902"/>
      <w:bookmarkEnd w:id="903"/>
      <w:bookmarkEnd w:id="904"/>
    </w:p>
    <w:p>
      <w:pPr>
        <w:ind w:firstLine="480"/>
        <w:rPr>
          <w:color w:val="000000"/>
        </w:rPr>
      </w:pPr>
      <w:r>
        <w:rPr>
          <w:color w:val="000000"/>
        </w:rPr>
        <w:t>为防止无关人员误入现场造成伤害，按危险区的设定，建立警戒区域，划定事故现场隔离区范围。</w:t>
      </w:r>
    </w:p>
    <w:p>
      <w:pPr>
        <w:ind w:firstLine="480"/>
        <w:rPr>
          <w:color w:val="000000"/>
        </w:rPr>
      </w:pPr>
      <w:r>
        <w:rPr>
          <w:color w:val="000000"/>
        </w:rPr>
        <w:t>（1）警戒区域的边界应设警示标志并有专人警戒。</w:t>
      </w:r>
    </w:p>
    <w:p>
      <w:pPr>
        <w:ind w:firstLine="480"/>
        <w:rPr>
          <w:color w:val="000000"/>
        </w:rPr>
      </w:pPr>
      <w:r>
        <w:rPr>
          <w:color w:val="000000"/>
        </w:rPr>
        <w:t>（2）除抢险救援组人员以及必须坚守岗位人员外，其他人员禁止进入警戒区。</w:t>
      </w:r>
    </w:p>
    <w:p>
      <w:pPr>
        <w:ind w:firstLine="480"/>
        <w:rPr>
          <w:color w:val="000000"/>
        </w:rPr>
      </w:pPr>
      <w:r>
        <w:rPr>
          <w:color w:val="000000"/>
        </w:rPr>
        <w:t>（3）注意事故区风向，尤其是下风向周围环境，对事故区外道路要实施临时戒严措施。</w:t>
      </w:r>
    </w:p>
    <w:p>
      <w:pPr>
        <w:ind w:firstLine="480"/>
        <w:rPr>
          <w:color w:val="000000"/>
        </w:rPr>
      </w:pPr>
      <w:r>
        <w:rPr>
          <w:color w:val="000000"/>
        </w:rPr>
        <w:t>（4）如有泄漏的危险物质可能影响到相邻单位、居民、敏感单位，应尽快联络通知，说明情况，要求采取避险措施。</w:t>
      </w:r>
    </w:p>
    <w:p>
      <w:pPr>
        <w:ind w:firstLine="480"/>
        <w:rPr>
          <w:color w:val="000000"/>
        </w:rPr>
      </w:pPr>
      <w:r>
        <w:rPr>
          <w:color w:val="000000"/>
        </w:rPr>
        <w:t>（5）如有泄漏的危险物质可能扩散有可能影响到更大区域，应尽快联络通知各政府职能单位，说明情况，请求协助处理。</w:t>
      </w:r>
    </w:p>
    <w:p>
      <w:pPr>
        <w:pStyle w:val="2"/>
        <w:ind w:firstLine="602"/>
        <w:rPr>
          <w:rFonts w:ascii="Times New Roman" w:hAnsi="Times New Roman"/>
          <w:color w:val="000000"/>
        </w:rPr>
      </w:pPr>
      <w:bookmarkStart w:id="905" w:name="_Toc2391"/>
      <w:bookmarkStart w:id="906" w:name="_Toc12045"/>
      <w:bookmarkStart w:id="907" w:name="_Toc24480"/>
      <w:bookmarkStart w:id="908" w:name="_Toc8122"/>
      <w:bookmarkStart w:id="909" w:name="_Toc17029"/>
      <w:bookmarkStart w:id="910" w:name="_Toc8982"/>
      <w:r>
        <w:rPr>
          <w:rFonts w:ascii="Times New Roman" w:hAnsi="Times New Roman"/>
          <w:color w:val="000000"/>
        </w:rPr>
        <w:t>8.7事故现场周围区域的道路隔离或交通疏导办法</w:t>
      </w:r>
      <w:bookmarkEnd w:id="905"/>
      <w:bookmarkEnd w:id="906"/>
      <w:bookmarkEnd w:id="907"/>
      <w:bookmarkEnd w:id="908"/>
      <w:bookmarkEnd w:id="909"/>
      <w:bookmarkEnd w:id="910"/>
    </w:p>
    <w:p>
      <w:pPr>
        <w:ind w:firstLine="480"/>
        <w:rPr>
          <w:color w:val="000000"/>
        </w:rPr>
      </w:pPr>
      <w:r>
        <w:rPr>
          <w:color w:val="000000"/>
        </w:rPr>
        <w:t>（1）事故中心区外的道路疏导由警戒疏散组组织人员负责，在警戒区的道路口上设置“事故处理，禁止通行”字样的标识。并指定专人负责指明道路绕行方向。</w:t>
      </w:r>
    </w:p>
    <w:p>
      <w:pPr>
        <w:ind w:firstLine="480"/>
        <w:rPr>
          <w:color w:val="000000"/>
        </w:rPr>
      </w:pPr>
      <w:r>
        <w:rPr>
          <w:color w:val="000000"/>
        </w:rPr>
        <w:t>（2）事故波及区外道路由政府交通管理部门负责。禁止任何车辆和人员进入，并负责指明道路绕行方向，情况紧急时，可暂时禁止部分道路的通行。</w:t>
      </w:r>
    </w:p>
    <w:p>
      <w:pPr>
        <w:pStyle w:val="2"/>
        <w:ind w:firstLine="602"/>
        <w:rPr>
          <w:rFonts w:ascii="Times New Roman" w:hAnsi="Times New Roman"/>
          <w:color w:val="000000"/>
        </w:rPr>
      </w:pPr>
      <w:bookmarkStart w:id="911" w:name="_Toc2083"/>
      <w:bookmarkStart w:id="912" w:name="_Toc20488"/>
      <w:bookmarkStart w:id="913" w:name="_Toc32604"/>
      <w:bookmarkStart w:id="914" w:name="_Toc9830"/>
      <w:bookmarkStart w:id="915" w:name="_Toc27153"/>
      <w:bookmarkStart w:id="916" w:name="_Toc100"/>
      <w:r>
        <w:rPr>
          <w:rFonts w:ascii="Times New Roman" w:hAnsi="Times New Roman"/>
          <w:color w:val="000000"/>
        </w:rPr>
        <w:t>8.8抢险、救援</w:t>
      </w:r>
      <w:bookmarkEnd w:id="911"/>
      <w:bookmarkEnd w:id="912"/>
      <w:bookmarkEnd w:id="913"/>
      <w:bookmarkEnd w:id="914"/>
      <w:bookmarkEnd w:id="915"/>
      <w:bookmarkEnd w:id="916"/>
    </w:p>
    <w:p>
      <w:pPr>
        <w:pStyle w:val="4"/>
        <w:ind w:firstLine="562"/>
        <w:rPr>
          <w:rFonts w:ascii="Times New Roman" w:hAnsi="Times New Roman"/>
          <w:kern w:val="2"/>
          <w:szCs w:val="24"/>
        </w:rPr>
      </w:pPr>
      <w:bookmarkStart w:id="917" w:name="_Toc15430"/>
      <w:bookmarkStart w:id="918" w:name="_Toc16821"/>
      <w:bookmarkStart w:id="919" w:name="_Toc16054"/>
      <w:bookmarkStart w:id="920" w:name="_Toc15200"/>
      <w:r>
        <w:rPr>
          <w:rFonts w:ascii="Times New Roman" w:hAnsi="Times New Roman"/>
          <w:kern w:val="2"/>
          <w:szCs w:val="24"/>
        </w:rPr>
        <w:t>8.8.1抢救原则</w:t>
      </w:r>
      <w:bookmarkEnd w:id="917"/>
      <w:bookmarkEnd w:id="918"/>
      <w:bookmarkEnd w:id="919"/>
      <w:bookmarkEnd w:id="920"/>
    </w:p>
    <w:p>
      <w:pPr>
        <w:ind w:firstLine="480"/>
        <w:rPr>
          <w:color w:val="000000"/>
        </w:rPr>
      </w:pPr>
      <w:bookmarkStart w:id="921" w:name="_Toc8475"/>
      <w:bookmarkStart w:id="922" w:name="_Toc25773"/>
      <w:r>
        <w:rPr>
          <w:color w:val="000000"/>
        </w:rPr>
        <w:t>（1）发生伤亡事故，抢救、急救工作要分秒必争，及时、果断、正确，不得耽误、拖延。</w:t>
      </w:r>
    </w:p>
    <w:p>
      <w:pPr>
        <w:ind w:firstLine="480"/>
        <w:rPr>
          <w:color w:val="000000"/>
        </w:rPr>
      </w:pPr>
      <w:r>
        <w:rPr>
          <w:color w:val="000000"/>
        </w:rPr>
        <w:t>（2）救护人员如需进入事故发生区域（未得到有效控制前）必须两人以上分组进行。</w:t>
      </w:r>
    </w:p>
    <w:p>
      <w:pPr>
        <w:ind w:firstLine="480"/>
        <w:rPr>
          <w:color w:val="000000"/>
        </w:rPr>
      </w:pPr>
      <w:r>
        <w:rPr>
          <w:color w:val="000000"/>
        </w:rPr>
        <w:t>（3）救护人员必须在确保自身安全的前提下进行救护。</w:t>
      </w:r>
    </w:p>
    <w:p>
      <w:pPr>
        <w:ind w:firstLine="480"/>
        <w:rPr>
          <w:color w:val="000000"/>
        </w:rPr>
      </w:pPr>
      <w:r>
        <w:rPr>
          <w:color w:val="000000"/>
        </w:rPr>
        <w:t>（4）救护人员必须听从指挥，了解现场情况，防护器具佩戴齐全。</w:t>
      </w:r>
    </w:p>
    <w:p>
      <w:pPr>
        <w:ind w:firstLine="480"/>
        <w:rPr>
          <w:color w:val="000000"/>
          <w:sz w:val="28"/>
          <w:szCs w:val="28"/>
        </w:rPr>
      </w:pPr>
      <w:r>
        <w:rPr>
          <w:color w:val="000000"/>
        </w:rPr>
        <w:t>（5）迅速将伤员抬离现场，搬运方法要正确。</w:t>
      </w:r>
    </w:p>
    <w:p>
      <w:pPr>
        <w:pStyle w:val="4"/>
        <w:ind w:firstLine="562"/>
        <w:rPr>
          <w:rFonts w:ascii="Times New Roman" w:hAnsi="Times New Roman"/>
        </w:rPr>
      </w:pPr>
      <w:bookmarkStart w:id="923" w:name="_Toc27089"/>
      <w:bookmarkStart w:id="924" w:name="_Toc27100"/>
      <w:r>
        <w:rPr>
          <w:rFonts w:ascii="Times New Roman" w:hAnsi="Times New Roman"/>
        </w:rPr>
        <w:t>8.8.2人员防护</w:t>
      </w:r>
      <w:bookmarkEnd w:id="921"/>
      <w:bookmarkEnd w:id="922"/>
      <w:bookmarkEnd w:id="923"/>
      <w:bookmarkEnd w:id="924"/>
    </w:p>
    <w:p>
      <w:pPr>
        <w:ind w:firstLine="480"/>
        <w:rPr>
          <w:color w:val="000000"/>
        </w:rPr>
      </w:pPr>
      <w:r>
        <w:rPr>
          <w:color w:val="000000"/>
        </w:rPr>
        <w:t>头部防护：视情况佩戴沾水口罩、安全帽、防毒面罩。</w:t>
      </w:r>
    </w:p>
    <w:p>
      <w:pPr>
        <w:ind w:firstLine="480"/>
        <w:rPr>
          <w:color w:val="000000"/>
        </w:rPr>
      </w:pPr>
      <w:r>
        <w:rPr>
          <w:color w:val="000000"/>
        </w:rPr>
        <w:t>身体防护：穿胶靴、戴耐酸手套。</w:t>
      </w:r>
    </w:p>
    <w:p>
      <w:pPr>
        <w:ind w:firstLine="480"/>
        <w:rPr>
          <w:color w:val="000000"/>
        </w:rPr>
      </w:pPr>
      <w:r>
        <w:rPr>
          <w:color w:val="000000"/>
        </w:rPr>
        <w:t>参加救护、救援人员必须按规定戴好个人防护器具，并注意风向。</w:t>
      </w:r>
    </w:p>
    <w:p>
      <w:pPr>
        <w:pStyle w:val="4"/>
        <w:ind w:firstLine="562"/>
        <w:rPr>
          <w:rFonts w:ascii="Times New Roman" w:hAnsi="Times New Roman"/>
        </w:rPr>
      </w:pPr>
      <w:bookmarkStart w:id="925" w:name="_Toc15126"/>
      <w:bookmarkStart w:id="926" w:name="_Toc20110"/>
      <w:bookmarkStart w:id="927" w:name="_Toc13894"/>
      <w:bookmarkStart w:id="928" w:name="_Toc21089"/>
      <w:r>
        <w:rPr>
          <w:rFonts w:ascii="Times New Roman" w:hAnsi="Times New Roman"/>
        </w:rPr>
        <w:t>8.8.3人员监护</w:t>
      </w:r>
      <w:bookmarkEnd w:id="925"/>
      <w:bookmarkEnd w:id="926"/>
      <w:bookmarkEnd w:id="927"/>
      <w:bookmarkEnd w:id="928"/>
    </w:p>
    <w:p>
      <w:pPr>
        <w:ind w:firstLine="480"/>
        <w:rPr>
          <w:color w:val="000000"/>
        </w:rPr>
      </w:pPr>
      <w:r>
        <w:rPr>
          <w:color w:val="000000"/>
        </w:rPr>
        <w:t>参加救护、救援的人员应以互助监护为主，按照必须在确保自身安全的前提下进行救护的原则处理。在救援中因为不可预见的因素而导致队员受伤的，其他救援人员发现时必须向应急指挥部报告，并做出是否申请支援的决定。若申请支援时，由应急指挥部下达预备救援队进入事故现场参加救援的命令，同时将受伤人员带离危险地区。</w:t>
      </w:r>
    </w:p>
    <w:p>
      <w:pPr>
        <w:ind w:firstLine="480"/>
        <w:rPr>
          <w:color w:val="000000"/>
        </w:rPr>
      </w:pPr>
      <w:r>
        <w:rPr>
          <w:color w:val="000000"/>
        </w:rPr>
        <w:t>当发生以下情况时，应急处置人员可以先撤离事故现场再报告：</w:t>
      </w:r>
    </w:p>
    <w:p>
      <w:pPr>
        <w:ind w:firstLine="480"/>
        <w:rPr>
          <w:color w:val="000000"/>
        </w:rPr>
      </w:pPr>
      <w:r>
        <w:rPr>
          <w:color w:val="000000"/>
        </w:rPr>
        <w:t>①事故已经失控；</w:t>
      </w:r>
    </w:p>
    <w:p>
      <w:pPr>
        <w:ind w:firstLine="480"/>
        <w:rPr>
          <w:color w:val="000000"/>
        </w:rPr>
      </w:pPr>
      <w:r>
        <w:rPr>
          <w:color w:val="000000"/>
        </w:rPr>
        <w:t>②抢险救援组人员个体防护装备损坏，危害到自身安全时；</w:t>
      </w:r>
    </w:p>
    <w:p>
      <w:pPr>
        <w:ind w:firstLine="480"/>
        <w:rPr>
          <w:color w:val="000000"/>
        </w:rPr>
      </w:pPr>
      <w:r>
        <w:rPr>
          <w:color w:val="000000"/>
        </w:rPr>
        <w:t>③发生突然性的剧烈的事故表征，危及到自身生命安全时。</w:t>
      </w:r>
    </w:p>
    <w:p>
      <w:pPr>
        <w:pStyle w:val="2"/>
        <w:ind w:firstLine="602"/>
        <w:rPr>
          <w:rFonts w:ascii="Times New Roman" w:hAnsi="Times New Roman"/>
          <w:color w:val="000000"/>
        </w:rPr>
      </w:pPr>
      <w:bookmarkStart w:id="929" w:name="_Toc26082"/>
      <w:bookmarkStart w:id="930" w:name="_Toc23847"/>
      <w:bookmarkStart w:id="931" w:name="_Toc19186"/>
      <w:bookmarkStart w:id="932" w:name="_Toc1086"/>
      <w:bookmarkStart w:id="933" w:name="_Toc1486"/>
      <w:bookmarkStart w:id="934" w:name="_Toc9836"/>
      <w:r>
        <w:rPr>
          <w:rFonts w:ascii="Times New Roman" w:hAnsi="Times New Roman"/>
          <w:color w:val="000000"/>
        </w:rPr>
        <w:t>8.9控制事故扩大的措施</w:t>
      </w:r>
      <w:bookmarkEnd w:id="929"/>
      <w:bookmarkEnd w:id="930"/>
      <w:bookmarkEnd w:id="931"/>
      <w:bookmarkEnd w:id="932"/>
      <w:bookmarkEnd w:id="933"/>
      <w:bookmarkEnd w:id="934"/>
    </w:p>
    <w:p>
      <w:pPr>
        <w:ind w:firstLine="480"/>
        <w:rPr>
          <w:color w:val="000000"/>
        </w:rPr>
      </w:pPr>
      <w:r>
        <w:rPr>
          <w:color w:val="000000"/>
        </w:rPr>
        <w:t>若发现有害物质泄漏，应立即报告应急指挥部。指挥部立即联络抢险救援组堵截、收集泄漏物，无关人员应迅速撤离至安全区域，并进行隔离、设置警示标志，严格限制出入。应急处置人员注意个体保护，若遇有毒有害物质泄漏，严禁身体任何部位直接接触泄漏物，视泄漏物的情况配戴防护装备。发生泄漏事故时，尽可能切断泄漏源，防止进入外环境。</w:t>
      </w:r>
    </w:p>
    <w:p>
      <w:pPr>
        <w:pStyle w:val="3"/>
        <w:rPr>
          <w:rFonts w:ascii="Times New Roman" w:hAnsi="Times New Roman" w:eastAsia="宋体"/>
          <w:color w:val="000000"/>
        </w:rPr>
      </w:pPr>
      <w:r>
        <w:rPr>
          <w:rFonts w:ascii="Times New Roman" w:hAnsi="Times New Roman" w:eastAsia="宋体"/>
          <w:color w:val="000000"/>
        </w:rPr>
        <w:br w:type="page"/>
      </w:r>
      <w:bookmarkStart w:id="935" w:name="_Toc28257"/>
      <w:bookmarkStart w:id="936" w:name="_Toc10279"/>
      <w:bookmarkStart w:id="937" w:name="_Toc20621"/>
      <w:r>
        <w:rPr>
          <w:rFonts w:ascii="Times New Roman" w:hAnsi="Times New Roman" w:eastAsia="宋体"/>
          <w:color w:val="000000"/>
        </w:rPr>
        <w:t>9 应急设备与物资</w:t>
      </w:r>
      <w:bookmarkEnd w:id="935"/>
      <w:bookmarkEnd w:id="936"/>
      <w:bookmarkEnd w:id="937"/>
    </w:p>
    <w:p>
      <w:pPr>
        <w:pStyle w:val="2"/>
        <w:ind w:firstLine="602"/>
        <w:rPr>
          <w:rFonts w:ascii="Times New Roman" w:hAnsi="Times New Roman"/>
          <w:color w:val="000000"/>
        </w:rPr>
      </w:pPr>
      <w:bookmarkStart w:id="938" w:name="_Toc319290485"/>
      <w:bookmarkStart w:id="939" w:name="_Toc504640671"/>
      <w:bookmarkStart w:id="940" w:name="_Toc18187"/>
      <w:bookmarkStart w:id="941" w:name="_Toc319291039"/>
      <w:bookmarkStart w:id="942" w:name="_Toc503358054"/>
      <w:bookmarkStart w:id="943" w:name="_Toc8410"/>
      <w:bookmarkStart w:id="944" w:name="_Toc2565"/>
      <w:bookmarkStart w:id="945" w:name="_Toc312326009"/>
      <w:bookmarkStart w:id="946" w:name="_Toc767"/>
      <w:bookmarkStart w:id="947" w:name="_Toc319290045"/>
      <w:bookmarkStart w:id="948" w:name="_Toc29744"/>
      <w:bookmarkStart w:id="949" w:name="_Toc22036"/>
      <w:bookmarkStart w:id="950" w:name="_Toc25539"/>
      <w:bookmarkStart w:id="951" w:name="_Toc529287650"/>
      <w:r>
        <w:rPr>
          <w:rFonts w:ascii="Times New Roman" w:hAnsi="Times New Roman"/>
          <w:color w:val="000000"/>
        </w:rPr>
        <w:t>9.1应急设备与物资的准备</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pPr>
        <w:ind w:firstLine="480"/>
        <w:rPr>
          <w:color w:val="000000"/>
        </w:rPr>
      </w:pPr>
      <w:r>
        <w:rPr>
          <w:color w:val="000000"/>
        </w:rPr>
        <w:t>青鹏公司内各风险单元均配有灭火器、个人防护物资、堵漏应急工具等应急物资。应急物资均处于有效期，过期应急物资及时更换，应急物资分布位置合理，能有效应用于各突发环境事件的应急处置。</w:t>
      </w:r>
    </w:p>
    <w:p>
      <w:pPr>
        <w:ind w:firstLine="480"/>
        <w:rPr>
          <w:color w:val="000000"/>
        </w:rPr>
      </w:pPr>
      <w:r>
        <w:rPr>
          <w:color w:val="000000"/>
        </w:rPr>
        <w:t>自成立以来至今，青鹏公司陆续购置、更新了应急处置设备设施，能有效针对前文所述各类突发环境事件。通过合理的分配调用，不但能保证应急处置人员的自身安全，也能有效的控制事故、消除事故。</w:t>
      </w:r>
    </w:p>
    <w:p>
      <w:pPr>
        <w:ind w:firstLine="480"/>
        <w:rPr>
          <w:color w:val="000000"/>
        </w:rPr>
      </w:pPr>
      <w:r>
        <w:rPr>
          <w:color w:val="000000"/>
        </w:rPr>
        <w:t>应急处置物资详细统计信息见附件1。</w:t>
      </w:r>
    </w:p>
    <w:p>
      <w:pPr>
        <w:pStyle w:val="2"/>
        <w:ind w:firstLine="602"/>
        <w:rPr>
          <w:rFonts w:ascii="Times New Roman" w:hAnsi="Times New Roman"/>
          <w:color w:val="000000"/>
        </w:rPr>
      </w:pPr>
      <w:bookmarkStart w:id="952" w:name="_Toc8626"/>
      <w:bookmarkStart w:id="953" w:name="_Toc529287651"/>
      <w:bookmarkStart w:id="954" w:name="_Toc11533"/>
      <w:bookmarkStart w:id="955" w:name="_Toc319290046"/>
      <w:bookmarkStart w:id="956" w:name="_Toc13001"/>
      <w:bookmarkStart w:id="957" w:name="_Toc15560"/>
      <w:bookmarkStart w:id="958" w:name="_Toc312326010"/>
      <w:bookmarkStart w:id="959" w:name="_Toc22598"/>
      <w:bookmarkStart w:id="960" w:name="_Toc10315"/>
      <w:bookmarkStart w:id="961" w:name="_Toc1813"/>
      <w:bookmarkStart w:id="962" w:name="_Toc319291040"/>
      <w:bookmarkStart w:id="963" w:name="_Toc504640672"/>
      <w:bookmarkStart w:id="964" w:name="_Toc503358055"/>
      <w:bookmarkStart w:id="965" w:name="_Toc319290486"/>
      <w:r>
        <w:rPr>
          <w:rFonts w:ascii="Times New Roman" w:hAnsi="Times New Roman"/>
          <w:color w:val="000000"/>
        </w:rPr>
        <w:t>9.2</w:t>
      </w:r>
      <w:bookmarkStart w:id="966" w:name="_Toc309117208"/>
      <w:bookmarkStart w:id="967" w:name="_Toc306310853"/>
      <w:r>
        <w:rPr>
          <w:rFonts w:ascii="Times New Roman" w:hAnsi="Times New Roman"/>
          <w:color w:val="000000"/>
        </w:rPr>
        <w:t>应急设备与物资的启用</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pPr>
        <w:ind w:firstLine="480"/>
        <w:rPr>
          <w:color w:val="000000"/>
        </w:rPr>
      </w:pPr>
      <w:r>
        <w:rPr>
          <w:color w:val="000000"/>
        </w:rPr>
        <w:t>一旦发生突发环境事件，各应急处置小组成员应根据前文“分级响应”的划分，判断是否立即就近取用防护用具类应急设备，做好自身防护后，取用操作类应急物资和设备，控制事故蔓延，或上报应急指挥部或立即撤离。</w:t>
      </w:r>
    </w:p>
    <w:bookmarkEnd w:id="863"/>
    <w:bookmarkEnd w:id="864"/>
    <w:bookmarkEnd w:id="865"/>
    <w:p>
      <w:pPr>
        <w:pStyle w:val="3"/>
        <w:rPr>
          <w:rFonts w:ascii="Times New Roman" w:hAnsi="Times New Roman" w:eastAsia="宋体"/>
          <w:color w:val="000000"/>
        </w:rPr>
      </w:pPr>
      <w:bookmarkStart w:id="968" w:name="_Toc16166_WPSOffice_Level2"/>
      <w:bookmarkStart w:id="969" w:name="_Toc425426248"/>
      <w:bookmarkStart w:id="970" w:name="_Toc1416"/>
      <w:bookmarkStart w:id="971" w:name="_Toc531529749"/>
      <w:bookmarkStart w:id="972" w:name="_Toc13345_WPSOffice_Level2"/>
      <w:r>
        <w:rPr>
          <w:rFonts w:ascii="Times New Roman" w:hAnsi="Times New Roman" w:eastAsia="宋体"/>
          <w:color w:val="000000"/>
        </w:rPr>
        <w:br w:type="page"/>
      </w:r>
      <w:bookmarkStart w:id="973" w:name="_Toc17254"/>
      <w:bookmarkStart w:id="974" w:name="_Toc26969"/>
      <w:bookmarkStart w:id="975" w:name="_Toc5625"/>
      <w:r>
        <w:rPr>
          <w:rFonts w:ascii="Times New Roman" w:hAnsi="Times New Roman" w:eastAsia="宋体"/>
          <w:color w:val="000000"/>
        </w:rPr>
        <w:t>10 应急监测</w:t>
      </w:r>
      <w:bookmarkEnd w:id="968"/>
      <w:bookmarkEnd w:id="969"/>
      <w:bookmarkEnd w:id="970"/>
      <w:bookmarkEnd w:id="971"/>
      <w:bookmarkEnd w:id="972"/>
      <w:bookmarkEnd w:id="973"/>
      <w:bookmarkEnd w:id="974"/>
      <w:bookmarkEnd w:id="975"/>
    </w:p>
    <w:p>
      <w:pPr>
        <w:pStyle w:val="4"/>
        <w:spacing w:before="0"/>
        <w:ind w:firstLine="562"/>
        <w:rPr>
          <w:rFonts w:ascii="Times New Roman" w:hAnsi="Times New Roman"/>
        </w:rPr>
      </w:pPr>
      <w:bookmarkStart w:id="976" w:name="_Toc12773"/>
      <w:bookmarkStart w:id="977" w:name="_Toc24711_WPSOffice_Level3"/>
      <w:bookmarkStart w:id="978" w:name="_Toc11611_WPSOffice_Level3"/>
      <w:bookmarkStart w:id="979" w:name="_Toc23080"/>
      <w:r>
        <w:rPr>
          <w:rFonts w:ascii="Times New Roman" w:hAnsi="Times New Roman"/>
        </w:rPr>
        <w:t>10.1应急监测方案</w:t>
      </w:r>
      <w:bookmarkEnd w:id="976"/>
      <w:bookmarkEnd w:id="977"/>
      <w:bookmarkEnd w:id="978"/>
      <w:bookmarkEnd w:id="979"/>
    </w:p>
    <w:bookmarkEnd w:id="830"/>
    <w:bookmarkEnd w:id="831"/>
    <w:p>
      <w:pPr>
        <w:ind w:firstLine="480"/>
        <w:rPr>
          <w:szCs w:val="24"/>
        </w:rPr>
      </w:pPr>
      <w:bookmarkStart w:id="980" w:name="_Toc30871"/>
      <w:bookmarkStart w:id="981" w:name="_Toc304964449"/>
      <w:bookmarkStart w:id="982" w:name="_Toc304833239"/>
      <w:bookmarkStart w:id="983" w:name="_Toc310581008"/>
      <w:bookmarkStart w:id="984" w:name="_Toc310581387"/>
      <w:bookmarkStart w:id="985" w:name="_Toc339636870"/>
      <w:bookmarkStart w:id="986" w:name="_Toc272328345"/>
      <w:bookmarkStart w:id="987" w:name="_Toc25991_WPSOffice_Level2"/>
      <w:bookmarkStart w:id="988" w:name="_Toc310581495"/>
      <w:bookmarkStart w:id="989" w:name="_Toc304962962"/>
      <w:bookmarkStart w:id="990" w:name="_Toc5048_WPSOffice_Level2"/>
      <w:bookmarkStart w:id="991" w:name="_Toc304963606"/>
      <w:bookmarkStart w:id="992" w:name="_Toc531529750"/>
      <w:r>
        <w:rPr>
          <w:szCs w:val="24"/>
        </w:rPr>
        <w:t>重庆永荣青鹏煤业有限公司未配备环境监测设备，应迅速请求</w:t>
      </w:r>
      <w:r>
        <w:rPr>
          <w:rFonts w:hint="eastAsia"/>
          <w:szCs w:val="24"/>
        </w:rPr>
        <w:t>沙坪坝</w:t>
      </w:r>
      <w:r>
        <w:rPr>
          <w:szCs w:val="24"/>
        </w:rPr>
        <w:t>环境监测中心支援。</w:t>
      </w:r>
    </w:p>
    <w:p>
      <w:pPr>
        <w:ind w:firstLine="480"/>
        <w:rPr>
          <w:szCs w:val="24"/>
        </w:rPr>
      </w:pPr>
      <w:r>
        <w:rPr>
          <w:szCs w:val="24"/>
        </w:rPr>
        <w:t>根据监测结果综合分析突发性环境污染事故污染变化趋势，并通过现场应急指挥部</w:t>
      </w:r>
      <w:r>
        <w:rPr>
          <w:rFonts w:hint="eastAsia"/>
          <w:szCs w:val="24"/>
        </w:rPr>
        <w:t>指挥</w:t>
      </w:r>
      <w:r>
        <w:rPr>
          <w:szCs w:val="24"/>
        </w:rPr>
        <w:t>的方式，预测并报告突发性环境污染事故的发展情况和污染物的变化情况，作为突发性环境污染事故应急决策的依据，采取一切降低污染物浓度的措施直至达到国家标准。及时向沙坪坝区环境保护部门汇报，应急指挥部据此开展相关应急措施。</w:t>
      </w:r>
    </w:p>
    <w:p>
      <w:pPr>
        <w:adjustRightInd w:val="0"/>
        <w:snapToGrid w:val="0"/>
        <w:ind w:firstLine="480"/>
        <w:rPr>
          <w:color w:val="000000"/>
          <w:highlight w:val="yellow"/>
        </w:rPr>
      </w:pPr>
      <w:bookmarkStart w:id="993" w:name="_Toc166_WPSOffice_Level3"/>
      <w:r>
        <w:rPr>
          <w:color w:val="000000"/>
        </w:rPr>
        <w:t>监测内容分观察监测及采样监测，主要内容为：观察污染物物质种类、排放量、扩散方向，而后判定事故需要采样监测的因子。在此仅提出原则要求以供参考，监测方案见表10-1，具体监测方案有监测单位自定。</w:t>
      </w:r>
    </w:p>
    <w:p>
      <w:pPr>
        <w:adjustRightInd w:val="0"/>
        <w:snapToGrid w:val="0"/>
        <w:spacing w:line="312" w:lineRule="auto"/>
        <w:ind w:firstLine="422"/>
        <w:jc w:val="center"/>
      </w:pPr>
      <w:r>
        <w:rPr>
          <w:b/>
          <w:sz w:val="21"/>
        </w:rPr>
        <w:t>表10-1 应急监测方案</w:t>
      </w:r>
      <w:bookmarkEnd w:id="993"/>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17"/>
        <w:gridCol w:w="1496"/>
        <w:gridCol w:w="2835"/>
        <w:gridCol w:w="1134"/>
        <w:gridCol w:w="22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487" w:hRule="atLeast"/>
          <w:tblHeader/>
        </w:trPr>
        <w:tc>
          <w:tcPr>
            <w:tcW w:w="517"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类别</w:t>
            </w:r>
          </w:p>
        </w:tc>
        <w:tc>
          <w:tcPr>
            <w:tcW w:w="1496"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风险单元</w:t>
            </w:r>
          </w:p>
        </w:tc>
        <w:tc>
          <w:tcPr>
            <w:tcW w:w="2835"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监测点</w:t>
            </w:r>
          </w:p>
        </w:tc>
        <w:tc>
          <w:tcPr>
            <w:tcW w:w="1134"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监测项目</w:t>
            </w:r>
          </w:p>
        </w:tc>
        <w:tc>
          <w:tcPr>
            <w:tcW w:w="2268"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监测频率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1304" w:hRule="atLeast"/>
        </w:trPr>
        <w:tc>
          <w:tcPr>
            <w:tcW w:w="517"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环境空气</w:t>
            </w:r>
          </w:p>
        </w:tc>
        <w:tc>
          <w:tcPr>
            <w:tcW w:w="1496" w:type="dxa"/>
            <w:shd w:val="clear" w:color="auto" w:fill="FFFFFF"/>
            <w:noWrap w:val="0"/>
            <w:vAlign w:val="center"/>
          </w:tcPr>
          <w:p>
            <w:pPr>
              <w:pStyle w:val="49"/>
              <w:spacing w:line="312" w:lineRule="auto"/>
              <w:rPr>
                <w:bCs w:val="0"/>
                <w:snapToGrid/>
                <w:color w:val="000000"/>
                <w:kern w:val="2"/>
                <w:sz w:val="21"/>
                <w:szCs w:val="21"/>
              </w:rPr>
            </w:pPr>
            <w:r>
              <w:rPr>
                <w:snapToGrid/>
                <w:color w:val="000000"/>
                <w:kern w:val="2"/>
                <w:sz w:val="21"/>
                <w:szCs w:val="21"/>
              </w:rPr>
              <w:t>氨气储罐</w:t>
            </w:r>
          </w:p>
        </w:tc>
        <w:tc>
          <w:tcPr>
            <w:tcW w:w="2835" w:type="dxa"/>
            <w:shd w:val="clear" w:color="auto" w:fill="FFFFFF"/>
            <w:noWrap w:val="0"/>
            <w:vAlign w:val="center"/>
          </w:tcPr>
          <w:p>
            <w:pPr>
              <w:pStyle w:val="49"/>
              <w:spacing w:line="312" w:lineRule="auto"/>
              <w:jc w:val="both"/>
              <w:rPr>
                <w:bCs w:val="0"/>
                <w:snapToGrid/>
                <w:color w:val="000000"/>
                <w:kern w:val="2"/>
                <w:sz w:val="21"/>
                <w:szCs w:val="21"/>
              </w:rPr>
            </w:pPr>
            <w:r>
              <w:rPr>
                <w:bCs w:val="0"/>
                <w:snapToGrid/>
                <w:color w:val="000000"/>
                <w:kern w:val="2"/>
                <w:sz w:val="21"/>
                <w:szCs w:val="21"/>
              </w:rPr>
              <w:t>1#号点位于水泥加工区上风向，2#点位于水泥加工区下风向</w:t>
            </w:r>
          </w:p>
        </w:tc>
        <w:tc>
          <w:tcPr>
            <w:tcW w:w="1134" w:type="dxa"/>
            <w:shd w:val="clear" w:color="auto" w:fill="FFFFFF"/>
            <w:noWrap w:val="0"/>
            <w:vAlign w:val="center"/>
          </w:tcPr>
          <w:p>
            <w:pPr>
              <w:pStyle w:val="49"/>
              <w:spacing w:line="312" w:lineRule="auto"/>
              <w:rPr>
                <w:rFonts w:hint="eastAsia"/>
                <w:bCs w:val="0"/>
                <w:snapToGrid/>
                <w:color w:val="000000"/>
                <w:kern w:val="2"/>
                <w:sz w:val="21"/>
                <w:szCs w:val="21"/>
              </w:rPr>
            </w:pPr>
            <w:r>
              <w:rPr>
                <w:bCs w:val="0"/>
                <w:snapToGrid/>
                <w:color w:val="000000"/>
                <w:kern w:val="2"/>
                <w:sz w:val="21"/>
                <w:szCs w:val="21"/>
              </w:rPr>
              <w:t>氨气、</w:t>
            </w:r>
            <w:r>
              <w:rPr>
                <w:rFonts w:hint="eastAsia"/>
                <w:bCs w:val="0"/>
                <w:snapToGrid/>
                <w:color w:val="000000"/>
                <w:kern w:val="2"/>
                <w:sz w:val="21"/>
                <w:szCs w:val="21"/>
              </w:rPr>
              <w:t>CO</w:t>
            </w:r>
            <w:r>
              <w:rPr>
                <w:bCs w:val="0"/>
                <w:snapToGrid/>
                <w:color w:val="000000"/>
                <w:kern w:val="2"/>
                <w:sz w:val="21"/>
                <w:szCs w:val="21"/>
              </w:rPr>
              <w:t>、</w:t>
            </w:r>
            <w:r>
              <w:rPr>
                <w:rFonts w:hint="eastAsia"/>
                <w:bCs w:val="0"/>
                <w:snapToGrid/>
                <w:color w:val="000000"/>
                <w:kern w:val="2"/>
                <w:sz w:val="21"/>
                <w:szCs w:val="21"/>
              </w:rPr>
              <w:t>非甲烷总烃</w:t>
            </w:r>
          </w:p>
        </w:tc>
        <w:tc>
          <w:tcPr>
            <w:tcW w:w="2268"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事故初期，采样1次/30min，随后根据空气中物资浓度降低监测频率，按1h、2h等采样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1304" w:hRule="atLeast"/>
        </w:trPr>
        <w:tc>
          <w:tcPr>
            <w:tcW w:w="517"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地表水</w:t>
            </w:r>
          </w:p>
        </w:tc>
        <w:tc>
          <w:tcPr>
            <w:tcW w:w="1496"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氨气储罐、柴油储罐、润滑油库房、危险废物间</w:t>
            </w:r>
          </w:p>
        </w:tc>
        <w:tc>
          <w:tcPr>
            <w:tcW w:w="2835" w:type="dxa"/>
            <w:shd w:val="clear" w:color="auto" w:fill="FFFFFF"/>
            <w:noWrap w:val="0"/>
            <w:vAlign w:val="center"/>
          </w:tcPr>
          <w:p>
            <w:pPr>
              <w:pStyle w:val="49"/>
              <w:spacing w:line="312" w:lineRule="auto"/>
              <w:rPr>
                <w:bCs w:val="0"/>
                <w:snapToGrid/>
                <w:color w:val="000000"/>
                <w:kern w:val="2"/>
                <w:sz w:val="21"/>
                <w:szCs w:val="21"/>
              </w:rPr>
            </w:pPr>
            <w:r>
              <w:rPr>
                <w:snapToGrid/>
                <w:color w:val="000000"/>
                <w:kern w:val="2"/>
                <w:sz w:val="21"/>
                <w:szCs w:val="21"/>
              </w:rPr>
              <w:t>雨水排口、受纳水体</w:t>
            </w:r>
          </w:p>
        </w:tc>
        <w:tc>
          <w:tcPr>
            <w:tcW w:w="1134" w:type="dxa"/>
            <w:shd w:val="clear" w:color="auto" w:fill="FFFFFF"/>
            <w:noWrap w:val="0"/>
            <w:vAlign w:val="center"/>
          </w:tcPr>
          <w:p>
            <w:pPr>
              <w:pStyle w:val="49"/>
              <w:spacing w:line="312" w:lineRule="auto"/>
              <w:rPr>
                <w:rFonts w:hint="eastAsia"/>
                <w:bCs w:val="0"/>
                <w:snapToGrid/>
                <w:color w:val="000000"/>
                <w:kern w:val="2"/>
                <w:sz w:val="21"/>
                <w:szCs w:val="21"/>
              </w:rPr>
            </w:pPr>
            <w:r>
              <w:rPr>
                <w:bCs w:val="0"/>
                <w:snapToGrid/>
                <w:color w:val="000000"/>
                <w:kern w:val="2"/>
                <w:sz w:val="21"/>
                <w:szCs w:val="21"/>
              </w:rPr>
              <w:t>氨氮、PH、</w:t>
            </w:r>
            <w:r>
              <w:rPr>
                <w:rFonts w:hint="eastAsia"/>
                <w:bCs w:val="0"/>
                <w:snapToGrid/>
                <w:color w:val="000000"/>
                <w:kern w:val="2"/>
                <w:sz w:val="21"/>
                <w:szCs w:val="21"/>
              </w:rPr>
              <w:t>石油类</w:t>
            </w:r>
          </w:p>
        </w:tc>
        <w:tc>
          <w:tcPr>
            <w:tcW w:w="2268" w:type="dxa"/>
            <w:shd w:val="clear" w:color="auto" w:fill="FFFFFF"/>
            <w:noWrap w:val="0"/>
            <w:vAlign w:val="center"/>
          </w:tcPr>
          <w:p>
            <w:pPr>
              <w:pStyle w:val="49"/>
              <w:spacing w:line="312" w:lineRule="auto"/>
              <w:rPr>
                <w:bCs w:val="0"/>
                <w:snapToGrid/>
                <w:color w:val="000000"/>
                <w:kern w:val="2"/>
                <w:sz w:val="21"/>
                <w:szCs w:val="21"/>
              </w:rPr>
            </w:pPr>
            <w:r>
              <w:rPr>
                <w:bCs w:val="0"/>
                <w:snapToGrid/>
                <w:color w:val="000000"/>
                <w:kern w:val="2"/>
                <w:sz w:val="21"/>
                <w:szCs w:val="21"/>
              </w:rPr>
              <w:t>采样1次/30min，1h向指挥部报数据1次</w:t>
            </w:r>
          </w:p>
        </w:tc>
      </w:tr>
    </w:tbl>
    <w:p>
      <w:pPr>
        <w:spacing w:before="50"/>
        <w:ind w:firstLine="413" w:firstLineChars="197"/>
        <w:rPr>
          <w:color w:val="000000"/>
        </w:rPr>
      </w:pPr>
      <w:r>
        <w:rPr>
          <w:color w:val="000000"/>
        </w:rPr>
        <w:t>事态较严重时，执行沙坪坝区突发环境事件应急预案，由企业外协监测单位或者沙坪坝区生态监测站等外部力量开展应急监测，随时掌握事态进展情况。</w:t>
      </w:r>
    </w:p>
    <w:p>
      <w:pPr>
        <w:pStyle w:val="2"/>
        <w:ind w:firstLine="602"/>
        <w:rPr>
          <w:rFonts w:ascii="Times New Roman" w:hAnsi="Times New Roman"/>
        </w:rPr>
      </w:pPr>
      <w:bookmarkStart w:id="994" w:name="_Toc2470"/>
      <w:bookmarkStart w:id="995" w:name="_Toc24781"/>
      <w:bookmarkStart w:id="996" w:name="_Toc12096"/>
      <w:bookmarkStart w:id="997" w:name="_Toc23096"/>
      <w:bookmarkStart w:id="998" w:name="_Toc4095"/>
      <w:bookmarkStart w:id="999" w:name="_Toc29134"/>
      <w:r>
        <w:rPr>
          <w:rFonts w:ascii="Times New Roman" w:hAnsi="Times New Roman"/>
        </w:rPr>
        <w:t>10.2</w:t>
      </w:r>
      <w:bookmarkStart w:id="1000" w:name="_Toc518048950"/>
      <w:r>
        <w:rPr>
          <w:rFonts w:ascii="Times New Roman" w:hAnsi="Times New Roman"/>
        </w:rPr>
        <w:t>监测人员防护措施</w:t>
      </w:r>
      <w:bookmarkEnd w:id="994"/>
      <w:bookmarkEnd w:id="995"/>
      <w:bookmarkEnd w:id="996"/>
      <w:bookmarkEnd w:id="997"/>
      <w:bookmarkEnd w:id="998"/>
      <w:bookmarkEnd w:id="999"/>
      <w:bookmarkEnd w:id="1000"/>
    </w:p>
    <w:p>
      <w:pPr>
        <w:spacing w:before="50"/>
        <w:ind w:firstLine="413" w:firstLineChars="197"/>
        <w:rPr>
          <w:color w:val="000000"/>
        </w:rPr>
      </w:pPr>
      <w:r>
        <w:rPr>
          <w:color w:val="000000"/>
        </w:rPr>
        <w:t>监测人员必须至少两人一组，其中一人设为监护人。监测人员必须根据危险化学品的性质配备相应的防护用品，如戴正压自给式空气呼吸器，穿防毒、防静电服、戴耐酸碱橡胶手套等。</w:t>
      </w:r>
    </w:p>
    <w:p>
      <w:pPr>
        <w:spacing w:before="50"/>
        <w:ind w:firstLine="413" w:firstLineChars="197"/>
        <w:rPr>
          <w:color w:val="000000"/>
        </w:rPr>
      </w:pPr>
      <w:r>
        <w:rPr>
          <w:color w:val="000000"/>
        </w:rPr>
        <w:t>监测人员防护设备由综合协调组根据现场情况提供或者外协监测单位自备。</w:t>
      </w:r>
    </w:p>
    <w:p>
      <w:pPr>
        <w:pStyle w:val="2"/>
        <w:ind w:firstLine="602"/>
        <w:rPr>
          <w:rFonts w:ascii="Times New Roman" w:hAnsi="Times New Roman"/>
        </w:rPr>
      </w:pPr>
      <w:bookmarkStart w:id="1001" w:name="_Toc20703"/>
      <w:bookmarkStart w:id="1002" w:name="_Toc7642"/>
      <w:bookmarkStart w:id="1003" w:name="_Toc19147"/>
      <w:bookmarkStart w:id="1004" w:name="_Toc12261"/>
      <w:bookmarkStart w:id="1005" w:name="_Toc18100_WPSOffice_Level3"/>
      <w:bookmarkStart w:id="1006" w:name="_Toc28601"/>
      <w:bookmarkStart w:id="1007" w:name="_Toc26336"/>
      <w:bookmarkStart w:id="1008" w:name="_Toc2356_WPSOffice_Level3"/>
      <w:bookmarkStart w:id="1009" w:name="_Toc11137_WPSOffice_Level3"/>
      <w:bookmarkStart w:id="1010" w:name="_Toc17424"/>
      <w:bookmarkStart w:id="1011" w:name="_Toc22409_WPSOffice_Level3"/>
      <w:r>
        <w:rPr>
          <w:rFonts w:ascii="Times New Roman" w:hAnsi="Times New Roman"/>
        </w:rPr>
        <w:t>10.3监测信息报告</w:t>
      </w:r>
      <w:bookmarkEnd w:id="1001"/>
      <w:bookmarkEnd w:id="1002"/>
      <w:bookmarkEnd w:id="1003"/>
      <w:bookmarkEnd w:id="1004"/>
      <w:bookmarkEnd w:id="1005"/>
      <w:bookmarkEnd w:id="1006"/>
      <w:bookmarkEnd w:id="1007"/>
      <w:bookmarkEnd w:id="1008"/>
      <w:bookmarkEnd w:id="1009"/>
      <w:bookmarkEnd w:id="1010"/>
      <w:bookmarkEnd w:id="1011"/>
    </w:p>
    <w:p>
      <w:pPr>
        <w:ind w:firstLine="480"/>
        <w:jc w:val="left"/>
      </w:pPr>
      <w:r>
        <w:t>发生突发环境事故时，监测信息及数据应立即向应急指挥部报告；</w:t>
      </w:r>
    </w:p>
    <w:p>
      <w:pPr>
        <w:ind w:firstLine="480"/>
        <w:jc w:val="left"/>
      </w:pPr>
      <w:r>
        <w:t>如果突发环境事件影响厂区外区域，监测结果还应如实报告至沙坪坝区生态环境保护局。</w:t>
      </w:r>
    </w:p>
    <w:p>
      <w:pPr>
        <w:pStyle w:val="3"/>
        <w:ind w:firstLine="643" w:firstLineChars="200"/>
        <w:jc w:val="both"/>
        <w:rPr>
          <w:rStyle w:val="45"/>
          <w:rFonts w:ascii="Times New Roman" w:hAnsi="Times New Roman" w:eastAsia="宋体"/>
          <w:b w:val="0"/>
          <w:bCs w:val="0"/>
          <w:color w:val="000000"/>
        </w:rPr>
      </w:pPr>
      <w:r>
        <w:rPr>
          <w:rFonts w:ascii="Times New Roman" w:hAnsi="Times New Roman" w:eastAsia="宋体"/>
          <w:color w:val="000000"/>
        </w:rPr>
        <w:br w:type="page"/>
      </w:r>
      <w:r>
        <w:rPr>
          <w:rFonts w:ascii="Times New Roman" w:hAnsi="Times New Roman" w:eastAsia="宋体"/>
          <w:color w:val="000000"/>
        </w:rPr>
        <w:t xml:space="preserve">                  </w:t>
      </w:r>
      <w:bookmarkStart w:id="1012" w:name="_Toc589"/>
      <w:bookmarkStart w:id="1013" w:name="_Toc29633"/>
      <w:bookmarkStart w:id="1014" w:name="_Toc12179"/>
      <w:r>
        <w:rPr>
          <w:rFonts w:ascii="Times New Roman" w:hAnsi="Times New Roman" w:eastAsia="宋体"/>
          <w:color w:val="000000"/>
        </w:rPr>
        <w:t>11 应急终止</w:t>
      </w:r>
      <w:bookmarkEnd w:id="980"/>
      <w:bookmarkEnd w:id="1012"/>
      <w:bookmarkEnd w:id="1013"/>
      <w:bookmarkEnd w:id="1014"/>
    </w:p>
    <w:p>
      <w:pPr>
        <w:pStyle w:val="4"/>
        <w:spacing w:before="0"/>
        <w:ind w:firstLine="562"/>
        <w:rPr>
          <w:rFonts w:ascii="Times New Roman" w:hAnsi="Times New Roman"/>
        </w:rPr>
      </w:pPr>
      <w:bookmarkStart w:id="1015" w:name="_Toc1158"/>
      <w:bookmarkStart w:id="1016" w:name="_Toc27752"/>
      <w:bookmarkStart w:id="1017" w:name="_Toc32671"/>
      <w:bookmarkStart w:id="1018" w:name="_Toc29704"/>
      <w:bookmarkStart w:id="1019" w:name="_Toc10362"/>
      <w:r>
        <w:rPr>
          <w:rFonts w:ascii="Times New Roman" w:hAnsi="Times New Roman"/>
        </w:rPr>
        <w:t>11.1应急终止的条件</w:t>
      </w:r>
      <w:bookmarkEnd w:id="1015"/>
      <w:bookmarkEnd w:id="1016"/>
      <w:bookmarkEnd w:id="1017"/>
      <w:bookmarkEnd w:id="1018"/>
      <w:bookmarkEnd w:id="1019"/>
    </w:p>
    <w:p>
      <w:pPr>
        <w:ind w:firstLine="480"/>
        <w:rPr>
          <w:color w:val="000000"/>
        </w:rPr>
      </w:pPr>
      <w:r>
        <w:rPr>
          <w:color w:val="000000"/>
        </w:rPr>
        <w:t>符合下列条件之一的，即满足应急终止条件：</w:t>
      </w:r>
    </w:p>
    <w:p>
      <w:pPr>
        <w:ind w:firstLine="480"/>
        <w:rPr>
          <w:color w:val="000000"/>
        </w:rPr>
      </w:pPr>
      <w:bookmarkStart w:id="1020" w:name="_Toc5291"/>
      <w:bookmarkStart w:id="1021" w:name="_Toc7440"/>
      <w:bookmarkStart w:id="1022" w:name="_Toc230965116"/>
      <w:r>
        <w:rPr>
          <w:color w:val="000000"/>
        </w:rPr>
        <w:t>（1）事件现场得到控制，事件条件已经消除；</w:t>
      </w:r>
    </w:p>
    <w:p>
      <w:pPr>
        <w:ind w:firstLine="480"/>
        <w:rPr>
          <w:color w:val="000000"/>
        </w:rPr>
      </w:pPr>
      <w:r>
        <w:rPr>
          <w:color w:val="000000"/>
        </w:rPr>
        <w:t>（2）污染源的泄漏或释放已降至规定限值以内；</w:t>
      </w:r>
    </w:p>
    <w:p>
      <w:pPr>
        <w:ind w:firstLine="480"/>
        <w:rPr>
          <w:color w:val="000000"/>
        </w:rPr>
      </w:pPr>
      <w:r>
        <w:rPr>
          <w:color w:val="000000"/>
        </w:rPr>
        <w:t>（3）事件所造成的危害已经被彻底消除，无继发可能；</w:t>
      </w:r>
    </w:p>
    <w:p>
      <w:pPr>
        <w:ind w:firstLine="480"/>
        <w:rPr>
          <w:color w:val="000000"/>
        </w:rPr>
      </w:pPr>
      <w:r>
        <w:rPr>
          <w:color w:val="000000"/>
        </w:rPr>
        <w:t>（4）采取了必要的防护措施以保护公众免受再次危害，并使事件可能引起的中长期影响趋于合理且尽量低的水平。</w:t>
      </w:r>
    </w:p>
    <w:p>
      <w:pPr>
        <w:pStyle w:val="4"/>
        <w:spacing w:before="0"/>
        <w:ind w:firstLine="562"/>
        <w:rPr>
          <w:rFonts w:ascii="Times New Roman" w:hAnsi="Times New Roman"/>
        </w:rPr>
      </w:pPr>
      <w:bookmarkStart w:id="1023" w:name="_Toc31295"/>
      <w:bookmarkStart w:id="1024" w:name="_Toc17819"/>
      <w:bookmarkStart w:id="1025" w:name="_Toc10335"/>
      <w:r>
        <w:rPr>
          <w:rFonts w:ascii="Times New Roman" w:hAnsi="Times New Roman"/>
        </w:rPr>
        <w:t>11.2应急终止的程序</w:t>
      </w:r>
      <w:bookmarkEnd w:id="1020"/>
      <w:bookmarkEnd w:id="1021"/>
      <w:bookmarkEnd w:id="1022"/>
      <w:bookmarkEnd w:id="1023"/>
      <w:bookmarkEnd w:id="1024"/>
      <w:bookmarkEnd w:id="1025"/>
    </w:p>
    <w:p>
      <w:pPr>
        <w:ind w:firstLine="480"/>
        <w:rPr>
          <w:color w:val="000000"/>
        </w:rPr>
      </w:pPr>
      <w:r>
        <w:rPr>
          <w:color w:val="000000"/>
        </w:rPr>
        <w:t>（1）应急指挥部指挥长确认终止时机，或事件责任部门、个人提出，经应急指挥部批准；</w:t>
      </w:r>
    </w:p>
    <w:p>
      <w:pPr>
        <w:ind w:firstLine="480"/>
        <w:rPr>
          <w:color w:val="000000"/>
        </w:rPr>
      </w:pPr>
      <w:r>
        <w:rPr>
          <w:color w:val="000000"/>
        </w:rPr>
        <w:t>（2）应急指挥部向所属各专业应急处置队伍下达应急终止命令；</w:t>
      </w:r>
    </w:p>
    <w:p>
      <w:pPr>
        <w:ind w:firstLine="480"/>
        <w:rPr>
          <w:color w:val="000000"/>
        </w:rPr>
      </w:pPr>
      <w:r>
        <w:rPr>
          <w:color w:val="000000"/>
        </w:rPr>
        <w:t>（3）应急状态终止后，应急指挥部应根据相关政策、法规和主管部门有关指示和实际情况，委托监测站继续进行环境监测和评价工作，直至其他补救措施无需继续进行为止。</w:t>
      </w:r>
      <w:bookmarkStart w:id="1026" w:name="_Toc230965117"/>
    </w:p>
    <w:p>
      <w:pPr>
        <w:pStyle w:val="4"/>
        <w:spacing w:before="0"/>
        <w:ind w:firstLine="562"/>
        <w:rPr>
          <w:rFonts w:ascii="Times New Roman" w:hAnsi="Times New Roman"/>
        </w:rPr>
      </w:pPr>
      <w:bookmarkStart w:id="1027" w:name="_Toc12689"/>
      <w:bookmarkStart w:id="1028" w:name="_Toc29123"/>
      <w:bookmarkStart w:id="1029" w:name="_Toc3325"/>
      <w:bookmarkStart w:id="1030" w:name="_Toc7957"/>
      <w:bookmarkStart w:id="1031" w:name="_Toc2465"/>
      <w:r>
        <w:rPr>
          <w:rFonts w:ascii="Times New Roman" w:hAnsi="Times New Roman"/>
        </w:rPr>
        <w:t>11.3应急终止后的行动</w:t>
      </w:r>
      <w:bookmarkEnd w:id="1026"/>
      <w:bookmarkEnd w:id="1027"/>
      <w:bookmarkEnd w:id="1028"/>
      <w:bookmarkEnd w:id="1029"/>
      <w:bookmarkEnd w:id="1030"/>
      <w:bookmarkEnd w:id="1031"/>
    </w:p>
    <w:p>
      <w:pPr>
        <w:ind w:firstLine="480"/>
        <w:rPr>
          <w:color w:val="000000"/>
        </w:rPr>
      </w:pPr>
      <w:r>
        <w:rPr>
          <w:color w:val="000000"/>
        </w:rPr>
        <w:t>（1）应急指挥部指导有关部门及突发环境事件单位查找事件原因，防止类似问题的重复出现；</w:t>
      </w:r>
    </w:p>
    <w:p>
      <w:pPr>
        <w:ind w:firstLine="480"/>
        <w:rPr>
          <w:color w:val="000000"/>
        </w:rPr>
      </w:pPr>
      <w:r>
        <w:rPr>
          <w:color w:val="000000"/>
        </w:rPr>
        <w:t>（2）应急指挥部组织人员负责编制环境事件总结报告，于应急终止后上报；</w:t>
      </w:r>
    </w:p>
    <w:p>
      <w:pPr>
        <w:ind w:firstLine="480"/>
        <w:rPr>
          <w:color w:val="000000"/>
        </w:rPr>
      </w:pPr>
      <w:r>
        <w:rPr>
          <w:color w:val="000000"/>
        </w:rPr>
        <w:t>（3）应急指挥部临时成立事故调查小组，尽快调查事故原因；</w:t>
      </w:r>
    </w:p>
    <w:p>
      <w:pPr>
        <w:ind w:firstLine="480"/>
        <w:rPr>
          <w:color w:val="000000"/>
        </w:rPr>
      </w:pPr>
      <w:r>
        <w:rPr>
          <w:color w:val="000000"/>
        </w:rPr>
        <w:t>（4）事故发生区域，做好事故现场保护和原始资料收集工作，向事故调查小组移交相关资料；得到事故调查组同意后，才可开始现场的恢复重建工作；</w:t>
      </w:r>
    </w:p>
    <w:p>
      <w:pPr>
        <w:ind w:firstLine="480"/>
        <w:rPr>
          <w:color w:val="000000"/>
        </w:rPr>
      </w:pPr>
      <w:r>
        <w:rPr>
          <w:color w:val="000000"/>
        </w:rPr>
        <w:t>（5）应急办公室负责组织对应急预案进行评估，并及时修订应急预案；</w:t>
      </w:r>
    </w:p>
    <w:p>
      <w:pPr>
        <w:ind w:firstLine="480"/>
        <w:rPr>
          <w:color w:val="000000"/>
        </w:rPr>
      </w:pPr>
      <w:r>
        <w:rPr>
          <w:color w:val="000000"/>
        </w:rPr>
        <w:t>（6）若事故造成人员伤亡的，企业应做好安抚、赔偿工作，并进行电话回访，确认家属满意度；</w:t>
      </w:r>
    </w:p>
    <w:p>
      <w:pPr>
        <w:ind w:firstLine="480"/>
        <w:rPr>
          <w:color w:val="000000"/>
        </w:rPr>
      </w:pPr>
      <w:r>
        <w:rPr>
          <w:color w:val="000000"/>
        </w:rPr>
        <w:t>（7）若造成水体、土壤污染的，应将污染状况初步分析提交给环保主管单位，确定是否需要进行、如何进行环境恢复工作。</w:t>
      </w:r>
    </w:p>
    <w:bookmarkEnd w:id="981"/>
    <w:bookmarkEnd w:id="982"/>
    <w:bookmarkEnd w:id="983"/>
    <w:bookmarkEnd w:id="984"/>
    <w:bookmarkEnd w:id="985"/>
    <w:bookmarkEnd w:id="986"/>
    <w:bookmarkEnd w:id="987"/>
    <w:bookmarkEnd w:id="988"/>
    <w:bookmarkEnd w:id="989"/>
    <w:bookmarkEnd w:id="990"/>
    <w:bookmarkEnd w:id="991"/>
    <w:bookmarkEnd w:id="992"/>
    <w:p>
      <w:pPr>
        <w:pStyle w:val="3"/>
        <w:rPr>
          <w:rFonts w:ascii="Times New Roman" w:hAnsi="Times New Roman" w:eastAsia="宋体"/>
          <w:color w:val="000000"/>
        </w:rPr>
      </w:pPr>
      <w:bookmarkStart w:id="1032" w:name="_Toc310581010"/>
      <w:bookmarkStart w:id="1033" w:name="_Toc198355328"/>
      <w:bookmarkStart w:id="1034" w:name="_Toc185670990"/>
      <w:bookmarkStart w:id="1035" w:name="_Toc304963608"/>
      <w:bookmarkStart w:id="1036" w:name="_Toc304964451"/>
      <w:bookmarkStart w:id="1037" w:name="_Toc196018440"/>
      <w:bookmarkStart w:id="1038" w:name="_Toc183339506"/>
      <w:bookmarkStart w:id="1039" w:name="_Toc196018644"/>
      <w:bookmarkStart w:id="1040" w:name="_Toc183339230"/>
      <w:bookmarkStart w:id="1041" w:name="_Toc14645_WPSOffice_Level1"/>
      <w:bookmarkStart w:id="1042" w:name="_Toc304833241"/>
      <w:bookmarkStart w:id="1043" w:name="_Toc262040284"/>
      <w:bookmarkStart w:id="1044" w:name="_Toc19208_WPSOffice_Level1"/>
      <w:bookmarkStart w:id="1045" w:name="_Toc310581497"/>
      <w:bookmarkStart w:id="1046" w:name="_Toc531529751"/>
      <w:bookmarkStart w:id="1047" w:name="_Toc197251348"/>
      <w:bookmarkStart w:id="1048" w:name="_Toc262050874"/>
      <w:bookmarkStart w:id="1049" w:name="_Toc339636875"/>
      <w:bookmarkStart w:id="1050" w:name="_Toc262051548"/>
      <w:bookmarkStart w:id="1051" w:name="_Toc229283978"/>
      <w:bookmarkStart w:id="1052" w:name="_Toc184809557"/>
      <w:bookmarkStart w:id="1053" w:name="_Toc196018549"/>
      <w:bookmarkStart w:id="1054" w:name="_Toc304962964"/>
      <w:bookmarkStart w:id="1055" w:name="_Toc310581389"/>
      <w:bookmarkStart w:id="1056" w:name="_Toc184808770"/>
      <w:bookmarkStart w:id="1057" w:name="_Toc262051127"/>
      <w:bookmarkStart w:id="1058" w:name="_Toc198007343"/>
      <w:r>
        <w:rPr>
          <w:rFonts w:ascii="Times New Roman" w:hAnsi="Times New Roman" w:eastAsia="宋体"/>
          <w:color w:val="000000"/>
        </w:rPr>
        <w:br w:type="page"/>
      </w:r>
      <w:bookmarkStart w:id="1059" w:name="_Toc27919"/>
      <w:bookmarkStart w:id="1060" w:name="_Toc30938"/>
      <w:bookmarkStart w:id="1061" w:name="_Toc24905"/>
      <w:r>
        <w:rPr>
          <w:rFonts w:ascii="Times New Roman" w:hAnsi="Times New Roman" w:eastAsia="宋体"/>
          <w:color w:val="000000"/>
        </w:rPr>
        <w:t>12 后期处置</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pPr>
        <w:pStyle w:val="2"/>
        <w:ind w:firstLine="602"/>
        <w:rPr>
          <w:rFonts w:ascii="Times New Roman" w:hAnsi="Times New Roman"/>
          <w:color w:val="000000"/>
        </w:rPr>
      </w:pPr>
      <w:bookmarkStart w:id="1062" w:name="_Toc503358059"/>
      <w:bookmarkStart w:id="1063" w:name="_Toc407748946"/>
      <w:bookmarkStart w:id="1064" w:name="_Toc12879"/>
      <w:bookmarkStart w:id="1065" w:name="_Toc404629903"/>
      <w:bookmarkStart w:id="1066" w:name="_Toc410725911"/>
      <w:bookmarkStart w:id="1067" w:name="_Toc407999862"/>
      <w:bookmarkStart w:id="1068" w:name="_Toc29413"/>
      <w:bookmarkStart w:id="1069" w:name="_Toc496186865"/>
      <w:bookmarkStart w:id="1070" w:name="_Toc32360"/>
      <w:bookmarkStart w:id="1071" w:name="_Toc5507"/>
      <w:bookmarkStart w:id="1072" w:name="_Toc504640679"/>
      <w:bookmarkStart w:id="1073" w:name="_Toc507678488"/>
      <w:bookmarkStart w:id="1074" w:name="_Toc463813316"/>
      <w:bookmarkStart w:id="1075" w:name="_Toc6412345"/>
      <w:bookmarkStart w:id="1076" w:name="_Toc21800"/>
      <w:bookmarkStart w:id="1077" w:name="_Toc25821"/>
      <w:bookmarkStart w:id="1078" w:name="_Toc531529752"/>
      <w:bookmarkStart w:id="1079" w:name="_Toc14645_WPSOffice_Level2"/>
      <w:bookmarkStart w:id="1080" w:name="_Toc1684_WPSOffice_Level2"/>
      <w:bookmarkStart w:id="1081" w:name="_Toc339636876"/>
      <w:bookmarkStart w:id="1082" w:name="_Toc262051549"/>
      <w:bookmarkStart w:id="1083" w:name="_Toc183339507"/>
      <w:bookmarkStart w:id="1084" w:name="_Toc304964452"/>
      <w:bookmarkStart w:id="1085" w:name="_Toc304962965"/>
      <w:bookmarkStart w:id="1086" w:name="_Toc184808771"/>
      <w:bookmarkStart w:id="1087" w:name="_Toc197251349"/>
      <w:bookmarkStart w:id="1088" w:name="_Toc229283979"/>
      <w:bookmarkStart w:id="1089" w:name="_Toc304963609"/>
      <w:bookmarkStart w:id="1090" w:name="_Toc310581390"/>
      <w:bookmarkStart w:id="1091" w:name="_Toc183339231"/>
      <w:bookmarkStart w:id="1092" w:name="_Toc184809558"/>
      <w:bookmarkStart w:id="1093" w:name="_Toc196018550"/>
      <w:bookmarkStart w:id="1094" w:name="_Toc196018441"/>
      <w:bookmarkStart w:id="1095" w:name="_Toc185670991"/>
      <w:bookmarkStart w:id="1096" w:name="_Toc304833242"/>
      <w:bookmarkStart w:id="1097" w:name="_Toc262050875"/>
      <w:bookmarkStart w:id="1098" w:name="_Toc262051128"/>
      <w:bookmarkStart w:id="1099" w:name="_Toc310581011"/>
      <w:bookmarkStart w:id="1100" w:name="_Toc198007344"/>
      <w:bookmarkStart w:id="1101" w:name="_Toc310581498"/>
      <w:bookmarkStart w:id="1102" w:name="_Toc196018645"/>
      <w:bookmarkStart w:id="1103" w:name="_Toc198355329"/>
      <w:bookmarkStart w:id="1104" w:name="_Toc179794563"/>
      <w:bookmarkStart w:id="1105" w:name="_Toc262040285"/>
      <w:r>
        <w:rPr>
          <w:rFonts w:ascii="Times New Roman" w:hAnsi="Times New Roman"/>
          <w:color w:val="000000"/>
        </w:rPr>
        <w:t>12.1事故现场保护</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pPr>
        <w:ind w:firstLine="480"/>
        <w:rPr>
          <w:color w:val="000000"/>
        </w:rPr>
      </w:pPr>
      <w:bookmarkStart w:id="1106" w:name="_Toc11696"/>
      <w:bookmarkStart w:id="1107" w:name="_Toc463813317"/>
      <w:bookmarkStart w:id="1108" w:name="_Toc404629904"/>
      <w:bookmarkStart w:id="1109" w:name="_Toc503358060"/>
      <w:bookmarkStart w:id="1110" w:name="_Toc496186866"/>
      <w:bookmarkStart w:id="1111" w:name="_Toc5452"/>
      <w:bookmarkStart w:id="1112" w:name="_Toc507678489"/>
      <w:bookmarkStart w:id="1113" w:name="_Toc14342"/>
      <w:bookmarkStart w:id="1114" w:name="_Toc504640680"/>
      <w:r>
        <w:rPr>
          <w:color w:val="000000"/>
        </w:rPr>
        <w:t>突发环境事件应急处置结束后，任何单位和个人不得随意破坏事故现场，对事故现场的一切设备设施必须加以保护，以便事故原因调查和分析。事故调查小组人员迅速封闭现场各个道路口。对现场进行摄像、拍片等取证分析，开展事故调查。禁止其他无关人员进入，确保事故调查工作的顺利开展。</w:t>
      </w:r>
    </w:p>
    <w:p>
      <w:pPr>
        <w:pStyle w:val="2"/>
        <w:ind w:firstLine="602"/>
        <w:rPr>
          <w:rFonts w:ascii="Times New Roman" w:hAnsi="Times New Roman"/>
          <w:color w:val="000000"/>
        </w:rPr>
      </w:pPr>
      <w:bookmarkStart w:id="1115" w:name="_Toc21169"/>
      <w:bookmarkStart w:id="1116" w:name="_Toc6412346"/>
      <w:bookmarkStart w:id="1117" w:name="_Toc14247"/>
      <w:bookmarkStart w:id="1118" w:name="_Toc12378"/>
      <w:r>
        <w:rPr>
          <w:rFonts w:ascii="Times New Roman" w:hAnsi="Times New Roman"/>
          <w:color w:val="000000"/>
        </w:rPr>
        <w:t>12.2事故污染物处理</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ind w:firstLine="480"/>
        <w:rPr>
          <w:color w:val="000000"/>
        </w:rPr>
      </w:pPr>
      <w:bookmarkStart w:id="1119" w:name="_Toc404629905"/>
      <w:r>
        <w:rPr>
          <w:color w:val="000000"/>
        </w:rPr>
        <w:t>对于事故处置过程中产生的事故废水，禁止直接外排，应妥善收集后送入污水处理系统处置或交由资质单位处置。事故处理中产生的危险废弃物应集中收集，并应送具有资质的处理单位统一处置。</w:t>
      </w:r>
    </w:p>
    <w:p>
      <w:pPr>
        <w:pStyle w:val="2"/>
        <w:spacing w:after="60"/>
        <w:ind w:firstLine="602"/>
        <w:rPr>
          <w:rFonts w:ascii="Times New Roman" w:hAnsi="Times New Roman"/>
          <w:color w:val="000000"/>
          <w:szCs w:val="30"/>
        </w:rPr>
      </w:pPr>
      <w:bookmarkStart w:id="1120" w:name="_Toc496186867"/>
      <w:bookmarkStart w:id="1121" w:name="_Toc6412347"/>
      <w:bookmarkStart w:id="1122" w:name="_Toc504640681"/>
      <w:bookmarkStart w:id="1123" w:name="_Toc507678490"/>
      <w:bookmarkStart w:id="1124" w:name="_Toc3536"/>
      <w:bookmarkStart w:id="1125" w:name="_Toc503358061"/>
      <w:bookmarkStart w:id="1126" w:name="_Toc463813318"/>
      <w:bookmarkStart w:id="1127" w:name="_Toc28500"/>
      <w:bookmarkStart w:id="1128" w:name="_Toc19811"/>
      <w:bookmarkStart w:id="1129" w:name="_Toc27956"/>
      <w:bookmarkStart w:id="1130" w:name="_Toc23087"/>
      <w:bookmarkStart w:id="1131" w:name="_Toc22983"/>
      <w:r>
        <w:rPr>
          <w:rFonts w:ascii="Times New Roman" w:hAnsi="Times New Roman"/>
          <w:color w:val="000000"/>
        </w:rPr>
        <w:t>12.3生态恢复</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pPr>
        <w:ind w:firstLine="480"/>
        <w:rPr>
          <w:color w:val="000000"/>
        </w:rPr>
      </w:pPr>
      <w:r>
        <w:rPr>
          <w:color w:val="000000"/>
        </w:rPr>
        <w:t>若突发环境事件对周围生态环境造成了破坏，本厂应调查其程度，给予适当补偿，积极协助相关人员釆用乡土物种种树、植草。农作物受到损坏，应按规定给予经济补偿。</w:t>
      </w:r>
    </w:p>
    <w:p>
      <w:pPr>
        <w:pStyle w:val="2"/>
        <w:ind w:firstLine="602"/>
        <w:rPr>
          <w:rFonts w:ascii="Times New Roman" w:hAnsi="Times New Roman"/>
          <w:color w:val="000000"/>
        </w:rPr>
      </w:pPr>
      <w:bookmarkStart w:id="1132" w:name="_Toc496186868"/>
      <w:bookmarkStart w:id="1133" w:name="_Toc29458"/>
      <w:bookmarkStart w:id="1134" w:name="_Toc507678491"/>
      <w:bookmarkStart w:id="1135" w:name="_Toc407999865"/>
      <w:bookmarkStart w:id="1136" w:name="_Toc503358062"/>
      <w:bookmarkStart w:id="1137" w:name="_Toc24853"/>
      <w:bookmarkStart w:id="1138" w:name="_Toc7860"/>
      <w:bookmarkStart w:id="1139" w:name="_Toc407748949"/>
      <w:bookmarkStart w:id="1140" w:name="_Toc463813319"/>
      <w:bookmarkStart w:id="1141" w:name="_Toc504640682"/>
      <w:bookmarkStart w:id="1142" w:name="_Toc410725914"/>
      <w:bookmarkStart w:id="1143" w:name="_Toc6412348"/>
      <w:bookmarkStart w:id="1144" w:name="_Toc12884"/>
      <w:bookmarkStart w:id="1145" w:name="_Toc7699"/>
      <w:bookmarkStart w:id="1146" w:name="_Toc19140"/>
      <w:r>
        <w:rPr>
          <w:rFonts w:ascii="Times New Roman" w:hAnsi="Times New Roman"/>
          <w:color w:val="000000"/>
        </w:rPr>
        <w:t>12.4善后</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pPr>
        <w:ind w:firstLine="480"/>
        <w:rPr>
          <w:color w:val="000000"/>
        </w:rPr>
      </w:pPr>
      <w:r>
        <w:rPr>
          <w:color w:val="000000"/>
        </w:rPr>
        <w:t>（1）善后处置工作在企业领导下，综合协调组迅速采取得力措施，救助人员，开展现场清消净化、污染控制和环境恢复等工作，消除事故所带来的影响，恢复正常的生产秩序；</w:t>
      </w:r>
    </w:p>
    <w:p>
      <w:pPr>
        <w:ind w:firstLine="480"/>
        <w:rPr>
          <w:color w:val="000000"/>
        </w:rPr>
      </w:pPr>
      <w:r>
        <w:rPr>
          <w:color w:val="000000"/>
        </w:rPr>
        <w:t>（2）应对事故现场进行清理，排除事故隐患，防止二次事故的发生；</w:t>
      </w:r>
    </w:p>
    <w:p>
      <w:pPr>
        <w:ind w:firstLine="480"/>
        <w:rPr>
          <w:color w:val="000000"/>
        </w:rPr>
      </w:pPr>
      <w:r>
        <w:rPr>
          <w:color w:val="000000"/>
        </w:rPr>
        <w:t>（3）组织力量全面开展损失核定、征用物资补偿、补充或更换消防设施和防毒面具，并迅速实施。</w:t>
      </w:r>
    </w:p>
    <w:p>
      <w:pPr>
        <w:pStyle w:val="2"/>
        <w:ind w:firstLine="602"/>
        <w:rPr>
          <w:rFonts w:ascii="Times New Roman" w:hAnsi="Times New Roman"/>
          <w:color w:val="000000"/>
        </w:rPr>
      </w:pPr>
      <w:bookmarkStart w:id="1147" w:name="_Toc16779"/>
      <w:bookmarkStart w:id="1148" w:name="_Toc16447"/>
      <w:bookmarkStart w:id="1149" w:name="_Toc507678492"/>
      <w:bookmarkStart w:id="1150" w:name="_Toc32029"/>
      <w:bookmarkStart w:id="1151" w:name="_Toc504640683"/>
      <w:bookmarkStart w:id="1152" w:name="_Toc407748950"/>
      <w:bookmarkStart w:id="1153" w:name="_Toc5718"/>
      <w:bookmarkStart w:id="1154" w:name="_Toc410725915"/>
      <w:bookmarkStart w:id="1155" w:name="_Toc503358063"/>
      <w:bookmarkStart w:id="1156" w:name="_Toc7641"/>
      <w:bookmarkStart w:id="1157" w:name="_Toc463813320"/>
      <w:bookmarkStart w:id="1158" w:name="_Toc407999866"/>
      <w:bookmarkStart w:id="1159" w:name="_Toc28389"/>
      <w:bookmarkStart w:id="1160" w:name="_Toc496186869"/>
      <w:bookmarkStart w:id="1161" w:name="_Toc6412349"/>
      <w:r>
        <w:rPr>
          <w:rFonts w:ascii="Times New Roman" w:hAnsi="Times New Roman"/>
          <w:color w:val="000000"/>
        </w:rPr>
        <w:t>12.5救援效果和应急经验总结</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pPr>
        <w:ind w:firstLine="480"/>
        <w:jc w:val="left"/>
        <w:rPr>
          <w:color w:val="000000"/>
        </w:rPr>
      </w:pPr>
      <w:r>
        <w:rPr>
          <w:color w:val="000000"/>
        </w:rPr>
        <w:t>突发环境事件善后处置工作结束后，由企业的应急办公室分析总结应急处置经验教训，对抢险过程和应急处置能力进行评估，提出改进应急处置工作的建议，及时修订完善应急处置预案。</w:t>
      </w:r>
    </w:p>
    <w:bookmarkEnd w:id="1078"/>
    <w:bookmarkEnd w:id="1079"/>
    <w:bookmarkEnd w:id="1080"/>
    <w:p>
      <w:pPr>
        <w:ind w:firstLine="480"/>
        <w:jc w:val="center"/>
        <w:rPr>
          <w:color w:val="000000"/>
        </w:rPr>
      </w:pPr>
      <w:bookmarkStart w:id="1162" w:name="_Toc531529755"/>
      <w:r>
        <w:rPr>
          <w:color w:val="000000"/>
        </w:rPr>
        <w:br w:type="page"/>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62"/>
      <w:bookmarkStart w:id="1163" w:name="_Toc197251352"/>
      <w:bookmarkStart w:id="1164" w:name="_Toc310581014"/>
      <w:bookmarkStart w:id="1165" w:name="_Toc184808774"/>
      <w:bookmarkStart w:id="1166" w:name="_Toc531529756"/>
      <w:bookmarkStart w:id="1167" w:name="_Toc339636879"/>
      <w:bookmarkStart w:id="1168" w:name="_Toc198007347"/>
      <w:bookmarkStart w:id="1169" w:name="_Toc262040288"/>
      <w:bookmarkStart w:id="1170" w:name="_Toc185670994"/>
      <w:bookmarkStart w:id="1171" w:name="_Toc183339510"/>
      <w:bookmarkStart w:id="1172" w:name="_Toc262051552"/>
      <w:bookmarkStart w:id="1173" w:name="_Toc20857_WPSOffice_Level1"/>
      <w:bookmarkStart w:id="1174" w:name="_Toc304964455"/>
      <w:bookmarkStart w:id="1175" w:name="_Toc26027"/>
      <w:bookmarkStart w:id="1176" w:name="_Toc229283982"/>
      <w:bookmarkStart w:id="1177" w:name="_Toc7400_WPSOffice_Level1"/>
      <w:bookmarkStart w:id="1178" w:name="_Toc135709128"/>
      <w:bookmarkStart w:id="1179" w:name="_Toc7503"/>
      <w:bookmarkStart w:id="1180" w:name="_Toc196018648"/>
      <w:bookmarkStart w:id="1181" w:name="_Toc310581501"/>
      <w:bookmarkStart w:id="1182" w:name="_Toc304963612"/>
      <w:bookmarkStart w:id="1183" w:name="_Toc196018553"/>
      <w:bookmarkStart w:id="1184" w:name="_Toc310581393"/>
      <w:bookmarkStart w:id="1185" w:name="_Toc198355332"/>
      <w:bookmarkStart w:id="1186" w:name="_Toc14900"/>
      <w:bookmarkStart w:id="1187" w:name="_Toc183339234"/>
      <w:bookmarkStart w:id="1188" w:name="_Toc196018444"/>
      <w:bookmarkStart w:id="1189" w:name="_Toc304962968"/>
      <w:bookmarkStart w:id="1190" w:name="_Toc262051131"/>
      <w:bookmarkStart w:id="1191" w:name="_Toc304833245"/>
      <w:bookmarkStart w:id="1192" w:name="_Toc262050878"/>
      <w:bookmarkStart w:id="1193" w:name="_Toc184809561"/>
      <w:r>
        <w:rPr>
          <w:rStyle w:val="45"/>
          <w:rFonts w:ascii="Times New Roman" w:hAnsi="Times New Roman" w:eastAsia="宋体"/>
          <w:color w:val="000000"/>
        </w:rPr>
        <w:t>13 应急保障</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pPr>
        <w:pStyle w:val="2"/>
        <w:ind w:firstLine="602"/>
        <w:rPr>
          <w:rFonts w:ascii="Times New Roman" w:hAnsi="Times New Roman"/>
          <w:color w:val="000000"/>
          <w:lang w:val="zh-CN"/>
        </w:rPr>
      </w:pPr>
      <w:bookmarkStart w:id="1194" w:name="_Toc8943_WPSOffice_Level2"/>
      <w:bookmarkStart w:id="1195" w:name="_Toc315789929"/>
      <w:bookmarkStart w:id="1196" w:name="_Toc375922407"/>
      <w:bookmarkStart w:id="1197" w:name="_Toc317625858"/>
      <w:bookmarkStart w:id="1198" w:name="_Toc315789681"/>
      <w:bookmarkStart w:id="1199" w:name="_Toc315789521"/>
      <w:bookmarkStart w:id="1200" w:name="_Toc10198"/>
      <w:bookmarkStart w:id="1201" w:name="_Toc531529757"/>
      <w:bookmarkStart w:id="1202" w:name="_Toc18041"/>
      <w:bookmarkStart w:id="1203" w:name="_Toc400018373"/>
      <w:bookmarkStart w:id="1204" w:name="_Toc11090_WPSOffice_Level2"/>
      <w:bookmarkStart w:id="1205" w:name="_Toc452735624"/>
      <w:bookmarkStart w:id="1206" w:name="_Toc317625940"/>
      <w:bookmarkStart w:id="1207" w:name="_Toc16009"/>
      <w:bookmarkStart w:id="1208" w:name="_Toc403509925"/>
      <w:bookmarkStart w:id="1209" w:name="_Toc196018445"/>
      <w:bookmarkStart w:id="1210" w:name="_Toc184809562"/>
      <w:bookmarkStart w:id="1211" w:name="_Toc304963613"/>
      <w:bookmarkStart w:id="1212" w:name="_Toc198355333"/>
      <w:bookmarkStart w:id="1213" w:name="_Toc183339511"/>
      <w:bookmarkStart w:id="1214" w:name="_Toc310581394"/>
      <w:bookmarkStart w:id="1215" w:name="_Toc262051132"/>
      <w:bookmarkStart w:id="1216" w:name="_Toc135709129"/>
      <w:bookmarkStart w:id="1217" w:name="_Toc304964456"/>
      <w:bookmarkStart w:id="1218" w:name="_Toc196018554"/>
      <w:bookmarkStart w:id="1219" w:name="_Toc197251353"/>
      <w:bookmarkStart w:id="1220" w:name="_Toc198007348"/>
      <w:bookmarkStart w:id="1221" w:name="_Toc339636880"/>
      <w:bookmarkStart w:id="1222" w:name="_Toc183339235"/>
      <w:bookmarkStart w:id="1223" w:name="_Toc196018649"/>
      <w:bookmarkStart w:id="1224" w:name="_Toc310581502"/>
      <w:bookmarkStart w:id="1225" w:name="_Toc229283983"/>
      <w:bookmarkStart w:id="1226" w:name="_Toc262040289"/>
      <w:bookmarkStart w:id="1227" w:name="_Toc262051553"/>
      <w:bookmarkStart w:id="1228" w:name="_Toc262050879"/>
      <w:bookmarkStart w:id="1229" w:name="_Toc185670995"/>
      <w:bookmarkStart w:id="1230" w:name="_Toc304962969"/>
      <w:bookmarkStart w:id="1231" w:name="_Toc184808775"/>
      <w:bookmarkStart w:id="1232" w:name="_Toc304833246"/>
      <w:bookmarkStart w:id="1233" w:name="_Toc310581015"/>
      <w:r>
        <w:rPr>
          <w:rFonts w:ascii="Times New Roman" w:hAnsi="Times New Roman"/>
          <w:color w:val="000000"/>
        </w:rPr>
        <w:t xml:space="preserve">13.1 </w:t>
      </w:r>
      <w:r>
        <w:rPr>
          <w:rFonts w:ascii="Times New Roman" w:hAnsi="Times New Roman"/>
          <w:color w:val="000000"/>
          <w:lang w:val="zh-CN"/>
        </w:rPr>
        <w:t>通信与信息保障</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pPr>
        <w:ind w:firstLine="480"/>
        <w:rPr>
          <w:color w:val="000000"/>
          <w:lang w:val="zh-CN"/>
        </w:rPr>
      </w:pPr>
      <w:r>
        <w:rPr>
          <w:color w:val="000000"/>
          <w:lang w:val="zh-CN"/>
        </w:rPr>
        <w:t>各应急处置小组负责人及组员的电话必须24小时开机，保持应急期间的电话、电信、网络等线路和设备的通畅。禁止随意更换电话号码。特殊情况下，电话号码发生变更，必须在变更之日起48小时内向应急办公室报告。应急办公室必须在24小时内向各成员和部门发布变更通知。</w:t>
      </w:r>
    </w:p>
    <w:p>
      <w:pPr>
        <w:pStyle w:val="2"/>
        <w:ind w:firstLine="602"/>
        <w:rPr>
          <w:rFonts w:ascii="Times New Roman" w:hAnsi="Times New Roman"/>
          <w:color w:val="000000"/>
          <w:lang w:val="zh-CN"/>
        </w:rPr>
      </w:pPr>
      <w:bookmarkStart w:id="1234" w:name="_Toc452735625"/>
      <w:bookmarkStart w:id="1235" w:name="_Toc403509926"/>
      <w:bookmarkStart w:id="1236" w:name="_Toc315789682"/>
      <w:bookmarkStart w:id="1237" w:name="_Toc21576_WPSOffice_Level2"/>
      <w:bookmarkStart w:id="1238" w:name="_Toc23691_WPSOffice_Level2"/>
      <w:bookmarkStart w:id="1239" w:name="_Toc375922408"/>
      <w:bookmarkStart w:id="1240" w:name="_Toc317625941"/>
      <w:bookmarkStart w:id="1241" w:name="_Toc531529758"/>
      <w:bookmarkStart w:id="1242" w:name="_Toc2121"/>
      <w:bookmarkStart w:id="1243" w:name="_Toc315789930"/>
      <w:bookmarkStart w:id="1244" w:name="_Toc317625859"/>
      <w:bookmarkStart w:id="1245" w:name="_Toc14763"/>
      <w:bookmarkStart w:id="1246" w:name="_Toc5535"/>
      <w:bookmarkStart w:id="1247" w:name="_Toc315789522"/>
      <w:bookmarkStart w:id="1248" w:name="_Toc400018374"/>
      <w:r>
        <w:rPr>
          <w:rFonts w:ascii="Times New Roman" w:hAnsi="Times New Roman"/>
          <w:color w:val="000000"/>
        </w:rPr>
        <w:t xml:space="preserve">13.2 </w:t>
      </w:r>
      <w:r>
        <w:rPr>
          <w:rFonts w:ascii="Times New Roman" w:hAnsi="Times New Roman"/>
          <w:color w:val="000000"/>
          <w:lang w:val="zh-CN"/>
        </w:rPr>
        <w:t>应急队伍保障</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pPr>
        <w:ind w:firstLine="480"/>
        <w:rPr>
          <w:color w:val="000000"/>
        </w:rPr>
      </w:pPr>
      <w:r>
        <w:rPr>
          <w:color w:val="000000"/>
        </w:rPr>
        <w:t>救援预案中涉及的救援人员全部由在岗职工组成，确保发生事故能积极发挥救援作用，同时对新上岗职工、转岗职工将应急救援预案的培训纳入上岗培训的主要内容，确保员工上岗能掌握相关救援知识，在发生事故后能起到救援作用。</w:t>
      </w:r>
    </w:p>
    <w:p>
      <w:pPr>
        <w:pStyle w:val="2"/>
        <w:ind w:firstLine="602"/>
        <w:rPr>
          <w:rFonts w:ascii="Times New Roman" w:hAnsi="Times New Roman"/>
          <w:color w:val="000000"/>
          <w:lang w:val="zh-CN"/>
        </w:rPr>
      </w:pPr>
      <w:bookmarkStart w:id="1249" w:name="_Toc27179_WPSOffice_Level2"/>
      <w:bookmarkStart w:id="1250" w:name="_Toc3241"/>
      <w:bookmarkStart w:id="1251" w:name="_Toc22839"/>
      <w:bookmarkStart w:id="1252" w:name="_Toc18990"/>
      <w:bookmarkStart w:id="1253" w:name="_Toc531529759"/>
      <w:bookmarkStart w:id="1254" w:name="_Toc13666_WPSOffice_Level2"/>
      <w:r>
        <w:rPr>
          <w:rFonts w:ascii="Times New Roman" w:hAnsi="Times New Roman"/>
          <w:color w:val="000000"/>
          <w:lang w:val="zh-CN"/>
        </w:rPr>
        <w:t>1</w:t>
      </w:r>
      <w:r>
        <w:rPr>
          <w:rFonts w:ascii="Times New Roman" w:hAnsi="Times New Roman"/>
          <w:color w:val="000000"/>
        </w:rPr>
        <w:t>3</w:t>
      </w:r>
      <w:r>
        <w:rPr>
          <w:rFonts w:ascii="Times New Roman" w:hAnsi="Times New Roman"/>
          <w:color w:val="000000"/>
          <w:lang w:val="zh-CN"/>
        </w:rPr>
        <w:t>.</w:t>
      </w:r>
      <w:r>
        <w:rPr>
          <w:rFonts w:ascii="Times New Roman" w:hAnsi="Times New Roman"/>
          <w:color w:val="000000"/>
        </w:rPr>
        <w:t>3</w:t>
      </w:r>
      <w:r>
        <w:rPr>
          <w:rFonts w:ascii="Times New Roman" w:hAnsi="Times New Roman"/>
          <w:color w:val="000000"/>
          <w:lang w:val="zh-CN"/>
        </w:rPr>
        <w:t xml:space="preserve"> 应急物资装备保障</w:t>
      </w:r>
      <w:bookmarkEnd w:id="1249"/>
      <w:bookmarkEnd w:id="1250"/>
      <w:bookmarkEnd w:id="1251"/>
      <w:bookmarkEnd w:id="1252"/>
      <w:bookmarkEnd w:id="1253"/>
      <w:bookmarkEnd w:id="1254"/>
    </w:p>
    <w:p>
      <w:pPr>
        <w:ind w:firstLine="480"/>
        <w:rPr>
          <w:color w:val="000000"/>
        </w:rPr>
      </w:pPr>
      <w:r>
        <w:rPr>
          <w:color w:val="000000"/>
        </w:rPr>
        <w:t>本公司配备有各种应急物资，具体配备情况见附件2。</w:t>
      </w:r>
    </w:p>
    <w:p>
      <w:pPr>
        <w:pStyle w:val="2"/>
        <w:ind w:firstLine="602"/>
        <w:rPr>
          <w:rFonts w:ascii="Times New Roman" w:hAnsi="Times New Roman"/>
          <w:color w:val="000000"/>
          <w:lang w:val="zh-CN"/>
        </w:rPr>
      </w:pPr>
      <w:bookmarkStart w:id="1255" w:name="_Toc4740"/>
      <w:bookmarkStart w:id="1256" w:name="_Toc30989"/>
      <w:bookmarkStart w:id="1257" w:name="_Toc26259_WPSOffice_Level2"/>
      <w:bookmarkStart w:id="1258" w:name="_Toc32670"/>
      <w:r>
        <w:rPr>
          <w:rFonts w:ascii="Times New Roman" w:hAnsi="Times New Roman"/>
          <w:color w:val="000000"/>
          <w:lang w:val="zh-CN"/>
        </w:rPr>
        <w:t>1</w:t>
      </w:r>
      <w:r>
        <w:rPr>
          <w:rFonts w:ascii="Times New Roman" w:hAnsi="Times New Roman"/>
          <w:color w:val="000000"/>
        </w:rPr>
        <w:t>3</w:t>
      </w:r>
      <w:r>
        <w:rPr>
          <w:rFonts w:ascii="Times New Roman" w:hAnsi="Times New Roman"/>
          <w:color w:val="000000"/>
          <w:lang w:val="zh-CN"/>
        </w:rPr>
        <w:t>.</w:t>
      </w:r>
      <w:r>
        <w:rPr>
          <w:rFonts w:ascii="Times New Roman" w:hAnsi="Times New Roman"/>
          <w:color w:val="000000"/>
        </w:rPr>
        <w:t>4</w:t>
      </w:r>
      <w:r>
        <w:rPr>
          <w:rFonts w:ascii="Times New Roman" w:hAnsi="Times New Roman"/>
          <w:color w:val="000000"/>
          <w:lang w:val="zh-CN"/>
        </w:rPr>
        <w:t xml:space="preserve"> 应急资金保障</w:t>
      </w:r>
      <w:bookmarkEnd w:id="1255"/>
      <w:bookmarkEnd w:id="1256"/>
      <w:bookmarkEnd w:id="1257"/>
      <w:bookmarkEnd w:id="1258"/>
    </w:p>
    <w:p>
      <w:pPr>
        <w:ind w:firstLine="480"/>
        <w:rPr>
          <w:color w:val="000000"/>
        </w:rPr>
        <w:sectPr>
          <w:pgSz w:w="11906" w:h="16838"/>
          <w:pgMar w:top="1440" w:right="1800" w:bottom="1440" w:left="1800" w:header="1134" w:footer="992" w:gutter="0"/>
          <w:cols w:space="720" w:num="1"/>
          <w:docGrid w:type="lines" w:linePitch="318" w:charSpace="0"/>
        </w:sectPr>
      </w:pPr>
      <w:r>
        <w:rPr>
          <w:color w:val="000000"/>
        </w:rPr>
        <w:t>企业每年应做应急资金的专项预算，用于应急物资的更新、应急人员的培训、应急演练的支出等。</w:t>
      </w:r>
    </w:p>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Pr>
        <w:pStyle w:val="3"/>
        <w:spacing w:line="360" w:lineRule="auto"/>
        <w:rPr>
          <w:rFonts w:ascii="Times New Roman" w:hAnsi="Times New Roman" w:eastAsia="宋体"/>
          <w:color w:val="000000"/>
        </w:rPr>
      </w:pPr>
      <w:bookmarkStart w:id="1259" w:name="_Toc531529760"/>
      <w:bookmarkStart w:id="1260" w:name="_Toc26737_WPSOffice_Level1"/>
      <w:bookmarkStart w:id="1261" w:name="_Toc4961_WPSOffice_Level1"/>
      <w:bookmarkStart w:id="1262" w:name="_Toc18252"/>
      <w:bookmarkStart w:id="1263" w:name="_Toc3366"/>
      <w:bookmarkStart w:id="1264" w:name="_Toc27636"/>
      <w:r>
        <w:rPr>
          <w:rFonts w:ascii="Times New Roman" w:hAnsi="Times New Roman" w:eastAsia="宋体"/>
          <w:color w:val="000000"/>
        </w:rPr>
        <w:t>14应急预案管理</w:t>
      </w:r>
      <w:bookmarkEnd w:id="1259"/>
      <w:bookmarkEnd w:id="1260"/>
      <w:bookmarkEnd w:id="1261"/>
      <w:bookmarkEnd w:id="1262"/>
      <w:bookmarkEnd w:id="1263"/>
      <w:bookmarkEnd w:id="1264"/>
    </w:p>
    <w:p>
      <w:pPr>
        <w:pStyle w:val="2"/>
        <w:ind w:firstLine="602"/>
        <w:rPr>
          <w:rFonts w:ascii="Times New Roman" w:hAnsi="Times New Roman"/>
          <w:color w:val="000000"/>
          <w:lang w:val="zh-CN"/>
        </w:rPr>
      </w:pPr>
      <w:bookmarkStart w:id="1265" w:name="_Toc339636885"/>
      <w:bookmarkStart w:id="1266" w:name="_Toc184809571"/>
      <w:bookmarkStart w:id="1267" w:name="_Toc229283992"/>
      <w:bookmarkStart w:id="1268" w:name="_Toc196018454"/>
      <w:bookmarkStart w:id="1269" w:name="_Toc262050888"/>
      <w:bookmarkStart w:id="1270" w:name="_Toc304963619"/>
      <w:bookmarkStart w:id="1271" w:name="_Toc262051562"/>
      <w:bookmarkStart w:id="1272" w:name="_Toc13075_WPSOffice_Level2"/>
      <w:bookmarkStart w:id="1273" w:name="_Toc262051141"/>
      <w:bookmarkStart w:id="1274" w:name="_Toc13892_WPSOffice_Level2"/>
      <w:bookmarkStart w:id="1275" w:name="_Toc304962975"/>
      <w:bookmarkStart w:id="1276" w:name="_Toc304833252"/>
      <w:bookmarkStart w:id="1277" w:name="_Toc135709136"/>
      <w:bookmarkStart w:id="1278" w:name="_Toc310581508"/>
      <w:bookmarkStart w:id="1279" w:name="_Toc196018563"/>
      <w:bookmarkStart w:id="1280" w:name="_Toc19066"/>
      <w:bookmarkStart w:id="1281" w:name="_Toc197251362"/>
      <w:bookmarkStart w:id="1282" w:name="_Toc198007357"/>
      <w:bookmarkStart w:id="1283" w:name="_Toc183339514"/>
      <w:bookmarkStart w:id="1284" w:name="_Toc310581021"/>
      <w:bookmarkStart w:id="1285" w:name="_Toc31807"/>
      <w:bookmarkStart w:id="1286" w:name="_Toc262040298"/>
      <w:bookmarkStart w:id="1287" w:name="_Toc26945"/>
      <w:bookmarkStart w:id="1288" w:name="_Toc531529761"/>
      <w:bookmarkStart w:id="1289" w:name="_Toc310581400"/>
      <w:bookmarkStart w:id="1290" w:name="_Toc184808784"/>
      <w:bookmarkStart w:id="1291" w:name="_Toc198355342"/>
      <w:bookmarkStart w:id="1292" w:name="_Toc304964462"/>
      <w:bookmarkStart w:id="1293" w:name="_Toc183339238"/>
      <w:bookmarkStart w:id="1294" w:name="_Toc185671004"/>
      <w:bookmarkStart w:id="1295" w:name="_Toc196018658"/>
      <w:r>
        <w:rPr>
          <w:rFonts w:ascii="Times New Roman" w:hAnsi="Times New Roman"/>
          <w:color w:val="000000"/>
        </w:rPr>
        <w:t>14</w:t>
      </w:r>
      <w:r>
        <w:rPr>
          <w:rFonts w:ascii="Times New Roman" w:hAnsi="Times New Roman"/>
          <w:color w:val="000000"/>
          <w:lang w:val="zh-CN"/>
        </w:rPr>
        <w:t>.1 应急预案培训</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pPr>
        <w:pStyle w:val="4"/>
        <w:spacing w:before="0" w:line="360" w:lineRule="auto"/>
        <w:ind w:firstLine="562"/>
        <w:rPr>
          <w:rFonts w:ascii="Times New Roman" w:hAnsi="Times New Roman"/>
          <w:kern w:val="2"/>
          <w:szCs w:val="28"/>
        </w:rPr>
      </w:pPr>
      <w:bookmarkStart w:id="1296" w:name="_Toc198827742"/>
      <w:bookmarkStart w:id="1297" w:name="_Toc12204"/>
      <w:bookmarkStart w:id="1298" w:name="_Toc26742_WPSOffice_Level3"/>
      <w:bookmarkStart w:id="1299" w:name="_Toc23581"/>
      <w:bookmarkStart w:id="1300" w:name="_Toc5554_WPSOffice_Level3"/>
      <w:r>
        <w:rPr>
          <w:rFonts w:ascii="Times New Roman" w:hAnsi="Times New Roman"/>
        </w:rPr>
        <w:t>14.1.1应急救援人员的</w:t>
      </w:r>
      <w:bookmarkEnd w:id="1296"/>
      <w:r>
        <w:rPr>
          <w:rFonts w:ascii="Times New Roman" w:hAnsi="Times New Roman"/>
        </w:rPr>
        <w:t>培训</w:t>
      </w:r>
      <w:bookmarkEnd w:id="1297"/>
      <w:bookmarkEnd w:id="1298"/>
      <w:bookmarkEnd w:id="1299"/>
      <w:bookmarkEnd w:id="1300"/>
    </w:p>
    <w:p>
      <w:pPr>
        <w:ind w:firstLine="480"/>
        <w:rPr>
          <w:color w:val="000000"/>
        </w:rPr>
      </w:pPr>
      <w:r>
        <w:rPr>
          <w:color w:val="000000"/>
        </w:rPr>
        <w:t>对全体从业人员的培训项目如下；</w:t>
      </w:r>
    </w:p>
    <w:p>
      <w:pPr>
        <w:ind w:firstLine="480"/>
        <w:rPr>
          <w:color w:val="000000"/>
        </w:rPr>
      </w:pPr>
      <w:r>
        <w:rPr>
          <w:color w:val="000000"/>
        </w:rPr>
        <w:t>（1）防火、防泄漏事故所应遵守的事项以及灾害发生初期的处理措施；</w:t>
      </w:r>
    </w:p>
    <w:p>
      <w:pPr>
        <w:ind w:firstLine="480"/>
        <w:rPr>
          <w:color w:val="000000"/>
        </w:rPr>
      </w:pPr>
      <w:r>
        <w:rPr>
          <w:color w:val="000000"/>
        </w:rPr>
        <w:t>（2）各类危险化学品的性能、物理化学特性、对健康的危害知识、风险识别；</w:t>
      </w:r>
    </w:p>
    <w:p>
      <w:pPr>
        <w:ind w:firstLine="480"/>
        <w:rPr>
          <w:color w:val="000000"/>
        </w:rPr>
      </w:pPr>
      <w:r>
        <w:rPr>
          <w:color w:val="000000"/>
        </w:rPr>
        <w:t>（3）个体防护设备、器具等的使用方法、安全用电知识；</w:t>
      </w:r>
    </w:p>
    <w:p>
      <w:pPr>
        <w:ind w:firstLine="480"/>
        <w:rPr>
          <w:color w:val="000000"/>
        </w:rPr>
      </w:pPr>
      <w:r>
        <w:rPr>
          <w:color w:val="000000"/>
        </w:rPr>
        <w:t>（4）火灾等灾害事故发生时，灭火器具的使用方法；紧急事态发生时的报警方法和程序要求；灾害发生时的疏散及救护方法；</w:t>
      </w:r>
    </w:p>
    <w:p>
      <w:pPr>
        <w:ind w:firstLine="480"/>
        <w:rPr>
          <w:color w:val="000000"/>
        </w:rPr>
      </w:pPr>
      <w:r>
        <w:rPr>
          <w:color w:val="000000"/>
        </w:rPr>
        <w:t>（5）现场抢救的基本知识和注意事项。</w:t>
      </w:r>
    </w:p>
    <w:p>
      <w:pPr>
        <w:pStyle w:val="4"/>
        <w:spacing w:before="0" w:line="360" w:lineRule="auto"/>
        <w:ind w:firstLine="562"/>
        <w:rPr>
          <w:rFonts w:ascii="Times New Roman" w:hAnsi="Times New Roman"/>
        </w:rPr>
      </w:pPr>
      <w:bookmarkStart w:id="1301" w:name="_Toc198827744"/>
      <w:bookmarkStart w:id="1302" w:name="_Toc27761"/>
      <w:bookmarkStart w:id="1303" w:name="_Toc32017_WPSOffice_Level3"/>
      <w:bookmarkStart w:id="1304" w:name="_Toc24244_WPSOffice_Level3"/>
      <w:bookmarkStart w:id="1305" w:name="_Toc31723"/>
      <w:r>
        <w:rPr>
          <w:rFonts w:ascii="Times New Roman" w:hAnsi="Times New Roman"/>
        </w:rPr>
        <w:t>14.1.2对社区或周边人员及相关方应急响应知识的宣传</w:t>
      </w:r>
      <w:bookmarkEnd w:id="1301"/>
      <w:bookmarkEnd w:id="1302"/>
      <w:bookmarkEnd w:id="1303"/>
      <w:bookmarkEnd w:id="1304"/>
      <w:bookmarkEnd w:id="1305"/>
    </w:p>
    <w:p>
      <w:pPr>
        <w:ind w:firstLine="480"/>
        <w:rPr>
          <w:color w:val="000000"/>
        </w:rPr>
      </w:pPr>
      <w:r>
        <w:rPr>
          <w:color w:val="000000"/>
        </w:rPr>
        <w:t>向周边社区和居民及相关方印发安全宣传资料和公司事故发生时的报警信号、疏散、逃生知识，引导周边人员在公司发生火灾、泄漏等紧急情况下的撤离。</w:t>
      </w:r>
    </w:p>
    <w:p>
      <w:pPr>
        <w:pStyle w:val="2"/>
        <w:ind w:firstLine="602"/>
        <w:rPr>
          <w:rFonts w:ascii="Times New Roman" w:hAnsi="Times New Roman"/>
          <w:color w:val="000000"/>
          <w:lang w:val="zh-CN"/>
        </w:rPr>
      </w:pPr>
      <w:bookmarkStart w:id="1306" w:name="_Toc304962976"/>
      <w:bookmarkStart w:id="1307" w:name="_Toc531529762"/>
      <w:bookmarkStart w:id="1308" w:name="_Toc262040299"/>
      <w:bookmarkStart w:id="1309" w:name="_Toc310581509"/>
      <w:bookmarkStart w:id="1310" w:name="_Toc229283993"/>
      <w:bookmarkStart w:id="1311" w:name="_Toc196018564"/>
      <w:bookmarkStart w:id="1312" w:name="_Toc339636886"/>
      <w:bookmarkStart w:id="1313" w:name="_Toc196018659"/>
      <w:bookmarkStart w:id="1314" w:name="_Toc310581401"/>
      <w:bookmarkStart w:id="1315" w:name="_Toc184808785"/>
      <w:bookmarkStart w:id="1316" w:name="_Toc16030"/>
      <w:bookmarkStart w:id="1317" w:name="_Toc198007358"/>
      <w:bookmarkStart w:id="1318" w:name="_Toc793_WPSOffice_Level2"/>
      <w:bookmarkStart w:id="1319" w:name="_Toc183339515"/>
      <w:bookmarkStart w:id="1320" w:name="_Toc198355343"/>
      <w:bookmarkStart w:id="1321" w:name="_Toc262051142"/>
      <w:bookmarkStart w:id="1322" w:name="_Toc183339239"/>
      <w:bookmarkStart w:id="1323" w:name="_Toc185671005"/>
      <w:bookmarkStart w:id="1324" w:name="_Toc310581022"/>
      <w:bookmarkStart w:id="1325" w:name="_Toc262051563"/>
      <w:bookmarkStart w:id="1326" w:name="_Toc5554_WPSOffice_Level2"/>
      <w:bookmarkStart w:id="1327" w:name="_Toc262050889"/>
      <w:bookmarkStart w:id="1328" w:name="_Toc184809572"/>
      <w:bookmarkStart w:id="1329" w:name="_Toc26955"/>
      <w:bookmarkStart w:id="1330" w:name="_Toc304963620"/>
      <w:bookmarkStart w:id="1331" w:name="_Toc304833253"/>
      <w:bookmarkStart w:id="1332" w:name="_Toc135709137"/>
      <w:bookmarkStart w:id="1333" w:name="_Toc197251363"/>
      <w:bookmarkStart w:id="1334" w:name="_Toc304964463"/>
      <w:bookmarkStart w:id="1335" w:name="_Toc17769"/>
      <w:bookmarkStart w:id="1336" w:name="_Toc196018455"/>
      <w:r>
        <w:rPr>
          <w:rFonts w:ascii="Times New Roman" w:hAnsi="Times New Roman"/>
          <w:color w:val="000000"/>
        </w:rPr>
        <w:t>14</w:t>
      </w:r>
      <w:r>
        <w:rPr>
          <w:rFonts w:ascii="Times New Roman" w:hAnsi="Times New Roman"/>
          <w:color w:val="000000"/>
          <w:lang w:val="zh-CN"/>
        </w:rPr>
        <w:t>.2 应急预案演练</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4"/>
        <w:spacing w:before="0" w:line="360" w:lineRule="auto"/>
        <w:ind w:firstLine="562"/>
        <w:rPr>
          <w:rFonts w:ascii="Times New Roman" w:hAnsi="Times New Roman"/>
        </w:rPr>
      </w:pPr>
      <w:bookmarkStart w:id="1337" w:name="_Toc3735"/>
      <w:bookmarkStart w:id="1338" w:name="_Toc25921_WPSOffice_Level3"/>
      <w:bookmarkStart w:id="1339" w:name="_Toc22974"/>
      <w:bookmarkStart w:id="1340" w:name="_Toc5417_WPSOffice_Level3"/>
      <w:bookmarkStart w:id="1341" w:name="_Toc272328359"/>
      <w:bookmarkStart w:id="1342" w:name="_Toc262051143"/>
      <w:bookmarkStart w:id="1343" w:name="_Toc262050890"/>
      <w:bookmarkStart w:id="1344" w:name="_Toc262051564"/>
      <w:bookmarkStart w:id="1345" w:name="_Toc262040300"/>
      <w:r>
        <w:rPr>
          <w:rFonts w:ascii="Times New Roman" w:hAnsi="Times New Roman"/>
        </w:rPr>
        <w:t>14.2.1 演练频次</w:t>
      </w:r>
      <w:bookmarkEnd w:id="1337"/>
      <w:bookmarkEnd w:id="1338"/>
      <w:bookmarkEnd w:id="1339"/>
      <w:bookmarkEnd w:id="1340"/>
      <w:bookmarkEnd w:id="1341"/>
    </w:p>
    <w:p>
      <w:pPr>
        <w:ind w:firstLine="480"/>
        <w:rPr>
          <w:color w:val="000000"/>
        </w:rPr>
      </w:pPr>
      <w:r>
        <w:rPr>
          <w:color w:val="000000"/>
        </w:rPr>
        <w:t>应急演练每年至少进行一次。</w:t>
      </w:r>
    </w:p>
    <w:p>
      <w:pPr>
        <w:pStyle w:val="4"/>
        <w:spacing w:before="0" w:line="360" w:lineRule="auto"/>
        <w:ind w:firstLine="562"/>
        <w:rPr>
          <w:rFonts w:ascii="Times New Roman" w:hAnsi="Times New Roman"/>
        </w:rPr>
      </w:pPr>
      <w:bookmarkStart w:id="1346" w:name="_Toc25456_WPSOffice_Level3"/>
      <w:bookmarkStart w:id="1347" w:name="_Toc20563_WPSOffice_Level3"/>
      <w:bookmarkStart w:id="1348" w:name="_Toc4572"/>
      <w:bookmarkStart w:id="1349" w:name="_Toc8446"/>
      <w:bookmarkStart w:id="1350" w:name="_Toc272328360"/>
      <w:r>
        <w:rPr>
          <w:rFonts w:ascii="Times New Roman" w:hAnsi="Times New Roman"/>
        </w:rPr>
        <w:t>14.2.2 演练要求</w:t>
      </w:r>
      <w:bookmarkEnd w:id="1346"/>
      <w:bookmarkEnd w:id="1347"/>
      <w:bookmarkEnd w:id="1348"/>
      <w:bookmarkEnd w:id="1349"/>
      <w:bookmarkEnd w:id="1350"/>
    </w:p>
    <w:p>
      <w:pPr>
        <w:ind w:firstLine="480"/>
        <w:rPr>
          <w:color w:val="000000"/>
        </w:rPr>
      </w:pPr>
      <w:r>
        <w:rPr>
          <w:color w:val="000000"/>
        </w:rPr>
        <w:t>每次演练应明确目的、内容；组织人对演练进行评价，发现问题提出相应的解决措施；安排人做好演练文字记录、图片音像资料；及时对预案进行修订完善。</w:t>
      </w:r>
    </w:p>
    <w:p>
      <w:pPr>
        <w:pStyle w:val="4"/>
        <w:spacing w:before="0" w:line="360" w:lineRule="auto"/>
        <w:ind w:firstLine="562"/>
        <w:rPr>
          <w:rFonts w:ascii="Times New Roman" w:hAnsi="Times New Roman"/>
        </w:rPr>
      </w:pPr>
      <w:bookmarkStart w:id="1351" w:name="_Toc22623_WPSOffice_Level3"/>
      <w:bookmarkStart w:id="1352" w:name="_Toc8548"/>
      <w:bookmarkStart w:id="1353" w:name="_Toc272328361"/>
      <w:bookmarkStart w:id="1354" w:name="_Toc29581"/>
      <w:bookmarkStart w:id="1355" w:name="_Toc26783_WPSOffice_Level3"/>
      <w:r>
        <w:rPr>
          <w:rFonts w:ascii="Times New Roman" w:hAnsi="Times New Roman"/>
        </w:rPr>
        <w:t>14.2.3 演练内容</w:t>
      </w:r>
      <w:bookmarkEnd w:id="1351"/>
      <w:bookmarkEnd w:id="1352"/>
      <w:bookmarkEnd w:id="1353"/>
      <w:bookmarkEnd w:id="1354"/>
      <w:bookmarkEnd w:id="1355"/>
    </w:p>
    <w:p>
      <w:pPr>
        <w:ind w:firstLine="480"/>
        <w:rPr>
          <w:color w:val="000000"/>
          <w:lang w:val="zh-CN"/>
        </w:rPr>
      </w:pPr>
      <w:bookmarkStart w:id="1356" w:name="_Toc304962982"/>
      <w:bookmarkStart w:id="1357" w:name="_Toc304833259"/>
      <w:bookmarkStart w:id="1358" w:name="_Toc304964469"/>
      <w:bookmarkStart w:id="1359" w:name="_Toc310581407"/>
      <w:bookmarkStart w:id="1360" w:name="_Toc310581028"/>
      <w:bookmarkStart w:id="1361" w:name="_Toc304963626"/>
      <w:bookmarkStart w:id="1362" w:name="_Toc339636892"/>
      <w:bookmarkStart w:id="1363" w:name="_Toc310581515"/>
      <w:r>
        <w:rPr>
          <w:color w:val="000000"/>
          <w:lang w:val="zh-CN"/>
        </w:rPr>
        <w:t>（1）现场综合实战演练：每年开展演练，根据应急救援预案中多项和全部应急响应功能的演练活动，对多个环节和功能进行检验，特别是对多个不同应急救援队伍之间的应急机制和联合应对能力的检验。通常包括事故的通报联络、人员疏散引导、现场抢险、伤员救护、事故善后处置等项目的综合演习。</w:t>
      </w:r>
    </w:p>
    <w:p>
      <w:pPr>
        <w:ind w:firstLine="480"/>
        <w:rPr>
          <w:color w:val="000000"/>
          <w:lang w:val="zh-CN"/>
        </w:rPr>
      </w:pPr>
      <w:r>
        <w:rPr>
          <w:color w:val="000000"/>
          <w:lang w:val="zh-CN"/>
        </w:rPr>
        <w:t>（2）企业现场处置演练：只涉及企业生产车间内突发环境事故的应急演练，企业可根据自己的生产需要定期开展，重点围绕甲烷和乙炔泄漏的演练，通常包括事故的通报联络、人员疏散引导、现场抢险、伤员救护、事故善后处置等项目的专项演习等。</w:t>
      </w:r>
    </w:p>
    <w:p>
      <w:pPr>
        <w:ind w:firstLine="480"/>
        <w:rPr>
          <w:color w:val="000000"/>
          <w:lang w:val="zh-CN"/>
        </w:rPr>
      </w:pPr>
      <w:r>
        <w:rPr>
          <w:color w:val="000000"/>
          <w:lang w:val="zh-CN"/>
        </w:rPr>
        <w:t>企业每年针对自身存在的情况，至少开展一次应急演练。</w:t>
      </w:r>
    </w:p>
    <w:p>
      <w:pPr>
        <w:pStyle w:val="2"/>
        <w:ind w:firstLine="602"/>
        <w:rPr>
          <w:rFonts w:ascii="Times New Roman" w:hAnsi="Times New Roman"/>
          <w:color w:val="000000"/>
          <w:lang w:val="zh-CN"/>
        </w:rPr>
      </w:pPr>
      <w:bookmarkStart w:id="1364" w:name="_Toc21178_WPSOffice_Level2"/>
      <w:bookmarkStart w:id="1365" w:name="_Toc24244_WPSOffice_Level2"/>
      <w:bookmarkStart w:id="1366" w:name="_Toc21207"/>
      <w:bookmarkStart w:id="1367" w:name="_Toc531529763"/>
      <w:bookmarkStart w:id="1368" w:name="_Toc32009"/>
      <w:bookmarkStart w:id="1369" w:name="_Toc13584"/>
      <w:r>
        <w:rPr>
          <w:rFonts w:ascii="Times New Roman" w:hAnsi="Times New Roman"/>
          <w:color w:val="000000"/>
        </w:rPr>
        <w:t>14</w:t>
      </w:r>
      <w:r>
        <w:rPr>
          <w:rFonts w:ascii="Times New Roman" w:hAnsi="Times New Roman"/>
          <w:color w:val="000000"/>
          <w:lang w:val="zh-CN"/>
        </w:rPr>
        <w:t>.3 应急预案修订</w:t>
      </w:r>
      <w:bookmarkEnd w:id="1364"/>
      <w:bookmarkEnd w:id="1365"/>
      <w:bookmarkEnd w:id="1366"/>
      <w:bookmarkEnd w:id="1367"/>
      <w:bookmarkEnd w:id="1368"/>
      <w:bookmarkEnd w:id="1369"/>
    </w:p>
    <w:p>
      <w:pPr>
        <w:ind w:firstLine="480"/>
        <w:rPr>
          <w:color w:val="000000"/>
        </w:rPr>
      </w:pPr>
      <w:r>
        <w:rPr>
          <w:color w:val="000000"/>
        </w:rPr>
        <w:t>1）应急预案编制修订小组每三年至少组织一次公司环境污染事故应急预案的修订，同时负责本预案的管理。</w:t>
      </w:r>
    </w:p>
    <w:p>
      <w:pPr>
        <w:ind w:firstLine="480"/>
        <w:rPr>
          <w:color w:val="000000"/>
        </w:rPr>
      </w:pPr>
      <w:r>
        <w:rPr>
          <w:color w:val="000000"/>
        </w:rPr>
        <w:t>2）因以下原因出现不符合项，应及时对预案进行修订、更新：</w:t>
      </w:r>
    </w:p>
    <w:p>
      <w:pPr>
        <w:ind w:firstLine="480"/>
        <w:rPr>
          <w:color w:val="000000"/>
        </w:rPr>
      </w:pPr>
      <w:r>
        <w:rPr>
          <w:color w:val="000000"/>
        </w:rPr>
        <w:t>（1）周围环境发生变化，形成新的风险源的；</w:t>
      </w:r>
    </w:p>
    <w:p>
      <w:pPr>
        <w:ind w:firstLine="480"/>
        <w:rPr>
          <w:color w:val="000000"/>
        </w:rPr>
      </w:pPr>
      <w:r>
        <w:rPr>
          <w:color w:val="000000"/>
        </w:rPr>
        <w:t>（2）因兼并、重组、转制等导致隶属关系、经营方式、法定代表人发生变化的；</w:t>
      </w:r>
    </w:p>
    <w:p>
      <w:pPr>
        <w:ind w:firstLine="480"/>
        <w:rPr>
          <w:color w:val="000000"/>
        </w:rPr>
      </w:pPr>
      <w:r>
        <w:rPr>
          <w:color w:val="000000"/>
        </w:rPr>
        <w:t>（3）应急组织指挥体系或者职责已经调整的；</w:t>
      </w:r>
    </w:p>
    <w:p>
      <w:pPr>
        <w:ind w:firstLine="480"/>
        <w:rPr>
          <w:color w:val="000000"/>
        </w:rPr>
      </w:pPr>
      <w:r>
        <w:rPr>
          <w:color w:val="000000"/>
        </w:rPr>
        <w:t>（4）新法律法规、标准的颁布实施、相关法律法规、标准的修订；</w:t>
      </w:r>
    </w:p>
    <w:p>
      <w:pPr>
        <w:ind w:firstLine="480"/>
        <w:rPr>
          <w:color w:val="000000"/>
        </w:rPr>
      </w:pPr>
      <w:r>
        <w:rPr>
          <w:color w:val="000000"/>
        </w:rPr>
        <w:t>（5）机构重大调整、工艺改革、关键设备更换或应急资源发生变化；</w:t>
      </w:r>
    </w:p>
    <w:p>
      <w:pPr>
        <w:ind w:firstLine="480"/>
        <w:rPr>
          <w:color w:val="000000"/>
        </w:rPr>
      </w:pPr>
      <w:r>
        <w:rPr>
          <w:color w:val="000000"/>
        </w:rPr>
        <w:t>（6）预案演练或潜在事件和突发事故应急处置中发现不符合项；</w:t>
      </w:r>
    </w:p>
    <w:p>
      <w:pPr>
        <w:ind w:firstLine="480"/>
        <w:rPr>
          <w:color w:val="000000"/>
        </w:rPr>
      </w:pPr>
      <w:r>
        <w:rPr>
          <w:color w:val="000000"/>
        </w:rPr>
        <w:t>（7）应急救援预案管理部门要求修订的。</w:t>
      </w:r>
    </w:p>
    <w:p>
      <w:pPr>
        <w:ind w:firstLine="480"/>
        <w:rPr>
          <w:color w:val="000000"/>
        </w:rPr>
      </w:pPr>
      <w:r>
        <w:rPr>
          <w:color w:val="000000"/>
        </w:rPr>
        <w:t>3）为确保预案的科学性、合理性和可操作性，在预案编制修订小组内部评审。</w:t>
      </w:r>
    </w:p>
    <w:p>
      <w:pPr>
        <w:pStyle w:val="2"/>
        <w:ind w:firstLine="602"/>
        <w:rPr>
          <w:rFonts w:ascii="Times New Roman" w:hAnsi="Times New Roman"/>
          <w:color w:val="000000"/>
          <w:lang w:val="zh-CN"/>
        </w:rPr>
      </w:pPr>
      <w:bookmarkStart w:id="1370" w:name="_Toc12007_WPSOffice_Level2"/>
      <w:bookmarkStart w:id="1371" w:name="_Toc11995"/>
      <w:bookmarkStart w:id="1372" w:name="_Toc31201"/>
      <w:bookmarkStart w:id="1373" w:name="_Toc407102990"/>
      <w:bookmarkStart w:id="1374" w:name="_Toc18530"/>
      <w:bookmarkStart w:id="1375" w:name="_Toc3105"/>
      <w:bookmarkStart w:id="1376" w:name="_Toc6541"/>
      <w:bookmarkStart w:id="1377" w:name="_Toc531529764"/>
      <w:bookmarkStart w:id="1378" w:name="_Toc4048"/>
      <w:bookmarkStart w:id="1379" w:name="_Toc12207"/>
      <w:bookmarkStart w:id="1380" w:name="_Toc28499"/>
      <w:bookmarkStart w:id="1381" w:name="_Toc440374528"/>
      <w:bookmarkStart w:id="1382" w:name="_Toc31511"/>
      <w:bookmarkStart w:id="1383" w:name="_Toc18223"/>
      <w:bookmarkStart w:id="1384" w:name="_Toc408663891"/>
      <w:bookmarkStart w:id="1385" w:name="_Toc25921_WPSOffice_Level2"/>
      <w:bookmarkStart w:id="1386" w:name="_Toc30131"/>
      <w:bookmarkStart w:id="1387" w:name="_Toc25273"/>
      <w:bookmarkStart w:id="1388" w:name="_Toc10495"/>
      <w:bookmarkStart w:id="1389" w:name="_Toc31141"/>
      <w:r>
        <w:rPr>
          <w:rFonts w:ascii="Times New Roman" w:hAnsi="Times New Roman"/>
          <w:color w:val="000000"/>
        </w:rPr>
        <w:t>14</w:t>
      </w:r>
      <w:r>
        <w:rPr>
          <w:rFonts w:ascii="Times New Roman" w:hAnsi="Times New Roman"/>
          <w:color w:val="000000"/>
          <w:lang w:val="zh-CN"/>
        </w:rPr>
        <w:t>.4</w:t>
      </w:r>
      <w:r>
        <w:rPr>
          <w:rFonts w:ascii="Times New Roman" w:hAnsi="Times New Roman"/>
          <w:color w:val="000000"/>
        </w:rPr>
        <w:t xml:space="preserve"> </w:t>
      </w:r>
      <w:r>
        <w:rPr>
          <w:rFonts w:ascii="Times New Roman" w:hAnsi="Times New Roman"/>
          <w:color w:val="000000"/>
          <w:lang w:val="zh-CN"/>
        </w:rPr>
        <w:t>预案的实施</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Pr>
          <w:rFonts w:ascii="Times New Roman" w:hAnsi="Times New Roman"/>
          <w:color w:val="000000"/>
          <w:lang w:val="zh-CN"/>
        </w:rPr>
        <w:t xml:space="preserve"> </w:t>
      </w:r>
    </w:p>
    <w:p>
      <w:pPr>
        <w:ind w:firstLine="480"/>
        <w:rPr>
          <w:color w:val="000000"/>
        </w:rPr>
      </w:pPr>
      <w:r>
        <w:rPr>
          <w:color w:val="000000"/>
        </w:rPr>
        <w:t>本预案自签发之日起正式开始实施。</w:t>
      </w:r>
    </w:p>
    <w:p>
      <w:pPr>
        <w:ind w:firstLine="480"/>
        <w:rPr>
          <w:color w:val="000000"/>
        </w:rPr>
      </w:pPr>
    </w:p>
    <w:p>
      <w:pPr>
        <w:adjustRightInd w:val="0"/>
        <w:snapToGrid w:val="0"/>
        <w:ind w:firstLine="562"/>
        <w:rPr>
          <w:b/>
          <w:bCs/>
          <w:color w:val="000000"/>
          <w:kern w:val="0"/>
          <w:sz w:val="28"/>
          <w:szCs w:val="28"/>
        </w:rPr>
      </w:pPr>
    </w:p>
    <w:p>
      <w:pPr>
        <w:adjustRightInd w:val="0"/>
        <w:snapToGrid w:val="0"/>
        <w:ind w:firstLine="562"/>
        <w:rPr>
          <w:b/>
          <w:bCs/>
          <w:color w:val="000000"/>
          <w:kern w:val="0"/>
          <w:sz w:val="28"/>
          <w:szCs w:val="28"/>
        </w:rPr>
      </w:pPr>
    </w:p>
    <w:p>
      <w:pPr>
        <w:adjustRightInd w:val="0"/>
        <w:snapToGrid w:val="0"/>
        <w:ind w:firstLine="0" w:firstLineChars="0"/>
        <w:rPr>
          <w:color w:val="000000"/>
          <w:szCs w:val="24"/>
        </w:rPr>
      </w:pPr>
    </w:p>
    <w:bookmarkEnd w:id="1356"/>
    <w:bookmarkEnd w:id="1357"/>
    <w:bookmarkEnd w:id="1358"/>
    <w:bookmarkEnd w:id="1359"/>
    <w:bookmarkEnd w:id="1360"/>
    <w:bookmarkEnd w:id="1361"/>
    <w:bookmarkEnd w:id="1362"/>
    <w:bookmarkEnd w:id="1363"/>
    <w:p>
      <w:pPr>
        <w:pStyle w:val="19"/>
        <w:spacing w:before="0" w:beforeAutospacing="0" w:after="0" w:afterAutospacing="0"/>
        <w:ind w:firstLine="482"/>
        <w:jc w:val="both"/>
        <w:rPr>
          <w:rFonts w:ascii="Times New Roman" w:hAnsi="Times New Roman" w:cs="Times New Roman"/>
          <w:b/>
        </w:rPr>
      </w:pPr>
    </w:p>
    <w:p>
      <w:pPr>
        <w:pStyle w:val="19"/>
        <w:spacing w:before="0" w:beforeAutospacing="0" w:after="0" w:afterAutospacing="0"/>
        <w:ind w:firstLine="482"/>
        <w:jc w:val="both"/>
        <w:rPr>
          <w:rFonts w:ascii="Times New Roman" w:hAnsi="Times New Roman" w:cs="Times New Roman"/>
          <w:b/>
        </w:rPr>
      </w:pPr>
    </w:p>
    <w:p>
      <w:pPr>
        <w:pStyle w:val="19"/>
        <w:spacing w:before="0" w:beforeAutospacing="0" w:after="0" w:afterAutospacing="0"/>
        <w:ind w:firstLine="482"/>
        <w:jc w:val="both"/>
        <w:rPr>
          <w:rFonts w:ascii="Times New Roman" w:hAnsi="Times New Roman" w:cs="Times New Roman"/>
          <w:b/>
        </w:rPr>
      </w:pPr>
      <w:r>
        <w:rPr>
          <w:rFonts w:ascii="Times New Roman" w:hAnsi="Times New Roman" w:cs="Times New Roman"/>
          <w:b/>
        </w:rPr>
        <w:br w:type="page"/>
      </w:r>
    </w:p>
    <w:p>
      <w:pPr>
        <w:pStyle w:val="3"/>
        <w:ind w:firstLine="482"/>
        <w:jc w:val="both"/>
        <w:rPr>
          <w:rFonts w:ascii="Times New Roman" w:hAnsi="Times New Roman" w:eastAsia="宋体"/>
          <w:color w:val="000000"/>
        </w:rPr>
      </w:pPr>
      <w:bookmarkStart w:id="1390" w:name="_Toc15519"/>
      <w:bookmarkStart w:id="1391" w:name="_Toc24770"/>
      <w:bookmarkStart w:id="1392" w:name="_Toc8943_WPSOffice_Level1"/>
      <w:bookmarkStart w:id="1393" w:name="_Toc3660"/>
      <w:bookmarkStart w:id="1394" w:name="_Toc29844_WPSOffice_Level1"/>
      <w:r>
        <w:rPr>
          <w:rFonts w:ascii="Times New Roman" w:hAnsi="Times New Roman" w:eastAsia="宋体"/>
          <w:color w:val="000000"/>
        </w:rPr>
        <w:t>附件：</w:t>
      </w:r>
      <w:bookmarkEnd w:id="1390"/>
      <w:bookmarkEnd w:id="1391"/>
      <w:bookmarkEnd w:id="1392"/>
      <w:bookmarkEnd w:id="1393"/>
      <w:bookmarkEnd w:id="1394"/>
    </w:p>
    <w:p>
      <w:pPr>
        <w:pStyle w:val="2"/>
        <w:ind w:firstLine="720" w:firstLineChars="300"/>
        <w:rPr>
          <w:rFonts w:hint="eastAsia" w:ascii="Times New Roman" w:hAnsi="Times New Roman"/>
          <w:b w:val="0"/>
          <w:color w:val="000000"/>
          <w:sz w:val="24"/>
          <w:szCs w:val="24"/>
        </w:rPr>
      </w:pPr>
      <w:bookmarkStart w:id="1395" w:name="_Toc13666_WPSOffice_Level1"/>
      <w:bookmarkStart w:id="1396" w:name="_Toc18881"/>
      <w:bookmarkStart w:id="1397" w:name="_Toc15935_WPSOffice_Level1"/>
      <w:r>
        <w:rPr>
          <w:rFonts w:hint="eastAsia" w:ascii="Times New Roman" w:hAnsi="Times New Roman"/>
          <w:b w:val="0"/>
          <w:color w:val="000000"/>
          <w:sz w:val="24"/>
          <w:szCs w:val="24"/>
        </w:rPr>
        <w:t>附件1：应急救援物资一览表</w:t>
      </w:r>
      <w:bookmarkEnd w:id="1395"/>
      <w:bookmarkEnd w:id="1396"/>
      <w:bookmarkEnd w:id="1397"/>
    </w:p>
    <w:p>
      <w:pPr>
        <w:pStyle w:val="2"/>
        <w:ind w:firstLine="720" w:firstLineChars="300"/>
        <w:rPr>
          <w:rFonts w:ascii="Times New Roman" w:hAnsi="Times New Roman"/>
          <w:b w:val="0"/>
          <w:color w:val="000000"/>
          <w:sz w:val="24"/>
          <w:szCs w:val="24"/>
        </w:rPr>
      </w:pPr>
      <w:bookmarkStart w:id="1398" w:name="_Toc18303"/>
      <w:bookmarkStart w:id="1399" w:name="_Toc27727_WPSOffice_Level1"/>
      <w:r>
        <w:rPr>
          <w:rFonts w:ascii="Times New Roman" w:hAnsi="Times New Roman"/>
          <w:b w:val="0"/>
          <w:color w:val="000000"/>
          <w:sz w:val="24"/>
          <w:szCs w:val="24"/>
        </w:rPr>
        <w:t>附件2：外部应急救援单位及联系电话</w:t>
      </w:r>
      <w:bookmarkEnd w:id="1398"/>
      <w:bookmarkEnd w:id="1399"/>
    </w:p>
    <w:p>
      <w:pPr>
        <w:pStyle w:val="2"/>
        <w:ind w:firstLine="720" w:firstLineChars="300"/>
        <w:rPr>
          <w:rFonts w:hint="eastAsia" w:ascii="Times New Roman" w:hAnsi="Times New Roman"/>
          <w:b w:val="0"/>
          <w:bCs w:val="0"/>
          <w:color w:val="000000"/>
          <w:sz w:val="24"/>
          <w:szCs w:val="24"/>
        </w:rPr>
      </w:pPr>
      <w:bookmarkStart w:id="1400" w:name="_Toc30404"/>
      <w:r>
        <w:rPr>
          <w:rFonts w:hint="eastAsia" w:ascii="Times New Roman" w:hAnsi="Times New Roman"/>
          <w:b w:val="0"/>
          <w:bCs w:val="0"/>
          <w:color w:val="000000"/>
          <w:sz w:val="24"/>
          <w:szCs w:val="24"/>
        </w:rPr>
        <w:t>附件3：应急处置卡</w:t>
      </w:r>
      <w:bookmarkEnd w:id="1400"/>
    </w:p>
    <w:p>
      <w:pPr>
        <w:pStyle w:val="2"/>
        <w:ind w:firstLine="720" w:firstLineChars="300"/>
        <w:rPr>
          <w:rFonts w:ascii="Times New Roman" w:hAnsi="Times New Roman"/>
          <w:b w:val="0"/>
          <w:bCs w:val="0"/>
          <w:color w:val="000000"/>
          <w:sz w:val="24"/>
          <w:szCs w:val="24"/>
        </w:rPr>
      </w:pPr>
      <w:bookmarkStart w:id="1401" w:name="_Toc26534"/>
      <w:bookmarkStart w:id="1402" w:name="_Toc2892"/>
      <w:r>
        <w:rPr>
          <w:rFonts w:ascii="Times New Roman" w:hAnsi="Times New Roman"/>
          <w:b w:val="0"/>
          <w:bCs w:val="0"/>
          <w:color w:val="000000"/>
          <w:sz w:val="24"/>
          <w:szCs w:val="24"/>
        </w:rPr>
        <w:t>附件</w:t>
      </w:r>
      <w:r>
        <w:rPr>
          <w:rFonts w:hint="eastAsia" w:ascii="Times New Roman" w:hAnsi="Times New Roman"/>
          <w:b w:val="0"/>
          <w:bCs w:val="0"/>
          <w:color w:val="000000"/>
          <w:sz w:val="24"/>
          <w:szCs w:val="24"/>
        </w:rPr>
        <w:t>4</w:t>
      </w:r>
      <w:r>
        <w:rPr>
          <w:rFonts w:ascii="Times New Roman" w:hAnsi="Times New Roman"/>
          <w:b w:val="0"/>
          <w:bCs w:val="0"/>
          <w:color w:val="000000"/>
          <w:sz w:val="24"/>
          <w:szCs w:val="24"/>
        </w:rPr>
        <w:t>：突发环境事件应急预案评审意见表</w:t>
      </w:r>
      <w:bookmarkEnd w:id="1401"/>
      <w:bookmarkEnd w:id="1402"/>
    </w:p>
    <w:p>
      <w:pPr>
        <w:pStyle w:val="2"/>
        <w:ind w:firstLine="720" w:firstLineChars="300"/>
        <w:rPr>
          <w:rFonts w:ascii="Times New Roman" w:hAnsi="Times New Roman"/>
          <w:b w:val="0"/>
          <w:bCs w:val="0"/>
          <w:color w:val="000000"/>
          <w:sz w:val="24"/>
          <w:szCs w:val="24"/>
        </w:rPr>
      </w:pPr>
      <w:bookmarkStart w:id="1403" w:name="_Toc27016"/>
      <w:bookmarkStart w:id="1404" w:name="_Toc28770"/>
      <w:r>
        <w:rPr>
          <w:rFonts w:ascii="Times New Roman" w:hAnsi="Times New Roman"/>
          <w:b w:val="0"/>
          <w:bCs w:val="0"/>
          <w:color w:val="000000"/>
          <w:sz w:val="24"/>
          <w:szCs w:val="24"/>
        </w:rPr>
        <w:t>附件</w:t>
      </w:r>
      <w:r>
        <w:rPr>
          <w:rFonts w:hint="eastAsia" w:ascii="Times New Roman" w:hAnsi="Times New Roman"/>
          <w:b w:val="0"/>
          <w:bCs w:val="0"/>
          <w:color w:val="000000"/>
          <w:sz w:val="24"/>
          <w:szCs w:val="24"/>
        </w:rPr>
        <w:t>5</w:t>
      </w:r>
      <w:r>
        <w:rPr>
          <w:rFonts w:ascii="Times New Roman" w:hAnsi="Times New Roman"/>
          <w:b w:val="0"/>
          <w:bCs w:val="0"/>
          <w:color w:val="000000"/>
          <w:sz w:val="24"/>
          <w:szCs w:val="24"/>
        </w:rPr>
        <w:t>：突发环境事件应急预案评审签到表</w:t>
      </w:r>
      <w:bookmarkEnd w:id="1403"/>
      <w:bookmarkEnd w:id="1404"/>
    </w:p>
    <w:p>
      <w:pPr>
        <w:ind w:firstLine="480"/>
      </w:pPr>
    </w:p>
    <w:p>
      <w:pPr>
        <w:pStyle w:val="19"/>
        <w:tabs>
          <w:tab w:val="left" w:pos="795"/>
        </w:tabs>
        <w:spacing w:before="0" w:beforeAutospacing="0" w:after="0" w:afterAutospacing="0"/>
        <w:ind w:firstLine="840" w:firstLineChars="400"/>
        <w:jc w:val="both"/>
        <w:rPr>
          <w:rFonts w:ascii="Times New Roman" w:hAnsi="Times New Roman" w:cs="Times New Roman"/>
        </w:rPr>
      </w:pPr>
    </w:p>
    <w:bookmarkEnd w:id="1342"/>
    <w:bookmarkEnd w:id="1343"/>
    <w:bookmarkEnd w:id="1344"/>
    <w:bookmarkEnd w:id="1345"/>
    <w:p>
      <w:pPr>
        <w:pStyle w:val="3"/>
        <w:ind w:firstLine="482"/>
        <w:jc w:val="both"/>
        <w:rPr>
          <w:rFonts w:ascii="Times New Roman" w:hAnsi="Times New Roman" w:eastAsia="宋体"/>
          <w:color w:val="000000"/>
        </w:rPr>
      </w:pPr>
      <w:bookmarkStart w:id="1405" w:name="_Toc13075_WPSOffice_Level1"/>
      <w:bookmarkStart w:id="1406" w:name="_Toc18620_WPSOffice_Level1"/>
      <w:bookmarkStart w:id="1407" w:name="_Toc26361"/>
      <w:bookmarkStart w:id="1408" w:name="_Toc7786"/>
      <w:bookmarkStart w:id="1409" w:name="_Toc32182"/>
      <w:bookmarkStart w:id="1410" w:name="_Toc426964727"/>
      <w:bookmarkStart w:id="1411" w:name="_Toc294036920"/>
      <w:bookmarkStart w:id="1412" w:name="_Toc295468022"/>
      <w:r>
        <w:rPr>
          <w:rFonts w:ascii="Times New Roman" w:hAnsi="Times New Roman" w:eastAsia="宋体"/>
          <w:color w:val="000000"/>
        </w:rPr>
        <w:t>附图：</w:t>
      </w:r>
      <w:bookmarkEnd w:id="1405"/>
      <w:bookmarkEnd w:id="1406"/>
      <w:bookmarkEnd w:id="1407"/>
      <w:bookmarkEnd w:id="1408"/>
      <w:bookmarkEnd w:id="1409"/>
    </w:p>
    <w:bookmarkEnd w:id="1410"/>
    <w:bookmarkEnd w:id="1411"/>
    <w:bookmarkEnd w:id="1412"/>
    <w:p>
      <w:pPr>
        <w:pStyle w:val="2"/>
        <w:ind w:firstLine="720" w:firstLineChars="300"/>
        <w:rPr>
          <w:rFonts w:ascii="Times New Roman" w:hAnsi="Times New Roman"/>
          <w:b w:val="0"/>
          <w:color w:val="000000"/>
          <w:sz w:val="24"/>
          <w:szCs w:val="24"/>
        </w:rPr>
      </w:pPr>
      <w:bookmarkStart w:id="1413" w:name="_Toc12839_WPSOffice_Level1"/>
      <w:bookmarkStart w:id="1414" w:name="_Toc17303_WPSOffice_Level1"/>
      <w:bookmarkStart w:id="1415" w:name="_Toc531529380"/>
      <w:bookmarkStart w:id="1416" w:name="_Toc17835_WPSOffice_Level1"/>
      <w:bookmarkStart w:id="1417" w:name="_Toc28461_WPSOffice_Level1"/>
      <w:bookmarkStart w:id="1418" w:name="_Toc11210"/>
      <w:bookmarkStart w:id="1419" w:name="_Toc7089_WPSOffice_Level1"/>
      <w:bookmarkStart w:id="1420" w:name="_Toc22500"/>
      <w:bookmarkStart w:id="1421" w:name="_Toc15320_WPSOffice_Level1"/>
      <w:bookmarkStart w:id="1422" w:name="_Toc11070"/>
      <w:bookmarkStart w:id="1423" w:name="_Toc26114_WPSOffice_Level1"/>
      <w:bookmarkStart w:id="1424" w:name="_Toc395_WPSOffice_Level1"/>
      <w:bookmarkStart w:id="1425" w:name="_Toc10702"/>
      <w:bookmarkStart w:id="1426" w:name="_Toc12042"/>
      <w:bookmarkStart w:id="1427" w:name="_Toc10134"/>
      <w:bookmarkStart w:id="1428" w:name="_Toc22251"/>
      <w:bookmarkStart w:id="1429" w:name="_Toc28712"/>
      <w:bookmarkStart w:id="1430" w:name="_Toc8121658"/>
      <w:bookmarkStart w:id="1431" w:name="_Toc11030_WPSOffice_Level1"/>
      <w:bookmarkStart w:id="1432" w:name="_Toc22537_WPSOffice_Level1"/>
      <w:bookmarkStart w:id="1433" w:name="_Toc16106_WPSOffice_Level1"/>
      <w:bookmarkStart w:id="1434" w:name="_Toc30937"/>
      <w:bookmarkStart w:id="1435" w:name="_Toc29453"/>
      <w:bookmarkStart w:id="1436" w:name="_Toc9198_WPSOffice_Level1"/>
      <w:bookmarkStart w:id="1437" w:name="_Toc31227_WPSOffice_Level1"/>
      <w:bookmarkStart w:id="1438" w:name="_Toc4980"/>
      <w:bookmarkStart w:id="1439" w:name="_Toc29201"/>
      <w:r>
        <w:rPr>
          <w:rFonts w:ascii="Times New Roman" w:hAnsi="Times New Roman"/>
          <w:b w:val="0"/>
          <w:color w:val="000000"/>
          <w:sz w:val="24"/>
          <w:szCs w:val="24"/>
        </w:rPr>
        <w:t>附图1：</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Pr>
          <w:rFonts w:ascii="Times New Roman" w:hAnsi="Times New Roman"/>
          <w:b w:val="0"/>
          <w:color w:val="000000"/>
          <w:sz w:val="24"/>
          <w:szCs w:val="24"/>
        </w:rPr>
        <w:t>地理位置图</w:t>
      </w:r>
      <w:bookmarkEnd w:id="1439"/>
    </w:p>
    <w:p>
      <w:pPr>
        <w:pStyle w:val="2"/>
        <w:ind w:firstLine="720" w:firstLineChars="300"/>
        <w:rPr>
          <w:rFonts w:ascii="Times New Roman" w:hAnsi="Times New Roman"/>
          <w:b w:val="0"/>
          <w:color w:val="000000"/>
          <w:sz w:val="24"/>
          <w:szCs w:val="24"/>
        </w:rPr>
      </w:pPr>
      <w:bookmarkStart w:id="1440" w:name="_Toc18215"/>
      <w:r>
        <w:rPr>
          <w:rFonts w:ascii="Times New Roman" w:hAnsi="Times New Roman"/>
          <w:b w:val="0"/>
          <w:color w:val="000000"/>
          <w:sz w:val="24"/>
          <w:szCs w:val="24"/>
        </w:rPr>
        <w:t>附图2：厂区平面布置图</w:t>
      </w:r>
      <w:bookmarkEnd w:id="1440"/>
    </w:p>
    <w:p>
      <w:pPr>
        <w:pStyle w:val="2"/>
        <w:ind w:firstLine="720" w:firstLineChars="300"/>
        <w:rPr>
          <w:rFonts w:ascii="Times New Roman" w:hAnsi="Times New Roman"/>
          <w:b w:val="0"/>
          <w:color w:val="000000"/>
          <w:sz w:val="24"/>
          <w:szCs w:val="24"/>
        </w:rPr>
      </w:pPr>
      <w:bookmarkStart w:id="1441" w:name="_Toc23518"/>
      <w:r>
        <w:rPr>
          <w:rFonts w:ascii="Times New Roman" w:hAnsi="Times New Roman"/>
          <w:b w:val="0"/>
          <w:color w:val="000000"/>
          <w:sz w:val="24"/>
          <w:szCs w:val="24"/>
        </w:rPr>
        <w:t>附图3：大气环境风险受体图</w:t>
      </w:r>
      <w:bookmarkEnd w:id="1441"/>
    </w:p>
    <w:p>
      <w:pPr>
        <w:pStyle w:val="2"/>
        <w:ind w:firstLine="720" w:firstLineChars="300"/>
        <w:rPr>
          <w:rFonts w:ascii="Times New Roman" w:hAnsi="Times New Roman"/>
          <w:b w:val="0"/>
          <w:color w:val="000000"/>
          <w:sz w:val="24"/>
          <w:szCs w:val="24"/>
        </w:rPr>
      </w:pPr>
      <w:bookmarkStart w:id="1442" w:name="_Toc8833"/>
      <w:r>
        <w:rPr>
          <w:rFonts w:ascii="Times New Roman" w:hAnsi="Times New Roman"/>
          <w:b w:val="0"/>
          <w:color w:val="000000"/>
          <w:sz w:val="24"/>
          <w:szCs w:val="24"/>
        </w:rPr>
        <w:t>附图4：水环境风险受体图</w:t>
      </w:r>
      <w:bookmarkEnd w:id="1442"/>
    </w:p>
    <w:p>
      <w:pPr>
        <w:pStyle w:val="2"/>
        <w:ind w:firstLine="720" w:firstLineChars="300"/>
        <w:rPr>
          <w:rFonts w:ascii="Times New Roman" w:hAnsi="Times New Roman"/>
          <w:b w:val="0"/>
          <w:color w:val="000000"/>
          <w:sz w:val="24"/>
          <w:szCs w:val="24"/>
        </w:rPr>
      </w:pPr>
      <w:bookmarkStart w:id="1443" w:name="_Toc15924"/>
      <w:r>
        <w:rPr>
          <w:rFonts w:ascii="Times New Roman" w:hAnsi="Times New Roman"/>
          <w:b w:val="0"/>
          <w:color w:val="000000"/>
          <w:sz w:val="24"/>
          <w:szCs w:val="24"/>
        </w:rPr>
        <w:t>附图5：应急疏散线路图</w:t>
      </w:r>
      <w:bookmarkEnd w:id="1443"/>
    </w:p>
    <w:p>
      <w:pPr>
        <w:pStyle w:val="2"/>
        <w:ind w:firstLine="720" w:firstLineChars="300"/>
        <w:rPr>
          <w:rFonts w:ascii="Times New Roman" w:hAnsi="Times New Roman"/>
          <w:b w:val="0"/>
          <w:color w:val="000000"/>
          <w:sz w:val="24"/>
          <w:szCs w:val="24"/>
        </w:rPr>
      </w:pPr>
      <w:bookmarkStart w:id="1444" w:name="_Toc25206"/>
      <w:r>
        <w:rPr>
          <w:rFonts w:ascii="Times New Roman" w:hAnsi="Times New Roman"/>
          <w:b w:val="0"/>
          <w:color w:val="000000"/>
          <w:sz w:val="24"/>
          <w:szCs w:val="24"/>
        </w:rPr>
        <w:t>附图6：风险单元及应急物资分布图</w:t>
      </w:r>
      <w:bookmarkEnd w:id="1444"/>
    </w:p>
    <w:p>
      <w:pPr>
        <w:pStyle w:val="2"/>
        <w:ind w:firstLine="720" w:firstLineChars="300"/>
        <w:rPr>
          <w:rFonts w:ascii="Times New Roman" w:hAnsi="Times New Roman"/>
          <w:b w:val="0"/>
          <w:color w:val="000000"/>
          <w:sz w:val="24"/>
          <w:szCs w:val="24"/>
        </w:rPr>
      </w:pPr>
      <w:bookmarkStart w:id="1445" w:name="_Toc32011"/>
      <w:r>
        <w:rPr>
          <w:rFonts w:ascii="Times New Roman" w:hAnsi="Times New Roman"/>
          <w:b w:val="0"/>
          <w:color w:val="000000"/>
          <w:sz w:val="24"/>
          <w:szCs w:val="24"/>
        </w:rPr>
        <w:t>附图7：雨水与污水管网图</w:t>
      </w:r>
      <w:bookmarkEnd w:id="1445"/>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numPr>
          <w:ilvl w:val="0"/>
          <w:numId w:val="8"/>
        </w:numPr>
        <w:ind w:leftChars="0"/>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自行监测方案</w:t>
      </w:r>
    </w:p>
    <w:p>
      <w:pPr>
        <w:ind w:firstLine="0" w:firstLineChars="0"/>
        <w:rPr>
          <w:rFonts w:hint="eastAsia" w:ascii="楷体_GB2312" w:hAnsi="楷体_GB2312" w:eastAsia="楷体_GB2312" w:cs="楷体_GB2312"/>
          <w:b/>
          <w:sz w:val="30"/>
          <w:szCs w:val="30"/>
        </w:rPr>
      </w:pPr>
    </w:p>
    <w:p>
      <w:pPr>
        <w:ind w:firstLine="0" w:firstLineChars="0"/>
        <w:jc w:val="center"/>
        <w:rPr>
          <w:rFonts w:hint="eastAsia" w:ascii="楷体_GB2312" w:hAnsi="楷体_GB2312" w:eastAsia="楷体_GB2312" w:cs="楷体_GB2312"/>
          <w:b/>
          <w:sz w:val="52"/>
          <w:szCs w:val="52"/>
        </w:rPr>
      </w:pPr>
      <w:r>
        <w:rPr>
          <w:rFonts w:hint="eastAsia" w:ascii="楷体_GB2312" w:hAnsi="楷体_GB2312" w:eastAsia="楷体_GB2312" w:cs="楷体_GB2312"/>
          <w:b/>
          <w:sz w:val="52"/>
          <w:szCs w:val="52"/>
        </w:rPr>
        <w:t>重庆永荣青鹏水泥有限公司</w:t>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自行监测方案</w:t>
      </w:r>
    </w:p>
    <w:p>
      <w:pPr>
        <w:ind w:firstLine="0" w:firstLineChars="0"/>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drawing>
          <wp:inline distT="0" distB="0" distL="114300" distR="114300">
            <wp:extent cx="5932805" cy="3775075"/>
            <wp:effectExtent l="0" t="0" r="10795" b="15875"/>
            <wp:docPr id="604" name="图片 11" descr="psbCA1FC6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1" descr="psbCA1FC6DR"/>
                    <pic:cNvPicPr>
                      <a:picLocks noChangeAspect="1"/>
                    </pic:cNvPicPr>
                  </pic:nvPicPr>
                  <pic:blipFill>
                    <a:blip r:embed="rId67"/>
                    <a:stretch>
                      <a:fillRect/>
                    </a:stretch>
                  </pic:blipFill>
                  <pic:spPr>
                    <a:xfrm>
                      <a:off x="0" y="0"/>
                      <a:ext cx="5932805" cy="3775075"/>
                    </a:xfrm>
                    <a:prstGeom prst="rect">
                      <a:avLst/>
                    </a:prstGeom>
                    <a:noFill/>
                    <a:ln>
                      <a:noFill/>
                    </a:ln>
                  </pic:spPr>
                </pic:pic>
              </a:graphicData>
            </a:graphic>
          </wp:inline>
        </w:drawing>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编制单位：重庆永荣青鹏水泥有限公司</w:t>
      </w:r>
    </w:p>
    <w:p>
      <w:pPr>
        <w:ind w:firstLine="0" w:firstLineChars="0"/>
        <w:jc w:val="center"/>
        <w:rPr>
          <w:rFonts w:hint="eastAsia" w:ascii="楷体_GB2312" w:hAnsi="楷体_GB2312" w:eastAsia="楷体_GB2312" w:cs="楷体_GB2312"/>
          <w:b/>
          <w:sz w:val="44"/>
          <w:szCs w:val="44"/>
        </w:rPr>
      </w:pPr>
      <w:r>
        <w:rPr>
          <w:rFonts w:hint="eastAsia" w:ascii="楷体_GB2312" w:hAnsi="楷体_GB2312" w:eastAsia="楷体_GB2312" w:cs="楷体_GB2312"/>
          <w:b/>
          <w:sz w:val="44"/>
          <w:szCs w:val="44"/>
        </w:rPr>
        <w:t>编制时间：20</w:t>
      </w:r>
      <w:r>
        <w:rPr>
          <w:rFonts w:hint="eastAsia" w:ascii="楷体_GB2312" w:hAnsi="楷体_GB2312" w:eastAsia="楷体_GB2312" w:cs="楷体_GB2312"/>
          <w:b/>
          <w:sz w:val="44"/>
          <w:szCs w:val="44"/>
          <w:lang w:val="en-US" w:eastAsia="zh-CN"/>
        </w:rPr>
        <w:t>20</w:t>
      </w:r>
      <w:bookmarkStart w:id="1462" w:name="_GoBack"/>
      <w:bookmarkEnd w:id="1462"/>
      <w:r>
        <w:rPr>
          <w:rFonts w:hint="eastAsia" w:ascii="楷体_GB2312" w:hAnsi="楷体_GB2312" w:eastAsia="楷体_GB2312" w:cs="楷体_GB2312"/>
          <w:b/>
          <w:sz w:val="44"/>
          <w:szCs w:val="44"/>
        </w:rPr>
        <w:t>年</w:t>
      </w:r>
      <w:r>
        <w:rPr>
          <w:rFonts w:hint="eastAsia" w:ascii="楷体_GB2312" w:hAnsi="楷体_GB2312" w:eastAsia="楷体_GB2312" w:cs="楷体_GB2312"/>
          <w:b/>
          <w:sz w:val="44"/>
          <w:szCs w:val="44"/>
          <w:lang w:val="en-US" w:eastAsia="zh-CN"/>
        </w:rPr>
        <w:t>1</w:t>
      </w:r>
      <w:r>
        <w:rPr>
          <w:rFonts w:hint="eastAsia" w:ascii="楷体_GB2312" w:hAnsi="楷体_GB2312" w:eastAsia="楷体_GB2312" w:cs="楷体_GB2312"/>
          <w:b/>
          <w:sz w:val="44"/>
          <w:szCs w:val="44"/>
        </w:rPr>
        <w:t>月13日</w:t>
      </w:r>
    </w:p>
    <w:p>
      <w:pPr>
        <w:ind w:firstLine="0" w:firstLineChars="0"/>
        <w:rPr>
          <w:rFonts w:hint="eastAsia" w:ascii="楷体_GB2312" w:hAnsi="楷体_GB2312" w:eastAsia="楷体_GB2312" w:cs="楷体_GB2312"/>
        </w:rPr>
      </w:pPr>
    </w:p>
    <w:p>
      <w:pPr>
        <w:ind w:firstLine="672"/>
        <w:jc w:val="center"/>
        <w:rPr>
          <w:rFonts w:hint="eastAsia" w:ascii="楷体_GB2312" w:hAnsi="楷体_GB2312" w:eastAsia="楷体_GB2312" w:cs="楷体_GB2312"/>
          <w:b/>
          <w:sz w:val="32"/>
          <w:szCs w:val="32"/>
        </w:rPr>
      </w:pPr>
    </w:p>
    <w:p>
      <w:pPr>
        <w:ind w:firstLine="672"/>
        <w:jc w:val="center"/>
        <w:rPr>
          <w:rFonts w:hint="eastAsia" w:ascii="楷体_GB2312" w:hAnsi="楷体_GB2312" w:eastAsia="楷体_GB2312" w:cs="楷体_GB2312"/>
          <w:b/>
          <w:sz w:val="32"/>
          <w:szCs w:val="32"/>
        </w:rPr>
      </w:pPr>
    </w:p>
    <w:p>
      <w:pPr>
        <w:ind w:firstLine="672"/>
        <w:jc w:val="center"/>
        <w:rPr>
          <w:rFonts w:hint="eastAsia" w:ascii="楷体_GB2312" w:hAnsi="楷体_GB2312" w:eastAsia="楷体_GB2312" w:cs="楷体_GB2312"/>
          <w:b/>
          <w:sz w:val="32"/>
          <w:szCs w:val="32"/>
        </w:rPr>
      </w:pPr>
    </w:p>
    <w:p>
      <w:pPr>
        <w:jc w:val="center"/>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目   录</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一、基本情况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1 </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二、手工监测点位、指标和频次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2</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三、自动监测点位、指标和频次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2</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四、质量控制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3</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五、监测方法、依据和仪器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5</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六、评价标准、依据及其限值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6</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七、监测点位及厂区平面图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7</w:t>
      </w:r>
    </w:p>
    <w:p>
      <w:pPr>
        <w:ind w:firstLine="588"/>
        <w:rPr>
          <w:rFonts w:hint="eastAsia" w:ascii="楷体_GB2312" w:hAnsi="楷体_GB2312" w:eastAsia="楷体_GB2312" w:cs="楷体_GB2312"/>
          <w:b/>
          <w:szCs w:val="28"/>
        </w:rPr>
      </w:pPr>
      <w:r>
        <w:rPr>
          <w:rFonts w:hint="eastAsia" w:ascii="楷体_GB2312" w:hAnsi="楷体_GB2312" w:eastAsia="楷体_GB2312" w:cs="楷体_GB2312"/>
          <w:b/>
          <w:szCs w:val="28"/>
        </w:rPr>
        <w:t xml:space="preserve">八、监测结果公开时限  </w:t>
      </w:r>
      <w:r>
        <w:rPr>
          <w:rFonts w:hint="eastAsia" w:ascii="楷体_GB2312" w:hAnsi="楷体_GB2312" w:eastAsia="楷体_GB2312" w:cs="楷体_GB2312"/>
          <w:b/>
          <w:szCs w:val="28"/>
          <w:u w:val="single"/>
        </w:rPr>
        <w:t xml:space="preserve">                           </w:t>
      </w:r>
      <w:r>
        <w:rPr>
          <w:rFonts w:hint="eastAsia" w:ascii="楷体_GB2312" w:hAnsi="楷体_GB2312" w:eastAsia="楷体_GB2312" w:cs="楷体_GB2312"/>
          <w:b/>
          <w:szCs w:val="28"/>
        </w:rPr>
        <w:t xml:space="preserve">  9</w:t>
      </w:r>
    </w:p>
    <w:p>
      <w:pPr>
        <w:ind w:firstLine="504"/>
        <w:rPr>
          <w:rFonts w:hint="eastAsia" w:ascii="楷体_GB2312" w:hAnsi="楷体_GB2312" w:eastAsia="楷体_GB2312" w:cs="楷体_GB2312"/>
          <w:b/>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ind w:firstLine="504"/>
        <w:rPr>
          <w:rFonts w:hint="eastAsia" w:ascii="楷体_GB2312" w:hAnsi="楷体_GB2312" w:eastAsia="楷体_GB2312" w:cs="楷体_GB2312"/>
          <w:sz w:val="24"/>
        </w:rPr>
      </w:pPr>
    </w:p>
    <w:p>
      <w:pPr>
        <w:pStyle w:val="3"/>
        <w:numPr>
          <w:ilvl w:val="0"/>
          <w:numId w:val="9"/>
        </w:numPr>
        <w:rPr>
          <w:rFonts w:hint="eastAsia"/>
        </w:rPr>
      </w:pPr>
      <w:r>
        <w:rPr>
          <w:rFonts w:hint="eastAsia" w:ascii="楷体_GB2312" w:hAnsi="楷体_GB2312" w:eastAsia="楷体_GB2312" w:cs="楷体_GB2312"/>
        </w:rPr>
        <w:t>基本情况</w:t>
      </w:r>
    </w:p>
    <w:p>
      <w:pPr>
        <w:rPr>
          <w:rFonts w:hint="eastAsia"/>
        </w:rPr>
      </w:pPr>
    </w:p>
    <w:p>
      <w:pPr>
        <w:ind w:firstLine="588"/>
        <w:rPr>
          <w:rFonts w:hint="eastAsia" w:ascii="楷体_GB2312" w:hAnsi="楷体_GB2312" w:eastAsia="楷体_GB2312" w:cs="楷体_GB2312"/>
        </w:rPr>
      </w:pPr>
      <w:r>
        <w:rPr>
          <w:rFonts w:hint="eastAsia" w:ascii="楷体_GB2312" w:hAnsi="楷体_GB2312" w:eastAsia="楷体_GB2312" w:cs="楷体_GB2312"/>
        </w:rPr>
        <w:t>根据《国家重点监控企业自行监测及信息公开办法（试行）》（以下简称“自行监测办法”）和《“十二五”主要污染物总量减排监测办法》要求，</w:t>
      </w:r>
      <w:r>
        <w:rPr>
          <w:rFonts w:hint="eastAsia" w:ascii="楷体_GB2312" w:hAnsi="楷体_GB2312" w:eastAsia="楷体_GB2312" w:cs="楷体_GB2312"/>
          <w:b/>
          <w:bCs/>
          <w:u w:val="single"/>
        </w:rPr>
        <w:t xml:space="preserve">   重庆永荣青鹏水泥有限公司</w:t>
      </w:r>
      <w:r>
        <w:rPr>
          <w:rFonts w:hint="eastAsia" w:ascii="楷体_GB2312" w:hAnsi="楷体_GB2312" w:eastAsia="楷体_GB2312" w:cs="楷体_GB2312"/>
        </w:rPr>
        <w:t>为规范自行监测及信息公开行为，自觉履行法定义务和社会责任，特制定本监测方案。</w:t>
      </w:r>
      <w:bookmarkStart w:id="1446" w:name="_Toc367099332"/>
    </w:p>
    <w:bookmarkEnd w:id="1446"/>
    <w:p>
      <w:pPr>
        <w:ind w:firstLine="588"/>
        <w:rPr>
          <w:rFonts w:hint="eastAsia" w:ascii="楷体_GB2312" w:hAnsi="楷体_GB2312" w:eastAsia="楷体_GB2312" w:cs="楷体_GB2312"/>
        </w:rPr>
      </w:pPr>
      <w:r>
        <w:rPr>
          <w:rFonts w:hint="eastAsia" w:ascii="楷体_GB2312" w:hAnsi="楷体_GB2312" w:eastAsia="楷体_GB2312" w:cs="楷体_GB2312"/>
        </w:rPr>
        <w:t>企业名称、法人代表、所属行业、地理位置（企业厂区中心经纬度）、多年主导风向、产品、原辅材料、生产周期、联系人及方式。企业基础信息见表1-3-1。</w:t>
      </w:r>
    </w:p>
    <w:p>
      <w:pPr>
        <w:ind w:firstLine="0" w:firstLineChars="0"/>
        <w:jc w:val="center"/>
        <w:rPr>
          <w:rFonts w:hint="eastAsia" w:ascii="楷体_GB2312" w:hAnsi="楷体_GB2312" w:eastAsia="楷体_GB2312" w:cs="楷体_GB2312"/>
          <w:b/>
          <w:bCs/>
          <w:sz w:val="24"/>
          <w:szCs w:val="22"/>
        </w:rPr>
      </w:pPr>
      <w:r>
        <w:rPr>
          <w:rFonts w:hint="eastAsia" w:ascii="楷体_GB2312" w:hAnsi="楷体_GB2312" w:eastAsia="楷体_GB2312" w:cs="楷体_GB2312"/>
          <w:b/>
          <w:bCs/>
          <w:sz w:val="24"/>
          <w:szCs w:val="22"/>
        </w:rPr>
        <w:t>表1-3-1 企业基础信息表</w:t>
      </w:r>
    </w:p>
    <w:tbl>
      <w:tblPr>
        <w:tblStyle w:val="20"/>
        <w:tblpPr w:leftFromText="11" w:rightFromText="11" w:topFromText="6" w:bottomFromText="6" w:vertAnchor="text" w:horzAnchor="page" w:tblpX="1435" w:tblpY="29"/>
        <w:tblOverlap w:val="never"/>
        <w:tblW w:w="9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542"/>
        <w:gridCol w:w="834"/>
        <w:gridCol w:w="1395"/>
        <w:gridCol w:w="1171"/>
        <w:gridCol w:w="900"/>
        <w:gridCol w:w="1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企业名称（所属集团）</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Cs w:val="28"/>
              </w:rPr>
              <w:t>重庆永荣青鹏水泥有限公司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法人代表</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张安俊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建设地点</w:t>
            </w:r>
          </w:p>
        </w:tc>
        <w:tc>
          <w:tcPr>
            <w:tcW w:w="4942" w:type="dxa"/>
            <w:gridSpan w:val="4"/>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kern w:val="0"/>
                <w:sz w:val="24"/>
              </w:rPr>
              <w:t>重庆沙坪坝区青木关镇关口村20号</w:t>
            </w:r>
          </w:p>
        </w:tc>
        <w:tc>
          <w:tcPr>
            <w:tcW w:w="90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邮编</w:t>
            </w:r>
          </w:p>
        </w:tc>
        <w:tc>
          <w:tcPr>
            <w:tcW w:w="1555"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401334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中心经纬度</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 xml:space="preserve">中心经度 </w:t>
            </w:r>
            <w:r>
              <w:rPr>
                <w:rFonts w:hint="eastAsia" w:ascii="楷体_GB2312" w:hAnsi="楷体_GB2312" w:eastAsia="楷体_GB2312" w:cs="楷体_GB2312"/>
                <w:sz w:val="24"/>
                <w:u w:val="single"/>
              </w:rPr>
              <w:t xml:space="preserve">106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29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11 </w:t>
            </w:r>
            <w:r>
              <w:rPr>
                <w:rFonts w:hint="eastAsia" w:ascii="楷体_GB2312" w:hAnsi="楷体_GB2312" w:eastAsia="楷体_GB2312" w:cs="楷体_GB2312"/>
                <w:sz w:val="24"/>
              </w:rPr>
              <w:t xml:space="preserve">″      </w:t>
            </w:r>
            <w:r>
              <w:rPr>
                <w:rFonts w:hint="eastAsia" w:ascii="楷体_GB2312" w:hAnsi="楷体_GB2312" w:eastAsia="楷体_GB2312" w:cs="楷体_GB2312"/>
                <w:color w:val="000000"/>
                <w:sz w:val="24"/>
              </w:rPr>
              <w:t>中心纬度</w:t>
            </w:r>
            <w:r>
              <w:rPr>
                <w:rFonts w:hint="eastAsia" w:ascii="楷体_GB2312" w:hAnsi="楷体_GB2312" w:eastAsia="楷体_GB2312" w:cs="楷体_GB2312"/>
                <w:sz w:val="24"/>
                <w:u w:val="single"/>
              </w:rPr>
              <w:t xml:space="preserve"> 29 </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26</w:t>
            </w:r>
            <w:r>
              <w:rPr>
                <w:rFonts w:hint="eastAsia" w:ascii="楷体_GB2312" w:hAnsi="楷体_GB2312" w:eastAsia="楷体_GB2312" w:cs="楷体_GB2312"/>
                <w:sz w:val="24"/>
              </w:rPr>
              <w:t>′</w:t>
            </w:r>
            <w:r>
              <w:rPr>
                <w:rFonts w:hint="eastAsia" w:ascii="楷体_GB2312" w:hAnsi="楷体_GB2312" w:eastAsia="楷体_GB2312" w:cs="楷体_GB2312"/>
                <w:sz w:val="24"/>
                <w:u w:val="single"/>
              </w:rPr>
              <w:t xml:space="preserve"> 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vMerge w:val="restart"/>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联系人</w:t>
            </w:r>
          </w:p>
        </w:tc>
        <w:tc>
          <w:tcPr>
            <w:tcW w:w="2376" w:type="dxa"/>
            <w:gridSpan w:val="2"/>
            <w:vMerge w:val="restart"/>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陈  鑫</w:t>
            </w:r>
          </w:p>
        </w:tc>
        <w:tc>
          <w:tcPr>
            <w:tcW w:w="2566" w:type="dxa"/>
            <w:gridSpan w:val="2"/>
            <w:vMerge w:val="restart"/>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联系电话</w:t>
            </w:r>
          </w:p>
        </w:tc>
        <w:tc>
          <w:tcPr>
            <w:tcW w:w="2455" w:type="dxa"/>
            <w:gridSpan w:val="2"/>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座机：65606198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vMerge w:val="continue"/>
            <w:noWrap w:val="0"/>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376" w:type="dxa"/>
            <w:gridSpan w:val="2"/>
            <w:vMerge w:val="continue"/>
            <w:noWrap w:val="0"/>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566" w:type="dxa"/>
            <w:gridSpan w:val="2"/>
            <w:vMerge w:val="continue"/>
            <w:noWrap w:val="0"/>
            <w:vAlign w:val="center"/>
          </w:tcPr>
          <w:p>
            <w:pPr>
              <w:spacing w:line="240" w:lineRule="auto"/>
              <w:ind w:firstLine="0" w:firstLineChars="0"/>
              <w:jc w:val="center"/>
              <w:rPr>
                <w:rFonts w:hint="eastAsia" w:ascii="楷体_GB2312" w:hAnsi="楷体_GB2312" w:eastAsia="楷体_GB2312" w:cs="楷体_GB2312"/>
                <w:color w:val="000000"/>
                <w:sz w:val="24"/>
              </w:rPr>
            </w:pPr>
          </w:p>
        </w:tc>
        <w:tc>
          <w:tcPr>
            <w:tcW w:w="2455" w:type="dxa"/>
            <w:gridSpan w:val="2"/>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手机：13883080738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所属行业</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国控类型</w:t>
            </w:r>
          </w:p>
        </w:tc>
        <w:tc>
          <w:tcPr>
            <w:tcW w:w="7397" w:type="dxa"/>
            <w:gridSpan w:val="6"/>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rPr>
              <w:t xml:space="preserve">□废水 </w:t>
            </w: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rPr>
              <w:t>废气 □重金属 □污水处理厂  □其它</w:t>
            </w:r>
            <w:r>
              <w:rPr>
                <w:rFonts w:hint="eastAsia" w:ascii="楷体_GB2312" w:hAnsi="楷体_GB2312" w:eastAsia="楷体_GB2312" w:cs="楷体_GB2312"/>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主要产品</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设计（实际）生产能力</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水泥100万吨、孰料75万吨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企业职工数</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生产周期</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300天/年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企业年产值</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48095万元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建厂时间</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环评时间</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2010年11月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验收时间</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2015年8月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自行监测类型</w:t>
            </w:r>
          </w:p>
        </w:tc>
        <w:tc>
          <w:tcPr>
            <w:tcW w:w="7397" w:type="dxa"/>
            <w:gridSpan w:val="6"/>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rPr>
              <w:t>□</w:t>
            </w:r>
            <w:r>
              <w:rPr>
                <w:rFonts w:hint="eastAsia" w:ascii="楷体_GB2312" w:hAnsi="楷体_GB2312" w:eastAsia="楷体_GB2312" w:cs="楷体_GB2312"/>
                <w:color w:val="000000"/>
                <w:sz w:val="24"/>
              </w:rPr>
              <w:t>废水</w:t>
            </w: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 xml:space="preserve">有组织废气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无组织废气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厂界噪声 </w:t>
            </w:r>
          </w:p>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rPr>
              <w:t>□</w:t>
            </w:r>
            <w:r>
              <w:rPr>
                <w:rFonts w:hint="eastAsia" w:ascii="楷体_GB2312" w:hAnsi="楷体_GB2312" w:eastAsia="楷体_GB2312" w:cs="楷体_GB2312"/>
                <w:color w:val="000000"/>
                <w:sz w:val="24"/>
              </w:rPr>
              <w:t>周边环境水</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周边环境空气 </w:t>
            </w:r>
            <w:r>
              <w:rPr>
                <w:rFonts w:hint="eastAsia" w:ascii="楷体_GB2312" w:hAnsi="楷体_GB2312" w:eastAsia="楷体_GB2312" w:cs="楷体_GB2312"/>
              </w:rPr>
              <w:t>□</w:t>
            </w:r>
            <w:r>
              <w:rPr>
                <w:rFonts w:hint="eastAsia" w:ascii="楷体_GB2312" w:hAnsi="楷体_GB2312" w:eastAsia="楷体_GB2312" w:cs="楷体_GB2312"/>
                <w:color w:val="000000"/>
                <w:sz w:val="24"/>
              </w:rPr>
              <w:t xml:space="preserve">周边环境噪声 </w:t>
            </w:r>
            <w:r>
              <w:rPr>
                <w:rFonts w:hint="eastAsia" w:ascii="楷体_GB2312" w:hAnsi="楷体_GB2312" w:eastAsia="楷体_GB2312" w:cs="楷体_GB2312"/>
              </w:rPr>
              <w:t>□</w:t>
            </w:r>
            <w:r>
              <w:rPr>
                <w:rFonts w:hint="eastAsia" w:ascii="楷体_GB2312" w:hAnsi="楷体_GB2312" w:eastAsia="楷体_GB2312" w:cs="楷体_GB2312"/>
                <w:color w:val="000000"/>
                <w:sz w:val="24"/>
              </w:rPr>
              <w:t>周边环境土壤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自行监测方式</w:t>
            </w:r>
          </w:p>
        </w:tc>
        <w:tc>
          <w:tcPr>
            <w:tcW w:w="7397" w:type="dxa"/>
            <w:gridSpan w:val="6"/>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 xml:space="preserve">自测  </w:t>
            </w:r>
            <w:r>
              <w:rPr>
                <w:rFonts w:hint="eastAsia" w:ascii="楷体_GB2312" w:hAnsi="楷体_GB2312" w:eastAsia="楷体_GB2312" w:cs="楷体_GB2312"/>
              </w:rPr>
              <w:t>□第三方，</w:t>
            </w:r>
            <w:r>
              <w:rPr>
                <w:rFonts w:hint="eastAsia" w:ascii="楷体_GB2312" w:hAnsi="楷体_GB2312" w:eastAsia="楷体_GB2312" w:cs="楷体_GB2312"/>
                <w:u w:val="single"/>
              </w:rPr>
              <w:t xml:space="preserve"> （第三方公章全称）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160" w:type="dxa"/>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是否安装自动监测设备</w:t>
            </w:r>
          </w:p>
        </w:tc>
        <w:tc>
          <w:tcPr>
            <w:tcW w:w="1542" w:type="dxa"/>
            <w:noWrap w:val="0"/>
            <w:vAlign w:val="center"/>
          </w:tcPr>
          <w:p>
            <w:pPr>
              <w:spacing w:line="240" w:lineRule="auto"/>
              <w:ind w:firstLine="0" w:firstLineChars="0"/>
              <w:rPr>
                <w:rFonts w:hint="eastAsia" w:ascii="楷体_GB2312" w:hAnsi="楷体_GB2312" w:eastAsia="楷体_GB2312" w:cs="楷体_GB2312"/>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rPr>
              <w:t xml:space="preserve">是 □否 </w:t>
            </w:r>
          </w:p>
        </w:tc>
        <w:tc>
          <w:tcPr>
            <w:tcW w:w="2229" w:type="dxa"/>
            <w:gridSpan w:val="2"/>
            <w:noWrap w:val="0"/>
            <w:vAlign w:val="center"/>
          </w:tcPr>
          <w:p>
            <w:pPr>
              <w:spacing w:line="240" w:lineRule="auto"/>
              <w:ind w:firstLine="0" w:firstLineChars="0"/>
              <w:rPr>
                <w:rFonts w:hint="eastAsia" w:ascii="楷体_GB2312" w:hAnsi="楷体_GB2312" w:eastAsia="楷体_GB2312" w:cs="楷体_GB2312"/>
              </w:rPr>
            </w:pPr>
            <w:r>
              <w:rPr>
                <w:rFonts w:hint="eastAsia" w:ascii="楷体_GB2312" w:hAnsi="楷体_GB2312" w:eastAsia="楷体_GB2312" w:cs="楷体_GB2312"/>
              </w:rPr>
              <w:t>自动监测设备类型和监测项目</w:t>
            </w:r>
          </w:p>
        </w:tc>
        <w:tc>
          <w:tcPr>
            <w:tcW w:w="3626" w:type="dxa"/>
            <w:gridSpan w:val="3"/>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b/>
                <w:sz w:val="30"/>
                <w:szCs w:val="30"/>
              </w:rPr>
              <w:fldChar w:fldCharType="begin"/>
            </w:r>
            <w:r>
              <w:rPr>
                <w:rFonts w:hint="eastAsia" w:ascii="楷体_GB2312" w:hAnsi="楷体_GB2312" w:eastAsia="楷体_GB2312" w:cs="楷体_GB2312"/>
                <w:b/>
                <w:sz w:val="30"/>
                <w:szCs w:val="30"/>
              </w:rPr>
              <w:instrText xml:space="preserve"> eq \o\ac(□,</w:instrText>
            </w:r>
            <w:r>
              <w:rPr>
                <w:rFonts w:hint="eastAsia" w:ascii="楷体_GB2312" w:hAnsi="楷体_GB2312" w:eastAsia="楷体_GB2312" w:cs="楷体_GB2312"/>
                <w:b/>
                <w:position w:val="2"/>
                <w:sz w:val="30"/>
                <w:szCs w:val="30"/>
              </w:rPr>
              <w:instrText xml:space="preserve">√</w:instrText>
            </w:r>
            <w:r>
              <w:rPr>
                <w:rFonts w:hint="eastAsia" w:ascii="楷体_GB2312" w:hAnsi="楷体_GB2312" w:eastAsia="楷体_GB2312" w:cs="楷体_GB2312"/>
                <w:b/>
                <w:sz w:val="30"/>
                <w:szCs w:val="30"/>
              </w:rPr>
              <w:instrText xml:space="preserve">)</w:instrText>
            </w:r>
            <w:r>
              <w:rPr>
                <w:rFonts w:hint="eastAsia" w:ascii="楷体_GB2312" w:hAnsi="楷体_GB2312" w:eastAsia="楷体_GB2312" w:cs="楷体_GB2312"/>
                <w:b/>
                <w:sz w:val="30"/>
                <w:szCs w:val="30"/>
              </w:rPr>
              <w:fldChar w:fldCharType="end"/>
            </w:r>
            <w:r>
              <w:rPr>
                <w:rFonts w:hint="eastAsia" w:ascii="楷体_GB2312" w:hAnsi="楷体_GB2312" w:eastAsia="楷体_GB2312" w:cs="楷体_GB2312"/>
                <w:color w:val="000000"/>
                <w:sz w:val="24"/>
              </w:rPr>
              <w:t>废气，监测设备：岛津：NSA-3080</w:t>
            </w:r>
          </w:p>
          <w:p>
            <w:pPr>
              <w:spacing w:line="240" w:lineRule="auto"/>
              <w:ind w:firstLine="0" w:firstLineChars="0"/>
              <w:rPr>
                <w:rFonts w:hint="eastAsia" w:ascii="楷体_GB2312" w:hAnsi="楷体_GB2312" w:eastAsia="楷体_GB2312" w:cs="楷体_GB2312"/>
                <w:color w:val="000000"/>
                <w:sz w:val="24"/>
                <w:vertAlign w:val="subscript"/>
              </w:rPr>
            </w:pPr>
            <w:r>
              <w:rPr>
                <w:rFonts w:hint="eastAsia" w:ascii="楷体_GB2312" w:hAnsi="楷体_GB2312" w:eastAsia="楷体_GB2312" w:cs="楷体_GB2312"/>
                <w:color w:val="000000"/>
                <w:sz w:val="24"/>
              </w:rPr>
              <w:t>监测项目： NOX、颗粒物、SO</w:t>
            </w:r>
            <w:r>
              <w:rPr>
                <w:rFonts w:hint="eastAsia" w:ascii="楷体_GB2312" w:hAnsi="楷体_GB2312" w:eastAsia="楷体_GB2312" w:cs="楷体_GB2312"/>
                <w:color w:val="000000"/>
                <w:sz w:val="24"/>
                <w:vertAlign w:val="subscript"/>
              </w:rPr>
              <w:t>2</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trPr>
        <w:tc>
          <w:tcPr>
            <w:tcW w:w="2160"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周边环境情况</w:t>
            </w:r>
          </w:p>
        </w:tc>
        <w:tc>
          <w:tcPr>
            <w:tcW w:w="1542" w:type="dxa"/>
            <w:tcBorders>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方位</w:t>
            </w:r>
          </w:p>
        </w:tc>
        <w:tc>
          <w:tcPr>
            <w:tcW w:w="2229" w:type="dxa"/>
            <w:gridSpan w:val="2"/>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距场界距离（米）</w:t>
            </w:r>
          </w:p>
        </w:tc>
        <w:tc>
          <w:tcPr>
            <w:tcW w:w="3626" w:type="dxa"/>
            <w:gridSpan w:val="3"/>
            <w:tcBorders>
              <w:left w:val="single" w:color="auto" w:sz="4" w:space="0"/>
              <w:bottom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名称</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trPr>
        <w:tc>
          <w:tcPr>
            <w:tcW w:w="2160" w:type="dxa"/>
            <w:vMerge w:val="continue"/>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东</w:t>
            </w:r>
          </w:p>
        </w:tc>
        <w:tc>
          <w:tcPr>
            <w:tcW w:w="2229" w:type="dxa"/>
            <w:gridSpan w:val="2"/>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1200</w:t>
            </w:r>
          </w:p>
        </w:tc>
        <w:tc>
          <w:tcPr>
            <w:tcW w:w="3626" w:type="dxa"/>
            <w:gridSpan w:val="3"/>
            <w:tcBorders>
              <w:left w:val="single" w:color="auto" w:sz="4" w:space="0"/>
              <w:bottom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福里树村居民点</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trPr>
        <w:tc>
          <w:tcPr>
            <w:tcW w:w="2160" w:type="dxa"/>
            <w:vMerge w:val="continue"/>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南</w:t>
            </w:r>
          </w:p>
        </w:tc>
        <w:tc>
          <w:tcPr>
            <w:tcW w:w="222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20</w:t>
            </w:r>
          </w:p>
        </w:tc>
        <w:tc>
          <w:tcPr>
            <w:tcW w:w="3626" w:type="dxa"/>
            <w:gridSpan w:val="3"/>
            <w:tcBorders>
              <w:top w:val="single" w:color="auto" w:sz="4" w:space="0"/>
              <w:left w:val="single" w:color="auto" w:sz="4" w:space="0"/>
              <w:bottom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关口村</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trPr>
        <w:tc>
          <w:tcPr>
            <w:tcW w:w="2160" w:type="dxa"/>
            <w:vMerge w:val="continue"/>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西</w:t>
            </w:r>
          </w:p>
        </w:tc>
        <w:tc>
          <w:tcPr>
            <w:tcW w:w="222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170</w:t>
            </w:r>
          </w:p>
        </w:tc>
        <w:tc>
          <w:tcPr>
            <w:tcW w:w="3626" w:type="dxa"/>
            <w:gridSpan w:val="3"/>
            <w:tcBorders>
              <w:top w:val="single" w:color="auto" w:sz="4" w:space="0"/>
              <w:left w:val="single" w:color="auto" w:sz="4" w:space="0"/>
              <w:bottom w:val="single" w:color="auto" w:sz="4" w:space="0"/>
            </w:tcBorders>
            <w:noWrap w:val="0"/>
            <w:vAlign w:val="center"/>
          </w:tcPr>
          <w:p>
            <w:pPr>
              <w:spacing w:line="460" w:lineRule="exact"/>
              <w:ind w:firstLine="504"/>
              <w:jc w:val="center"/>
              <w:rPr>
                <w:rFonts w:hint="eastAsia" w:ascii="楷体_GB2312" w:hAnsi="楷体_GB2312" w:eastAsia="楷体_GB2312" w:cs="楷体_GB2312"/>
                <w:color w:val="333333"/>
                <w:sz w:val="24"/>
              </w:rPr>
            </w:pPr>
            <w:r>
              <w:rPr>
                <w:rFonts w:hint="eastAsia" w:ascii="楷体_GB2312" w:hAnsi="楷体_GB2312" w:eastAsia="楷体_GB2312" w:cs="楷体_GB2312"/>
                <w:color w:val="333333"/>
                <w:sz w:val="24"/>
              </w:rPr>
              <w:t>重庆永荣青鹏水泥有限公司家属区</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97" w:hRule="exact"/>
        </w:trPr>
        <w:tc>
          <w:tcPr>
            <w:tcW w:w="2160" w:type="dxa"/>
            <w:vMerge w:val="continue"/>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542" w:type="dxa"/>
            <w:tcBorders>
              <w:top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北</w:t>
            </w:r>
          </w:p>
        </w:tc>
        <w:tc>
          <w:tcPr>
            <w:tcW w:w="222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1000</w:t>
            </w:r>
          </w:p>
        </w:tc>
        <w:tc>
          <w:tcPr>
            <w:tcW w:w="3626" w:type="dxa"/>
            <w:gridSpan w:val="3"/>
            <w:tcBorders>
              <w:top w:val="single" w:color="auto" w:sz="4" w:space="0"/>
              <w:left w:val="single" w:color="auto" w:sz="4" w:space="0"/>
              <w:bottom w:val="single" w:color="auto" w:sz="4" w:space="0"/>
            </w:tcBorders>
            <w:noWrap w:val="0"/>
            <w:vAlign w:val="center"/>
          </w:tcPr>
          <w:p>
            <w:pPr>
              <w:spacing w:line="460" w:lineRule="exact"/>
              <w:ind w:firstLine="504"/>
              <w:jc w:val="center"/>
              <w:rPr>
                <w:rFonts w:hint="eastAsia" w:ascii="楷体_GB2312" w:hAnsi="楷体_GB2312" w:eastAsia="楷体_GB2312" w:cs="楷体_GB2312"/>
                <w:color w:val="333333"/>
                <w:sz w:val="24"/>
              </w:rPr>
            </w:pPr>
            <w:r>
              <w:rPr>
                <w:rFonts w:hint="eastAsia" w:ascii="楷体_GB2312" w:hAnsi="楷体_GB2312" w:eastAsia="楷体_GB2312" w:cs="楷体_GB2312"/>
                <w:color w:val="333333"/>
                <w:sz w:val="24"/>
              </w:rPr>
              <w:t>青木关镇</w:t>
            </w:r>
          </w:p>
        </w:tc>
      </w:tr>
    </w:tbl>
    <w:p>
      <w:pPr>
        <w:spacing w:line="460" w:lineRule="exact"/>
        <w:ind w:firstLine="504"/>
        <w:rPr>
          <w:rFonts w:hint="eastAsia" w:ascii="楷体_GB2312" w:hAnsi="楷体_GB2312" w:eastAsia="楷体_GB2312" w:cs="楷体_GB2312"/>
          <w:kern w:val="0"/>
          <w:sz w:val="24"/>
          <w:highlight w:val="yellow"/>
        </w:rPr>
      </w:pPr>
    </w:p>
    <w:p>
      <w:pPr>
        <w:pStyle w:val="3"/>
        <w:rPr>
          <w:rFonts w:hint="eastAsia" w:ascii="楷体_GB2312" w:hAnsi="楷体_GB2312" w:eastAsia="楷体_GB2312" w:cs="楷体_GB2312"/>
        </w:rPr>
      </w:pPr>
      <w:bookmarkStart w:id="1447" w:name="_Toc373998365"/>
      <w:r>
        <w:rPr>
          <w:rFonts w:hint="eastAsia" w:ascii="楷体_GB2312" w:hAnsi="楷体_GB2312" w:eastAsia="楷体_GB2312" w:cs="楷体_GB2312"/>
        </w:rPr>
        <w:t>二、自行监测内容</w:t>
      </w:r>
      <w:bookmarkEnd w:id="1447"/>
    </w:p>
    <w:p>
      <w:pPr>
        <w:pStyle w:val="2"/>
        <w:rPr>
          <w:rFonts w:hint="eastAsia" w:ascii="楷体_GB2312" w:hAnsi="楷体_GB2312" w:eastAsia="楷体_GB2312" w:cs="楷体_GB2312"/>
        </w:rPr>
      </w:pPr>
      <w:bookmarkStart w:id="1448" w:name="_Toc373998366"/>
      <w:bookmarkStart w:id="1449" w:name="_Toc367099336"/>
      <w:r>
        <w:rPr>
          <w:rFonts w:hint="eastAsia" w:ascii="楷体_GB2312" w:hAnsi="楷体_GB2312" w:eastAsia="楷体_GB2312" w:cs="楷体_GB2312"/>
        </w:rPr>
        <w:t>2.1 污染源手工监测点位、指标和频次</w:t>
      </w:r>
      <w:bookmarkEnd w:id="1448"/>
    </w:p>
    <w:p>
      <w:pPr>
        <w:ind w:firstLine="588"/>
        <w:rPr>
          <w:rFonts w:hint="eastAsia" w:ascii="楷体_GB2312" w:hAnsi="楷体_GB2312" w:eastAsia="楷体_GB2312" w:cs="楷体_GB2312"/>
        </w:rPr>
      </w:pPr>
      <w:r>
        <w:rPr>
          <w:rFonts w:hint="eastAsia" w:ascii="楷体_GB2312" w:hAnsi="楷体_GB2312" w:eastAsia="楷体_GB2312" w:cs="楷体_GB2312"/>
        </w:rPr>
        <w:t>按照国家、地方污染物排放（控制）标准，结合行业特点和环评、验收资料以及排污许可证要求，我公司自行手工监测污染源废水、噪声，自动监测为废气监测点位、指标和频次见表2-1。</w:t>
      </w:r>
    </w:p>
    <w:p>
      <w:pPr>
        <w:pStyle w:val="2"/>
        <w:rPr>
          <w:rFonts w:hint="eastAsia" w:ascii="楷体_GB2312" w:hAnsi="楷体_GB2312" w:eastAsia="楷体_GB2312" w:cs="楷体_GB2312"/>
          <w:highlight w:val="yellow"/>
          <w:u w:val="single"/>
        </w:rPr>
      </w:pPr>
      <w:bookmarkStart w:id="1450" w:name="_Toc373998367"/>
      <w:r>
        <w:rPr>
          <w:rFonts w:hint="eastAsia" w:ascii="楷体_GB2312" w:hAnsi="楷体_GB2312" w:eastAsia="楷体_GB2312" w:cs="楷体_GB2312"/>
        </w:rPr>
        <w:t>2.2 污染源自动监测点位、指标和频次</w:t>
      </w:r>
      <w:bookmarkEnd w:id="1450"/>
    </w:p>
    <w:p>
      <w:pPr>
        <w:ind w:firstLine="588"/>
        <w:rPr>
          <w:rFonts w:hint="eastAsia" w:ascii="楷体_GB2312" w:hAnsi="楷体_GB2312" w:eastAsia="楷体_GB2312" w:cs="楷体_GB2312"/>
        </w:rPr>
      </w:pPr>
      <w:r>
        <w:rPr>
          <w:rFonts w:hint="eastAsia" w:ascii="楷体_GB2312" w:hAnsi="楷体_GB2312" w:eastAsia="楷体_GB2312" w:cs="楷体_GB2312"/>
          <w:b/>
          <w:bCs/>
        </w:rPr>
        <w:t>废水：</w:t>
      </w:r>
      <w:r>
        <w:rPr>
          <w:rFonts w:hint="eastAsia" w:ascii="楷体_GB2312" w:hAnsi="楷体_GB2312" w:eastAsia="楷体_GB2312" w:cs="楷体_GB2312"/>
        </w:rPr>
        <w:t>监测点位参照《国家重点监控企业自行监测及信息公开办法》(试行)，每月一次人工采样，分析出一个监测数据，由化验室保存并做好备案。</w:t>
      </w:r>
    </w:p>
    <w:p>
      <w:pPr>
        <w:ind w:firstLine="588"/>
        <w:rPr>
          <w:rFonts w:hint="eastAsia" w:ascii="楷体_GB2312" w:hAnsi="楷体_GB2312" w:eastAsia="楷体_GB2312" w:cs="楷体_GB2312"/>
        </w:rPr>
      </w:pPr>
      <w:r>
        <w:rPr>
          <w:rFonts w:hint="eastAsia" w:ascii="楷体_GB2312" w:hAnsi="楷体_GB2312" w:eastAsia="楷体_GB2312" w:cs="楷体_GB2312"/>
          <w:b/>
          <w:bCs/>
        </w:rPr>
        <w:t>废气：</w:t>
      </w:r>
      <w:r>
        <w:rPr>
          <w:rFonts w:hint="eastAsia" w:ascii="楷体_GB2312" w:hAnsi="楷体_GB2312" w:eastAsia="楷体_GB2312" w:cs="楷体_GB2312"/>
        </w:rPr>
        <w:t xml:space="preserve">监测点位参照《国家重点监控企业自行监测及信息公开办法（试行）》，每周连续自动监测，每七天更新一次监测数据. </w:t>
      </w:r>
    </w:p>
    <w:p>
      <w:pPr>
        <w:ind w:firstLine="588"/>
        <w:rPr>
          <w:rFonts w:hint="eastAsia" w:ascii="楷体_GB2312" w:hAnsi="楷体_GB2312" w:eastAsia="楷体_GB2312" w:cs="楷体_GB2312"/>
          <w:b/>
          <w:bCs/>
          <w:sz w:val="24"/>
        </w:rPr>
      </w:pPr>
      <w:r>
        <w:rPr>
          <w:rFonts w:hint="eastAsia" w:ascii="楷体_GB2312" w:hAnsi="楷体_GB2312" w:eastAsia="楷体_GB2312" w:cs="楷体_GB2312"/>
        </w:rPr>
        <w:t>我公司自动监测污染源废水、废气监测指标见表2-1。</w:t>
      </w:r>
    </w:p>
    <w:p>
      <w:pPr>
        <w:ind w:firstLine="0" w:firstLineChars="0"/>
        <w:rPr>
          <w:rFonts w:hint="eastAsia" w:ascii="楷体_GB2312" w:hAnsi="楷体_GB2312" w:eastAsia="楷体_GB2312" w:cs="楷体_GB2312"/>
          <w:b/>
          <w:bCs/>
          <w:sz w:val="24"/>
        </w:rPr>
      </w:pPr>
    </w:p>
    <w:p>
      <w:pPr>
        <w:ind w:firstLine="0" w:firstLineChars="0"/>
        <w:jc w:val="center"/>
        <w:rPr>
          <w:rFonts w:hint="eastAsia" w:ascii="楷体_GB2312" w:hAnsi="楷体_GB2312" w:eastAsia="楷体_GB2312" w:cs="楷体_GB2312"/>
          <w:b/>
          <w:bCs/>
          <w:sz w:val="24"/>
        </w:rPr>
      </w:pPr>
      <w:r>
        <w:rPr>
          <w:rFonts w:hint="eastAsia" w:ascii="楷体_GB2312" w:hAnsi="楷体_GB2312" w:eastAsia="楷体_GB2312" w:cs="楷体_GB2312"/>
          <w:b/>
          <w:bCs/>
          <w:sz w:val="24"/>
        </w:rPr>
        <w:t>表2-1  监测点位、指标和频次</w:t>
      </w:r>
    </w:p>
    <w:p>
      <w:pPr>
        <w:ind w:firstLine="0" w:firstLineChars="0"/>
        <w:rPr>
          <w:rFonts w:hint="eastAsia" w:ascii="楷体_GB2312" w:hAnsi="楷体_GB2312" w:eastAsia="楷体_GB2312" w:cs="楷体_GB2312"/>
          <w:sz w:val="24"/>
        </w:rPr>
      </w:pPr>
      <w:r>
        <w:rPr>
          <w:rFonts w:hint="eastAsia" w:ascii="楷体_GB2312" w:hAnsi="楷体_GB2312" w:eastAsia="楷体_GB2312" w:cs="楷体_GB2312"/>
          <w:b/>
          <w:bCs/>
          <w:sz w:val="24"/>
        </w:rPr>
        <w:t>1</w:t>
      </w:r>
      <w:r>
        <w:rPr>
          <w:rFonts w:hint="eastAsia" w:ascii="楷体_GB2312" w:hAnsi="楷体_GB2312" w:eastAsia="楷体_GB2312" w:cs="楷体_GB2312"/>
          <w:sz w:val="24"/>
        </w:rPr>
        <w:t>、手动监测点</w:t>
      </w:r>
    </w:p>
    <w:tbl>
      <w:tblPr>
        <w:tblStyle w:val="20"/>
        <w:tblW w:w="10781" w:type="dxa"/>
        <w:tblInd w:w="-7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800"/>
        <w:gridCol w:w="1980"/>
        <w:gridCol w:w="1260"/>
        <w:gridCol w:w="162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241"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80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98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监测点位</w:t>
            </w:r>
          </w:p>
        </w:tc>
        <w:tc>
          <w:tcPr>
            <w:tcW w:w="126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自动监测指标</w:t>
            </w:r>
          </w:p>
        </w:tc>
        <w:tc>
          <w:tcPr>
            <w:tcW w:w="162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手工监测指标</w:t>
            </w:r>
          </w:p>
        </w:tc>
        <w:tc>
          <w:tcPr>
            <w:tcW w:w="288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41"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废水</w:t>
            </w:r>
          </w:p>
        </w:tc>
        <w:tc>
          <w:tcPr>
            <w:tcW w:w="180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工业</w:t>
            </w:r>
            <w:r>
              <w:rPr>
                <w:rFonts w:hint="eastAsia" w:ascii="楷体_GB2312" w:hAnsi="楷体_GB2312" w:eastAsia="楷体_GB2312" w:cs="楷体_GB2312"/>
                <w:color w:val="FF0000"/>
                <w:sz w:val="21"/>
                <w:szCs w:val="21"/>
              </w:rPr>
              <w:t>废水</w:t>
            </w:r>
          </w:p>
        </w:tc>
        <w:tc>
          <w:tcPr>
            <w:tcW w:w="198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污水排口</w:t>
            </w:r>
          </w:p>
        </w:tc>
        <w:tc>
          <w:tcPr>
            <w:tcW w:w="126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楷体_GB2312" w:hAnsi="楷体_GB2312" w:eastAsia="楷体_GB2312" w:cs="楷体_GB2312"/>
                <w:color w:val="FF0000"/>
                <w:sz w:val="21"/>
                <w:szCs w:val="21"/>
              </w:rPr>
              <w:t>无</w:t>
            </w:r>
          </w:p>
        </w:tc>
        <w:tc>
          <w:tcPr>
            <w:tcW w:w="162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楷体_GB2312" w:hAnsi="楷体_GB2312" w:eastAsia="楷体_GB2312" w:cs="楷体_GB2312"/>
                <w:color w:val="FF0000"/>
                <w:sz w:val="21"/>
                <w:szCs w:val="21"/>
              </w:rPr>
              <w:t>COD、</w:t>
            </w:r>
            <w:r>
              <w:rPr>
                <w:rFonts w:hint="eastAsia" w:ascii="Malgun Gothic Semilight" w:hAnsi="Malgun Gothic Semilight" w:eastAsia="Malgun Gothic Semilight" w:cs="Malgun Gothic Semilight"/>
                <w:color w:val="FF0000"/>
                <w:sz w:val="21"/>
                <w:szCs w:val="21"/>
              </w:rPr>
              <w:t>、</w:t>
            </w:r>
            <w:r>
              <w:rPr>
                <w:rFonts w:hint="eastAsia" w:ascii="楷体_GB2312" w:hAnsi="楷体_GB2312" w:eastAsia="楷体_GB2312" w:cs="楷体_GB2312"/>
                <w:color w:val="FF0000"/>
                <w:sz w:val="21"/>
                <w:szCs w:val="21"/>
              </w:rPr>
              <w:t>PH、</w:t>
            </w:r>
            <w:r>
              <w:rPr>
                <w:rFonts w:hint="eastAsia" w:ascii="宋体" w:hAnsi="宋体" w:cs="宋体"/>
                <w:color w:val="FF0000"/>
                <w:sz w:val="21"/>
                <w:szCs w:val="21"/>
              </w:rPr>
              <w:t>悬浮物、氟化物、石油类</w:t>
            </w:r>
            <w:r>
              <w:rPr>
                <w:rFonts w:hint="eastAsia" w:ascii="楷体_GB2312" w:hAnsi="楷体_GB2312" w:eastAsia="楷体_GB2312" w:cs="楷体_GB2312"/>
                <w:color w:val="FF0000"/>
                <w:sz w:val="21"/>
                <w:szCs w:val="21"/>
              </w:rPr>
              <w:t xml:space="preserve">   </w:t>
            </w:r>
          </w:p>
        </w:tc>
        <w:tc>
          <w:tcPr>
            <w:tcW w:w="2880" w:type="dxa"/>
            <w:noWrap w:val="0"/>
            <w:vAlign w:val="center"/>
          </w:tcPr>
          <w:p>
            <w:pPr>
              <w:ind w:firstLine="0" w:firstLineChars="0"/>
              <w:rPr>
                <w:rFonts w:hint="eastAsia" w:ascii="楷体_GB2312" w:hAnsi="楷体_GB2312" w:eastAsia="楷体_GB2312" w:cs="楷体_GB2312"/>
                <w:color w:val="FF0000"/>
                <w:sz w:val="21"/>
                <w:szCs w:val="21"/>
              </w:rPr>
            </w:pPr>
            <w:r>
              <w:rPr>
                <w:rFonts w:hint="eastAsia" w:ascii="楷体_GB2312" w:hAnsi="楷体_GB2312" w:eastAsia="楷体_GB2312" w:cs="楷体_GB2312"/>
                <w:color w:val="FF0000"/>
                <w:sz w:val="21"/>
                <w:szCs w:val="21"/>
              </w:rPr>
              <w:t>COD、PH、悬浮物、</w:t>
            </w:r>
            <w:r>
              <w:rPr>
                <w:rFonts w:hint="eastAsia" w:ascii="宋体" w:hAnsi="宋体" w:cs="宋体"/>
                <w:color w:val="FF0000"/>
                <w:sz w:val="21"/>
                <w:szCs w:val="21"/>
              </w:rPr>
              <w:t>氟化物</w:t>
            </w:r>
          </w:p>
          <w:p>
            <w:pPr>
              <w:ind w:firstLine="0" w:firstLineChars="0"/>
              <w:rPr>
                <w:rFonts w:hint="eastAsia" w:ascii="楷体_GB2312" w:hAnsi="楷体_GB2312" w:eastAsia="楷体_GB2312" w:cs="楷体_GB2312"/>
                <w:color w:val="FF0000"/>
                <w:sz w:val="21"/>
                <w:szCs w:val="21"/>
              </w:rPr>
            </w:pPr>
            <w:r>
              <w:rPr>
                <w:rFonts w:hint="eastAsia" w:ascii="宋体" w:hAnsi="宋体" w:cs="宋体"/>
                <w:color w:val="FF0000"/>
                <w:sz w:val="21"/>
                <w:szCs w:val="21"/>
              </w:rPr>
              <w:t>、石油类均是1次/半年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241"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80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生活废水</w:t>
            </w:r>
          </w:p>
        </w:tc>
        <w:tc>
          <w:tcPr>
            <w:tcW w:w="198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生活水排口</w:t>
            </w:r>
          </w:p>
        </w:tc>
        <w:tc>
          <w:tcPr>
            <w:tcW w:w="126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无</w:t>
            </w:r>
          </w:p>
        </w:tc>
        <w:tc>
          <w:tcPr>
            <w:tcW w:w="1620" w:type="dxa"/>
            <w:noWrap w:val="0"/>
            <w:vAlign w:val="center"/>
          </w:tcPr>
          <w:p>
            <w:pPr>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五日生化需氧量、COD、悬浮物、总磷、氨氮、ph值</w:t>
            </w:r>
          </w:p>
        </w:tc>
        <w:tc>
          <w:tcPr>
            <w:tcW w:w="2880" w:type="dxa"/>
            <w:noWrap w:val="0"/>
            <w:vAlign w:val="center"/>
          </w:tcPr>
          <w:p>
            <w:pPr>
              <w:ind w:firstLine="0" w:firstLineChars="0"/>
              <w:rPr>
                <w:rFonts w:hint="eastAsia" w:ascii="宋体" w:hAnsi="宋体" w:cs="宋体"/>
                <w:color w:val="FF0000"/>
                <w:sz w:val="21"/>
                <w:szCs w:val="21"/>
              </w:rPr>
            </w:pPr>
            <w:r>
              <w:rPr>
                <w:rFonts w:hint="eastAsia" w:ascii="宋体" w:hAnsi="宋体" w:cs="宋体"/>
                <w:color w:val="FF0000"/>
                <w:sz w:val="21"/>
                <w:szCs w:val="21"/>
              </w:rPr>
              <w:t>五日生化需氧量、COD、悬浮物、总磷、氨氮、ph值均是1次/半年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241" w:type="dxa"/>
            <w:tcBorders>
              <w:bottom w:val="single" w:color="auto" w:sz="4" w:space="0"/>
            </w:tcBorders>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厂界噪声</w:t>
            </w:r>
          </w:p>
        </w:tc>
        <w:tc>
          <w:tcPr>
            <w:tcW w:w="1800" w:type="dxa"/>
            <w:tcBorders>
              <w:bottom w:val="single" w:color="auto" w:sz="4" w:space="0"/>
            </w:tcBorders>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设备噪声</w:t>
            </w:r>
          </w:p>
        </w:tc>
        <w:tc>
          <w:tcPr>
            <w:tcW w:w="1980" w:type="dxa"/>
            <w:tcBorders>
              <w:bottom w:val="single" w:color="auto" w:sz="4" w:space="0"/>
            </w:tcBorders>
            <w:noWrap w:val="0"/>
            <w:vAlign w:val="center"/>
          </w:tcPr>
          <w:p>
            <w:pPr>
              <w:ind w:firstLine="0" w:firstLineChars="0"/>
              <w:rPr>
                <w:rFonts w:hint="eastAsia" w:ascii="楷体_GB2312" w:hAnsi="楷体_GB2312" w:eastAsia="楷体_GB2312" w:cs="楷体_GB2312"/>
                <w:sz w:val="24"/>
              </w:rPr>
            </w:pPr>
            <w:r>
              <w:rPr>
                <w:rFonts w:hint="eastAsia" w:ascii="楷体_GB2312" w:hAnsi="楷体_GB2312" w:eastAsia="楷体_GB2312" w:cs="楷体_GB2312"/>
                <w:sz w:val="24"/>
              </w:rPr>
              <w:t xml:space="preserve">   厂区边界</w:t>
            </w:r>
          </w:p>
        </w:tc>
        <w:tc>
          <w:tcPr>
            <w:tcW w:w="1260" w:type="dxa"/>
            <w:tcBorders>
              <w:bottom w:val="single" w:color="auto" w:sz="4" w:space="0"/>
            </w:tcBorders>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w:t>
            </w:r>
          </w:p>
        </w:tc>
        <w:tc>
          <w:tcPr>
            <w:tcW w:w="1620" w:type="dxa"/>
            <w:tcBorders>
              <w:bottom w:val="single" w:color="auto" w:sz="4" w:space="0"/>
            </w:tcBorders>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噪声</w:t>
            </w:r>
          </w:p>
        </w:tc>
        <w:tc>
          <w:tcPr>
            <w:tcW w:w="2880" w:type="dxa"/>
            <w:tcBorders>
              <w:bottom w:val="single" w:color="auto" w:sz="4" w:space="0"/>
            </w:tcBorders>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41"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各点收尘监测口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41"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氟化物     （以总F计）</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氟化物</w:t>
            </w:r>
            <w:r>
              <w:rPr>
                <w:rFonts w:hint="eastAsia" w:ascii="楷体_GB2312" w:hAnsi="楷体_GB2312" w:eastAsia="楷体_GB2312" w:cs="楷体_GB2312"/>
                <w:color w:val="FF0000"/>
                <w:sz w:val="24"/>
              </w:rPr>
              <w:t xml:space="preserve">   </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241"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汞及其化合物</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汞及其化合物</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1"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氨</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水泥回转窑窑尾废气排放口</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4"/>
              </w:rPr>
              <w:t>氨</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1" w:type="dxa"/>
            <w:vMerge w:val="restart"/>
            <w:tcBorders>
              <w:left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宋体" w:hAnsi="宋体" w:cs="宋体"/>
                <w:sz w:val="24"/>
              </w:rPr>
              <w:t>废气无组织排放</w:t>
            </w: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颗粒物</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厂区边界</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颗粒物</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241"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宋体" w:hAnsi="宋体" w:cs="宋体"/>
                <w:sz w:val="24"/>
              </w:rPr>
            </w:pPr>
          </w:p>
        </w:tc>
        <w:tc>
          <w:tcPr>
            <w:tcW w:w="180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氨</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1"/>
                <w:szCs w:val="21"/>
              </w:rPr>
            </w:pPr>
            <w:r>
              <w:rPr>
                <w:rFonts w:hint="eastAsia" w:ascii="宋体" w:hAnsi="宋体" w:cs="宋体"/>
                <w:color w:val="FF0000"/>
                <w:sz w:val="21"/>
                <w:szCs w:val="21"/>
              </w:rPr>
              <w:t>厂区边界</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宋体" w:hAnsi="宋体" w:cs="宋体"/>
                <w:color w:val="FF0000"/>
                <w:sz w:val="24"/>
              </w:rPr>
              <w:t>氨</w:t>
            </w:r>
          </w:p>
        </w:tc>
        <w:tc>
          <w:tcPr>
            <w:tcW w:w="28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color w:val="FF0000"/>
                <w:sz w:val="24"/>
              </w:rPr>
            </w:pPr>
            <w:r>
              <w:rPr>
                <w:rFonts w:hint="eastAsia" w:ascii="楷体_GB2312" w:hAnsi="楷体_GB2312" w:eastAsia="楷体_GB2312" w:cs="楷体_GB2312"/>
                <w:color w:val="FF0000"/>
                <w:sz w:val="21"/>
                <w:szCs w:val="21"/>
              </w:rPr>
              <w:t>1次/</w:t>
            </w:r>
            <w:r>
              <w:rPr>
                <w:rFonts w:hint="eastAsia" w:ascii="宋体" w:hAnsi="宋体" w:cs="宋体"/>
                <w:color w:val="FF000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0781"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2、自动监测点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241"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800"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980"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监测点位</w:t>
            </w:r>
          </w:p>
        </w:tc>
        <w:tc>
          <w:tcPr>
            <w:tcW w:w="1260"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自动监测指标</w:t>
            </w:r>
          </w:p>
        </w:tc>
        <w:tc>
          <w:tcPr>
            <w:tcW w:w="1620"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手工监测指标</w:t>
            </w:r>
          </w:p>
        </w:tc>
        <w:tc>
          <w:tcPr>
            <w:tcW w:w="2880" w:type="dxa"/>
            <w:tcBorders>
              <w:top w:val="single" w:color="auto" w:sz="4" w:space="0"/>
            </w:tcBorders>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124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、Nox、颗粒物</w:t>
            </w:r>
          </w:p>
        </w:tc>
        <w:tc>
          <w:tcPr>
            <w:tcW w:w="1980" w:type="dxa"/>
            <w:noWrap w:val="0"/>
            <w:vAlign w:val="center"/>
          </w:tcPr>
          <w:p>
            <w:pPr>
              <w:ind w:firstLine="0" w:firstLineChars="0"/>
              <w:jc w:val="center"/>
              <w:rPr>
                <w:rFonts w:hint="eastAsia" w:ascii="楷体_GB2312" w:hAnsi="楷体_GB2312" w:eastAsia="楷体_GB2312" w:cs="楷体_GB2312"/>
                <w:sz w:val="21"/>
                <w:szCs w:val="21"/>
                <w:lang w:val="en-GB"/>
              </w:rPr>
            </w:pPr>
            <w:r>
              <w:rPr>
                <w:rFonts w:hint="eastAsia" w:ascii="楷体_GB2312" w:hAnsi="楷体_GB2312" w:eastAsia="楷体_GB2312" w:cs="楷体_GB2312"/>
                <w:sz w:val="21"/>
                <w:szCs w:val="21"/>
              </w:rPr>
              <w:t>水泥回转窑窑尾废气排放口</w:t>
            </w:r>
          </w:p>
        </w:tc>
        <w:tc>
          <w:tcPr>
            <w:tcW w:w="126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 xml:space="preserve">、NOx、颗粒物 </w:t>
            </w:r>
          </w:p>
        </w:tc>
        <w:tc>
          <w:tcPr>
            <w:tcW w:w="1620" w:type="dxa"/>
            <w:noWrap w:val="0"/>
            <w:vAlign w:val="center"/>
          </w:tcPr>
          <w:p>
            <w:pPr>
              <w:ind w:firstLine="0" w:firstLineChars="0"/>
              <w:rPr>
                <w:rFonts w:hint="eastAsia" w:ascii="楷体_GB2312" w:hAnsi="楷体_GB2312" w:eastAsia="楷体_GB2312" w:cs="楷体_GB2312"/>
                <w:sz w:val="21"/>
                <w:szCs w:val="21"/>
                <w:lang w:val="en-GB"/>
              </w:rPr>
            </w:pPr>
          </w:p>
        </w:tc>
        <w:tc>
          <w:tcPr>
            <w:tcW w:w="288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Nox、颗粒物、SO</w:t>
            </w:r>
            <w:r>
              <w:rPr>
                <w:rFonts w:hint="eastAsia" w:ascii="楷体_GB2312" w:hAnsi="楷体_GB2312" w:eastAsia="楷体_GB2312" w:cs="楷体_GB2312"/>
                <w:sz w:val="21"/>
                <w:szCs w:val="21"/>
                <w:vertAlign w:val="subscript"/>
              </w:rPr>
              <w:t>2</w:t>
            </w:r>
            <w:r>
              <w:rPr>
                <w:rFonts w:hint="eastAsia" w:ascii="楷体_GB2312" w:hAnsi="楷体_GB2312" w:eastAsia="楷体_GB2312" w:cs="楷体_GB2312"/>
                <w:sz w:val="21"/>
                <w:szCs w:val="21"/>
              </w:rPr>
              <w:t>为每1小时均值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4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废气有组织排放</w:t>
            </w:r>
          </w:p>
        </w:tc>
        <w:tc>
          <w:tcPr>
            <w:tcW w:w="180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w:t>
            </w:r>
          </w:p>
        </w:tc>
        <w:tc>
          <w:tcPr>
            <w:tcW w:w="198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水泥回转窑窑头废气排放口</w:t>
            </w:r>
          </w:p>
        </w:tc>
        <w:tc>
          <w:tcPr>
            <w:tcW w:w="126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w:t>
            </w:r>
          </w:p>
        </w:tc>
        <w:tc>
          <w:tcPr>
            <w:tcW w:w="1620" w:type="dxa"/>
            <w:noWrap w:val="0"/>
            <w:vAlign w:val="center"/>
          </w:tcPr>
          <w:p>
            <w:pPr>
              <w:ind w:firstLine="0" w:firstLineChars="0"/>
              <w:rPr>
                <w:rFonts w:hint="eastAsia" w:ascii="楷体_GB2312" w:hAnsi="楷体_GB2312" w:eastAsia="楷体_GB2312" w:cs="楷体_GB2312"/>
                <w:sz w:val="21"/>
                <w:szCs w:val="21"/>
                <w:lang w:val="en-GB"/>
              </w:rPr>
            </w:pPr>
          </w:p>
        </w:tc>
        <w:tc>
          <w:tcPr>
            <w:tcW w:w="2880" w:type="dxa"/>
            <w:noWrap w:val="0"/>
            <w:vAlign w:val="center"/>
          </w:tcPr>
          <w:p>
            <w:pPr>
              <w:ind w:firstLine="0" w:firstLineChars="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颗粒物为每1小时均值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24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备注：</w:t>
            </w:r>
          </w:p>
        </w:tc>
        <w:tc>
          <w:tcPr>
            <w:tcW w:w="9540" w:type="dxa"/>
            <w:gridSpan w:val="5"/>
            <w:noWrap w:val="0"/>
            <w:vAlign w:val="center"/>
          </w:tcPr>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1、此表中频次指自行监测总体频次，具体到每次监测的次数按照相关监测技术规范执行。</w:t>
            </w:r>
          </w:p>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2、以上频次若与国家或地方发布的规范性文件、标准中监测指标的监测频次规定不一致时，按从严原则确定监测频次，即：以监测频次高的为准。</w:t>
            </w:r>
          </w:p>
          <w:p>
            <w:pPr>
              <w:spacing w:line="240" w:lineRule="auto"/>
              <w:ind w:firstLine="0" w:firstLineChars="0"/>
              <w:jc w:val="left"/>
              <w:rPr>
                <w:rFonts w:hint="eastAsia" w:ascii="楷体_GB2312" w:hAnsi="楷体_GB2312" w:eastAsia="楷体_GB2312" w:cs="楷体_GB2312"/>
                <w:sz w:val="24"/>
              </w:rPr>
            </w:pPr>
            <w:r>
              <w:rPr>
                <w:rFonts w:hint="eastAsia" w:ascii="楷体_GB2312" w:hAnsi="楷体_GB2312" w:eastAsia="楷体_GB2312" w:cs="楷体_GB2312"/>
                <w:sz w:val="24"/>
              </w:rPr>
              <w:t>3、自动监测设备为每1小时均值，自动监测数据为实时公布。</w:t>
            </w:r>
          </w:p>
        </w:tc>
      </w:tr>
    </w:tbl>
    <w:p>
      <w:pPr>
        <w:pStyle w:val="2"/>
        <w:rPr>
          <w:rFonts w:hint="eastAsia" w:ascii="楷体_GB2312" w:hAnsi="楷体_GB2312" w:eastAsia="楷体_GB2312" w:cs="楷体_GB2312"/>
        </w:rPr>
      </w:pPr>
      <w:bookmarkStart w:id="1451" w:name="_Toc373998369"/>
      <w:r>
        <w:rPr>
          <w:rFonts w:hint="eastAsia" w:ascii="楷体_GB2312" w:hAnsi="楷体_GB2312" w:eastAsia="楷体_GB2312" w:cs="楷体_GB2312"/>
        </w:rPr>
        <w:t>2.2污染物排放因子</w:t>
      </w:r>
    </w:p>
    <w:p>
      <w:pPr>
        <w:rPr>
          <w:rFonts w:hint="eastAsia" w:ascii="宋体" w:hAnsi="宋体"/>
          <w:szCs w:val="28"/>
        </w:rPr>
      </w:pPr>
      <w:r>
        <w:rPr>
          <w:rFonts w:hint="eastAsia" w:ascii="宋体" w:hAnsi="宋体"/>
        </w:rPr>
        <w:t>我司为水泥孰料生产线污染物排放因子：粉尘、SO2、Nox、</w:t>
      </w:r>
      <w:r>
        <w:rPr>
          <w:rFonts w:hint="eastAsia" w:ascii="宋体" w:hAnsi="宋体" w:cs="楷体_GB2312"/>
          <w:szCs w:val="28"/>
        </w:rPr>
        <w:t>COD、氨氮、悬浮物，氟化物、汞及其化合物、氨</w:t>
      </w:r>
      <w:r>
        <w:rPr>
          <w:rFonts w:hint="eastAsia" w:ascii="宋体" w:hAnsi="宋体" w:cs="宋体"/>
          <w:szCs w:val="28"/>
        </w:rPr>
        <w:t>五日生化需氧量物、总磷。</w:t>
      </w:r>
    </w:p>
    <w:p>
      <w:pPr>
        <w:pStyle w:val="2"/>
        <w:tabs>
          <w:tab w:val="right" w:pos="8640"/>
        </w:tabs>
        <w:rPr>
          <w:rFonts w:hint="eastAsia" w:ascii="楷体_GB2312" w:hAnsi="楷体_GB2312" w:eastAsia="楷体_GB2312" w:cs="楷体_GB2312"/>
        </w:rPr>
      </w:pPr>
      <w:r>
        <w:rPr>
          <w:rFonts w:hint="eastAsia" w:ascii="楷体_GB2312" w:hAnsi="楷体_GB2312" w:eastAsia="楷体_GB2312" w:cs="楷体_GB2312"/>
        </w:rPr>
        <w:t>2.4 质量控制</w:t>
      </w:r>
      <w:bookmarkEnd w:id="1451"/>
      <w:r>
        <w:rPr>
          <w:rFonts w:ascii="楷体_GB2312" w:hAnsi="楷体_GB2312" w:eastAsia="楷体_GB2312" w:cs="楷体_GB2312"/>
        </w:rPr>
        <w:tab/>
      </w:r>
    </w:p>
    <w:p>
      <w:pPr>
        <w:pStyle w:val="4"/>
        <w:ind w:firstLine="588"/>
        <w:rPr>
          <w:rFonts w:hint="eastAsia" w:ascii="楷体_GB2312" w:hAnsi="楷体_GB2312" w:eastAsia="楷体_GB2312" w:cs="楷体_GB2312"/>
        </w:rPr>
      </w:pPr>
      <w:bookmarkStart w:id="1452" w:name="_Toc373998370"/>
      <w:r>
        <w:rPr>
          <w:rFonts w:hint="eastAsia" w:ascii="楷体_GB2312" w:hAnsi="楷体_GB2312" w:eastAsia="楷体_GB2312" w:cs="楷体_GB2312"/>
        </w:rPr>
        <w:t>2.4.1 手工监测质量控制</w:t>
      </w:r>
      <w:bookmarkEnd w:id="1452"/>
    </w:p>
    <w:p>
      <w:pPr>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按照信息公开办法要求，我公司采取重庆市污染源监测数据发布平台定期向公众公开自行监测信息。 对自行监测结果及信息公开内容的真实性、准确性、完整性负责。</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 xml:space="preserve">（1）公司有自行监测工作开展所需的固定工作场所和必要的工作条件。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（2）具有与监测本公司排放污染物相适应的采样、分析等专业设备、设施。</w:t>
      </w:r>
    </w:p>
    <w:p>
      <w:pPr>
        <w:autoSpaceDE w:val="0"/>
        <w:autoSpaceDN w:val="0"/>
        <w:ind w:firstLine="588"/>
        <w:rPr>
          <w:rFonts w:hint="eastAsia" w:ascii="楷体_GB2312" w:hAnsi="楷体_GB2312" w:eastAsia="楷体_GB2312" w:cs="楷体_GB2312"/>
        </w:rPr>
      </w:pPr>
      <w:r>
        <w:rPr>
          <w:rFonts w:hint="eastAsia" w:ascii="楷体_GB2312" w:hAnsi="楷体_GB2312" w:eastAsia="楷体_GB2312" w:cs="楷体_GB2312"/>
        </w:rPr>
        <w:t xml:space="preserve">（3）手工检测所需仪器仪表由取得计量认证的社会检测机构或者环境保护主管部门所属环境监测机构进行强制检定，并每年进行复检。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 xml:space="preserve">（4）具有两名以上持有省级环保主管部门组织培训的、与监测事项相符的培训证书的专职人员在岗。 </w:t>
      </w:r>
    </w:p>
    <w:p>
      <w:pPr>
        <w:autoSpaceDE w:val="0"/>
        <w:autoSpaceDN w:val="0"/>
        <w:ind w:firstLine="588"/>
        <w:rPr>
          <w:rFonts w:hint="eastAsia" w:ascii="楷体_GB2312" w:hAnsi="楷体_GB2312" w:eastAsia="楷体_GB2312" w:cs="楷体_GB2312"/>
          <w:color w:val="000000"/>
        </w:rPr>
      </w:pPr>
      <w:r>
        <w:rPr>
          <w:rFonts w:hint="eastAsia" w:ascii="楷体_GB2312" w:hAnsi="楷体_GB2312" w:eastAsia="楷体_GB2312" w:cs="楷体_GB2312"/>
          <w:color w:val="000000"/>
        </w:rPr>
        <w:t>（5）制定并实施健全的环境监测工作和质量管理制度。</w:t>
      </w:r>
    </w:p>
    <w:p>
      <w:pPr>
        <w:autoSpaceDE w:val="0"/>
        <w:autoSpaceDN w:val="0"/>
        <w:ind w:firstLine="588"/>
        <w:rPr>
          <w:rFonts w:hint="eastAsia" w:ascii="楷体_GB2312" w:hAnsi="楷体_GB2312" w:eastAsia="楷体_GB2312" w:cs="楷体_GB2312"/>
        </w:rPr>
      </w:pPr>
      <w:r>
        <w:rPr>
          <w:rFonts w:hint="eastAsia" w:ascii="楷体_GB2312" w:hAnsi="楷体_GB2312" w:eastAsia="楷体_GB2312" w:cs="楷体_GB2312"/>
          <w:color w:val="000000"/>
        </w:rPr>
        <w:t xml:space="preserve">（6）符合环境保护主管部门规定的其他条件。 </w:t>
      </w:r>
    </w:p>
    <w:p>
      <w:pPr>
        <w:pStyle w:val="4"/>
        <w:ind w:firstLine="588"/>
        <w:rPr>
          <w:rFonts w:hint="eastAsia" w:ascii="楷体_GB2312" w:hAnsi="楷体_GB2312" w:eastAsia="楷体_GB2312" w:cs="楷体_GB2312"/>
        </w:rPr>
      </w:pPr>
      <w:bookmarkStart w:id="1453" w:name="_Toc373998371"/>
      <w:r>
        <w:rPr>
          <w:rFonts w:hint="eastAsia" w:ascii="楷体_GB2312" w:hAnsi="楷体_GB2312" w:eastAsia="楷体_GB2312" w:cs="楷体_GB2312"/>
        </w:rPr>
        <w:t>2.4.2 自动监测质量控制</w:t>
      </w:r>
      <w:bookmarkEnd w:id="1453"/>
    </w:p>
    <w:p>
      <w:pPr>
        <w:ind w:firstLine="588"/>
        <w:rPr>
          <w:rFonts w:hint="eastAsia" w:ascii="楷体_GB2312" w:hAnsi="楷体_GB2312" w:eastAsia="楷体_GB2312" w:cs="楷体_GB2312"/>
        </w:rPr>
      </w:pPr>
      <w:r>
        <w:rPr>
          <w:rFonts w:hint="eastAsia" w:ascii="楷体_GB2312" w:hAnsi="楷体_GB2312" w:eastAsia="楷体_GB2312" w:cs="楷体_GB2312"/>
        </w:rPr>
        <w:t>我公司自动监控系统规范建设，有效管理，正常运行。自动监控设备有《中国环境保护产品认证证书》和《环境监测仪器质量监督》合格报告，并按照规范安装，与环境保护主管部门联网，并通过环境保护主管部门验收。</w:t>
      </w:r>
    </w:p>
    <w:p>
      <w:pPr>
        <w:ind w:firstLine="588"/>
        <w:rPr>
          <w:rFonts w:hint="eastAsia" w:ascii="楷体_GB2312" w:hAnsi="楷体_GB2312" w:eastAsia="楷体_GB2312" w:cs="楷体_GB2312"/>
        </w:rPr>
      </w:pPr>
      <w:r>
        <w:rPr>
          <w:rFonts w:hint="eastAsia" w:ascii="楷体_GB2312" w:hAnsi="楷体_GB2312" w:eastAsia="楷体_GB2312" w:cs="楷体_GB2312"/>
        </w:rPr>
        <w:t>（1）按照环境监测技术规范和自动监控技术规范的要求安装自动监控设备，与环境保护主管部门联网，并通过环境保护主管部门验收；</w:t>
      </w:r>
    </w:p>
    <w:p>
      <w:pPr>
        <w:ind w:firstLine="588"/>
        <w:rPr>
          <w:rFonts w:hint="eastAsia" w:ascii="楷体_GB2312" w:hAnsi="楷体_GB2312" w:eastAsia="楷体_GB2312" w:cs="楷体_GB2312"/>
        </w:rPr>
      </w:pPr>
      <w:r>
        <w:rPr>
          <w:rFonts w:hint="eastAsia" w:ascii="楷体_GB2312" w:hAnsi="楷体_GB2312" w:eastAsia="楷体_GB2312" w:cs="楷体_GB2312"/>
        </w:rPr>
        <w:t>（2）具有两名以上持有省级环境保护主管部门颁发的污染源自动监测数据有效性审核培训证书的人员，对自动监测设备进行日常运行维护；</w:t>
      </w:r>
    </w:p>
    <w:p>
      <w:pPr>
        <w:ind w:firstLine="588"/>
        <w:rPr>
          <w:rFonts w:hint="eastAsia" w:ascii="楷体_GB2312" w:hAnsi="楷体_GB2312" w:eastAsia="楷体_GB2312" w:cs="楷体_GB2312"/>
        </w:rPr>
      </w:pPr>
      <w:r>
        <w:rPr>
          <w:rFonts w:hint="eastAsia" w:ascii="楷体_GB2312" w:hAnsi="楷体_GB2312" w:eastAsia="楷体_GB2312" w:cs="楷体_GB2312"/>
        </w:rPr>
        <w:t>（3）按照《国家重点监控企业自行监测及信息公开办法》的要求，由环境保护主管部门对自动监测设备进行有效性审核，通过有效性审核的自动监测设备监测的数据方可使用。</w:t>
      </w:r>
    </w:p>
    <w:p>
      <w:pPr>
        <w:pStyle w:val="2"/>
        <w:rPr>
          <w:rFonts w:hint="eastAsia" w:ascii="楷体_GB2312" w:hAnsi="楷体_GB2312" w:eastAsia="楷体_GB2312" w:cs="楷体_GB2312"/>
        </w:rPr>
      </w:pPr>
      <w:bookmarkStart w:id="1454" w:name="_Toc373998372"/>
      <w:r>
        <w:rPr>
          <w:rFonts w:hint="eastAsia" w:ascii="楷体_GB2312" w:hAnsi="楷体_GB2312" w:eastAsia="楷体_GB2312" w:cs="楷体_GB2312"/>
        </w:rPr>
        <w:t>2.5 监测方法、依据和仪器</w:t>
      </w:r>
      <w:bookmarkEnd w:id="1454"/>
    </w:p>
    <w:p>
      <w:pPr>
        <w:pStyle w:val="4"/>
        <w:ind w:firstLine="588"/>
        <w:rPr>
          <w:rFonts w:hint="eastAsia" w:ascii="楷体_GB2312" w:hAnsi="楷体_GB2312" w:eastAsia="楷体_GB2312" w:cs="楷体_GB2312"/>
        </w:rPr>
      </w:pPr>
      <w:bookmarkStart w:id="1455" w:name="_Toc373998373"/>
      <w:r>
        <w:rPr>
          <w:rFonts w:hint="eastAsia" w:ascii="楷体_GB2312" w:hAnsi="楷体_GB2312" w:eastAsia="楷体_GB2312" w:cs="楷体_GB2312"/>
        </w:rPr>
        <w:t>2.5.1 手工监测方法、依据和仪器</w:t>
      </w:r>
      <w:bookmarkEnd w:id="1455"/>
    </w:p>
    <w:p>
      <w:pPr>
        <w:ind w:firstLine="588"/>
        <w:rPr>
          <w:rFonts w:hint="eastAsia" w:ascii="楷体_GB2312" w:hAnsi="楷体_GB2312" w:eastAsia="楷体_GB2312" w:cs="楷体_GB2312"/>
        </w:rPr>
      </w:pPr>
      <w:r>
        <w:rPr>
          <w:rFonts w:hint="eastAsia" w:ascii="楷体_GB2312" w:hAnsi="楷体_GB2312" w:eastAsia="楷体_GB2312" w:cs="楷体_GB2312"/>
        </w:rPr>
        <w:t>手工监测方法、依据和仪器见表2-5-1。</w:t>
      </w:r>
    </w:p>
    <w:p>
      <w:pPr>
        <w:ind w:firstLine="504"/>
        <w:jc w:val="center"/>
        <w:rPr>
          <w:rFonts w:hint="eastAsia" w:ascii="楷体_GB2312" w:hAnsi="楷体_GB2312" w:eastAsia="楷体_GB2312" w:cs="楷体_GB2312"/>
          <w:b/>
          <w:szCs w:val="28"/>
        </w:rPr>
      </w:pPr>
      <w:r>
        <w:rPr>
          <w:rFonts w:hint="eastAsia" w:ascii="楷体_GB2312" w:hAnsi="楷体_GB2312" w:eastAsia="楷体_GB2312" w:cs="楷体_GB2312"/>
          <w:b/>
          <w:color w:val="000000"/>
          <w:sz w:val="24"/>
        </w:rPr>
        <w:t>表2-5-1</w:t>
      </w:r>
      <w:r>
        <w:rPr>
          <w:rFonts w:hint="eastAsia" w:ascii="楷体_GB2312" w:hAnsi="楷体_GB2312" w:eastAsia="楷体_GB2312" w:cs="楷体_GB2312"/>
          <w:b/>
          <w:sz w:val="24"/>
        </w:rPr>
        <w:t xml:space="preserve">  监测方法、依据和仪器表</w:t>
      </w:r>
    </w:p>
    <w:tbl>
      <w:tblPr>
        <w:tblStyle w:val="2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536"/>
        <w:gridCol w:w="3319"/>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536"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监测项目</w:t>
            </w:r>
          </w:p>
        </w:tc>
        <w:tc>
          <w:tcPr>
            <w:tcW w:w="3319"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监测方法及监测依据</w:t>
            </w:r>
          </w:p>
        </w:tc>
        <w:tc>
          <w:tcPr>
            <w:tcW w:w="2513"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工业</w:t>
            </w:r>
            <w:r>
              <w:rPr>
                <w:rFonts w:hint="eastAsia" w:ascii="楷体_GB2312" w:hAnsi="楷体_GB2312" w:eastAsia="楷体_GB2312" w:cs="楷体_GB2312"/>
                <w:sz w:val="24"/>
              </w:rPr>
              <w:t>废水</w:t>
            </w:r>
          </w:p>
        </w:tc>
        <w:tc>
          <w:tcPr>
            <w:tcW w:w="1536"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COD</w:t>
            </w:r>
          </w:p>
        </w:tc>
        <w:tc>
          <w:tcPr>
            <w:tcW w:w="3319" w:type="dxa"/>
            <w:noWrap w:val="0"/>
            <w:vAlign w:val="center"/>
          </w:tcPr>
          <w:p>
            <w:pPr>
              <w:ind w:firstLine="0" w:firstLineChars="0"/>
              <w:jc w:val="center"/>
              <w:rPr>
                <w:rFonts w:hint="eastAsia" w:ascii="宋体" w:hAnsi="宋体" w:cs="楷体_GB2312"/>
                <w:color w:val="000000"/>
                <w:sz w:val="24"/>
              </w:rPr>
            </w:pPr>
            <w:r>
              <w:rPr>
                <w:rFonts w:ascii="宋体" w:hAnsi="宋体"/>
                <w:color w:val="000000"/>
                <w:sz w:val="24"/>
              </w:rPr>
              <w:t>水质 化学需氧量的测定 重铬酸盐法 GB 11914-198</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悬浮物</w:t>
            </w:r>
          </w:p>
        </w:tc>
        <w:tc>
          <w:tcPr>
            <w:tcW w:w="3319" w:type="dxa"/>
            <w:noWrap w:val="0"/>
            <w:vAlign w:val="center"/>
          </w:tcPr>
          <w:p>
            <w:pPr>
              <w:ind w:firstLine="0" w:firstLineChars="0"/>
              <w:jc w:val="center"/>
              <w:rPr>
                <w:rFonts w:hint="eastAsia" w:ascii="宋体" w:hAnsi="宋体" w:cs="楷体_GB2312"/>
                <w:color w:val="000000"/>
                <w:sz w:val="24"/>
              </w:rPr>
            </w:pPr>
            <w:r>
              <w:rPr>
                <w:rFonts w:ascii="宋体" w:hAnsi="宋体"/>
                <w:color w:val="000000"/>
                <w:sz w:val="24"/>
              </w:rPr>
              <w:t>水质 悬浮物的测定 重量法 GB 11901-1989</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PH</w:t>
            </w:r>
          </w:p>
        </w:tc>
        <w:tc>
          <w:tcPr>
            <w:tcW w:w="3319" w:type="dxa"/>
            <w:noWrap w:val="0"/>
            <w:vAlign w:val="center"/>
          </w:tcPr>
          <w:p>
            <w:pPr>
              <w:ind w:firstLine="0" w:firstLineChars="0"/>
              <w:jc w:val="center"/>
              <w:rPr>
                <w:rFonts w:hint="eastAsia" w:ascii="宋体" w:hAnsi="宋体" w:cs="楷体_GB2312"/>
                <w:color w:val="000000"/>
                <w:sz w:val="24"/>
              </w:rPr>
            </w:pPr>
            <w:r>
              <w:rPr>
                <w:rFonts w:ascii="宋体" w:hAnsi="宋体"/>
                <w:color w:val="000000"/>
                <w:sz w:val="24"/>
              </w:rPr>
              <w:t>水质 pH值的测定 玻璃电极法 GB 6920-1986</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石油类</w:t>
            </w:r>
          </w:p>
        </w:tc>
        <w:tc>
          <w:tcPr>
            <w:tcW w:w="3319" w:type="dxa"/>
            <w:noWrap w:val="0"/>
            <w:vAlign w:val="center"/>
          </w:tcPr>
          <w:p>
            <w:pPr>
              <w:ind w:firstLine="0" w:firstLineChars="0"/>
              <w:jc w:val="center"/>
              <w:rPr>
                <w:rFonts w:hint="eastAsia" w:ascii="宋体" w:hAnsi="宋体" w:cs="楷体_GB2312"/>
                <w:color w:val="000000"/>
                <w:sz w:val="24"/>
              </w:rPr>
            </w:pPr>
            <w:r>
              <w:rPr>
                <w:rFonts w:ascii="宋体" w:hAnsi="宋体"/>
                <w:color w:val="000000"/>
                <w:sz w:val="24"/>
              </w:rPr>
              <w:t>水质 石油类和动植物油的测定 红外光度法 GB/T 16488-1996</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hint="eastAsia" w:ascii="宋体" w:hAnsi="宋体" w:cs="宋体"/>
                <w:sz w:val="24"/>
              </w:rPr>
            </w:pPr>
            <w:r>
              <w:rPr>
                <w:rFonts w:hint="eastAsia" w:ascii="宋体" w:hAnsi="宋体" w:cs="宋体"/>
                <w:sz w:val="24"/>
              </w:rPr>
              <w:t>氟化物</w:t>
            </w:r>
          </w:p>
        </w:tc>
        <w:tc>
          <w:tcPr>
            <w:tcW w:w="3319" w:type="dxa"/>
            <w:noWrap w:val="0"/>
            <w:vAlign w:val="center"/>
          </w:tcPr>
          <w:p>
            <w:pPr>
              <w:ind w:firstLine="0" w:firstLineChars="0"/>
              <w:jc w:val="center"/>
              <w:rPr>
                <w:rFonts w:ascii="宋体" w:hAnsi="宋体"/>
                <w:color w:val="000000"/>
                <w:sz w:val="24"/>
              </w:rPr>
            </w:pPr>
            <w:r>
              <w:rPr>
                <w:rFonts w:ascii="宋体" w:hAnsi="宋体"/>
                <w:color w:val="000000"/>
                <w:sz w:val="24"/>
              </w:rPr>
              <w:t>质 氟化物的测定 氟试剂分光光度法HJ 488—2009 代替GB 7483—87</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生活废水</w:t>
            </w: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化学需氧量</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化学需氧量的测定 快速消解分光光度法 HJ/T 399-2007</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五日生化需氧量</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五日生化需氧量（BOD5）的测定 稀释与接种法 HJ505-2009</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悬浮物</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悬浮物的测定 重量法 GB 11901-1989</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总磷（以P计）</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总磷的测定 钼酸铵分光光度法 GB 11893-1989</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氨氮（NH3-N）</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氨氮的测定 纳氏试剂分光光度法 HJ 535-2009</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536" w:type="dxa"/>
            <w:noWrap w:val="0"/>
            <w:vAlign w:val="center"/>
          </w:tcPr>
          <w:p>
            <w:pPr>
              <w:ind w:firstLine="0" w:firstLineChars="0"/>
              <w:jc w:val="center"/>
              <w:rPr>
                <w:rFonts w:ascii="宋体" w:hAnsi="宋体"/>
                <w:color w:val="000000"/>
                <w:sz w:val="24"/>
              </w:rPr>
            </w:pPr>
            <w:r>
              <w:rPr>
                <w:rFonts w:ascii="宋体" w:hAnsi="宋体"/>
                <w:color w:val="000000"/>
                <w:sz w:val="24"/>
              </w:rPr>
              <w:t>pH值</w:t>
            </w:r>
          </w:p>
        </w:tc>
        <w:tc>
          <w:tcPr>
            <w:tcW w:w="3319" w:type="dxa"/>
            <w:noWrap w:val="0"/>
            <w:vAlign w:val="top"/>
          </w:tcPr>
          <w:p>
            <w:pPr>
              <w:ind w:firstLine="480"/>
              <w:jc w:val="center"/>
              <w:rPr>
                <w:rFonts w:ascii="宋体" w:hAnsi="宋体"/>
                <w:color w:val="000000"/>
                <w:sz w:val="24"/>
              </w:rPr>
            </w:pPr>
            <w:r>
              <w:rPr>
                <w:rFonts w:ascii="宋体" w:hAnsi="宋体"/>
                <w:color w:val="000000"/>
                <w:sz w:val="24"/>
              </w:rPr>
              <w:t>水质 pH值的测定 玻璃电极法 GB 6920-1986</w:t>
            </w:r>
          </w:p>
        </w:tc>
        <w:tc>
          <w:tcPr>
            <w:tcW w:w="2513" w:type="dxa"/>
            <w:noWrap w:val="0"/>
            <w:vAlign w:val="center"/>
          </w:tcPr>
          <w:p>
            <w:pPr>
              <w:ind w:firstLine="0" w:firstLineChars="0"/>
              <w:jc w:val="center"/>
              <w:rPr>
                <w:rFonts w:hint="eastAsia" w:ascii="楷体_GB2312" w:hAnsi="楷体_GB2312" w:eastAsia="楷体_GB2312" w:cs="楷体_GB2312"/>
                <w:sz w:val="24"/>
              </w:rPr>
            </w:pPr>
          </w:p>
        </w:tc>
      </w:tr>
    </w:tbl>
    <w:p>
      <w:pPr>
        <w:pStyle w:val="4"/>
        <w:ind w:firstLine="0" w:firstLineChars="0"/>
        <w:rPr>
          <w:rFonts w:hint="eastAsia" w:ascii="楷体_GB2312" w:hAnsi="楷体_GB2312" w:eastAsia="楷体_GB2312" w:cs="楷体_GB2312"/>
        </w:rPr>
      </w:pPr>
      <w:bookmarkStart w:id="1456" w:name="_Toc373998374"/>
      <w:r>
        <w:rPr>
          <w:rFonts w:hint="eastAsia" w:ascii="楷体_GB2312" w:hAnsi="楷体_GB2312" w:eastAsia="楷体_GB2312" w:cs="楷体_GB2312"/>
        </w:rPr>
        <w:t>自动监测方法、依据和仪器</w:t>
      </w:r>
      <w:bookmarkEnd w:id="1456"/>
    </w:p>
    <w:p>
      <w:pPr>
        <w:ind w:firstLine="588"/>
        <w:rPr>
          <w:rFonts w:hint="eastAsia" w:ascii="楷体_GB2312" w:hAnsi="楷体_GB2312" w:eastAsia="楷体_GB2312" w:cs="楷体_GB2312"/>
        </w:rPr>
      </w:pPr>
      <w:r>
        <w:rPr>
          <w:rFonts w:hint="eastAsia" w:ascii="楷体_GB2312" w:hAnsi="楷体_GB2312" w:eastAsia="楷体_GB2312" w:cs="楷体_GB2312"/>
        </w:rPr>
        <w:t>自动监测仪器原理、名称和型号见表2-5-2。</w:t>
      </w:r>
    </w:p>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b/>
          <w:bCs/>
          <w:sz w:val="24"/>
        </w:rPr>
        <w:t>表2-5-2 自动监测评价标准、依据及其限值</w:t>
      </w:r>
    </w:p>
    <w:tbl>
      <w:tblPr>
        <w:tblStyle w:val="20"/>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56"/>
        <w:gridCol w:w="2700"/>
        <w:gridCol w:w="3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类别</w:t>
            </w:r>
          </w:p>
        </w:tc>
        <w:tc>
          <w:tcPr>
            <w:tcW w:w="1956"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监测项目</w:t>
            </w:r>
          </w:p>
        </w:tc>
        <w:tc>
          <w:tcPr>
            <w:tcW w:w="270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监测方法（原理）</w:t>
            </w:r>
          </w:p>
        </w:tc>
        <w:tc>
          <w:tcPr>
            <w:tcW w:w="3348"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监测仪器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废气</w:t>
            </w:r>
          </w:p>
        </w:tc>
        <w:tc>
          <w:tcPr>
            <w:tcW w:w="1956"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流速（流量）</w:t>
            </w:r>
          </w:p>
        </w:tc>
        <w:tc>
          <w:tcPr>
            <w:tcW w:w="2700" w:type="dxa"/>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压差传感法</w:t>
            </w:r>
          </w:p>
        </w:tc>
        <w:tc>
          <w:tcPr>
            <w:tcW w:w="3348" w:type="dxa"/>
            <w:noWrap w:val="0"/>
            <w:vAlign w:val="center"/>
          </w:tcPr>
          <w:p>
            <w:pPr>
              <w:spacing w:line="240" w:lineRule="auto"/>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 xml:space="preserve">深圳彩虹谷：流速温度压力一体化测量仪 </w:t>
            </w:r>
            <w:r>
              <w:rPr>
                <w:rFonts w:hint="eastAsia" w:ascii="楷体_GB2312" w:hAnsi="楷体_GB2312" w:eastAsia="楷体_GB2312" w:cs="楷体_GB2312"/>
                <w:bCs/>
                <w:color w:val="000000"/>
                <w:sz w:val="24"/>
              </w:rPr>
              <w:t>RBV-TPF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956"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二氧化硫</w:t>
            </w:r>
          </w:p>
        </w:tc>
        <w:tc>
          <w:tcPr>
            <w:tcW w:w="2700"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956"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NOx</w:t>
            </w:r>
          </w:p>
        </w:tc>
        <w:tc>
          <w:tcPr>
            <w:tcW w:w="2700"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956"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2700"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非色散型红外线吸收法</w:t>
            </w:r>
          </w:p>
        </w:tc>
        <w:tc>
          <w:tcPr>
            <w:tcW w:w="3348" w:type="dxa"/>
            <w:noWrap w:val="0"/>
            <w:vAlign w:val="center"/>
          </w:tcPr>
          <w:p>
            <w:pPr>
              <w:ind w:firstLine="0" w:firstLineChars="0"/>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岛津：NSA-3080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备注</w:t>
            </w:r>
          </w:p>
        </w:tc>
        <w:tc>
          <w:tcPr>
            <w:tcW w:w="8004" w:type="dxa"/>
            <w:gridSpan w:val="3"/>
            <w:noWrap w:val="0"/>
            <w:vAlign w:val="center"/>
          </w:tcPr>
          <w:p>
            <w:pPr>
              <w:spacing w:line="240" w:lineRule="auto"/>
              <w:ind w:firstLine="504"/>
              <w:jc w:val="center"/>
              <w:rPr>
                <w:rFonts w:hint="eastAsia" w:ascii="楷体_GB2312" w:hAnsi="楷体_GB2312" w:eastAsia="楷体_GB2312" w:cs="楷体_GB2312"/>
                <w:sz w:val="24"/>
              </w:rPr>
            </w:pPr>
            <w:r>
              <w:rPr>
                <w:rFonts w:hint="eastAsia" w:ascii="楷体_GB2312" w:hAnsi="楷体_GB2312" w:eastAsia="楷体_GB2312" w:cs="楷体_GB2312"/>
                <w:sz w:val="24"/>
              </w:rPr>
              <w:t>使用设备应具有《中国环境保护产品认证证书》和《环境监测仪器质量监督》合格报告，并通过环境保护主管部门验收和数据有效性审核。</w:t>
            </w:r>
          </w:p>
        </w:tc>
      </w:tr>
    </w:tbl>
    <w:p>
      <w:pPr>
        <w:ind w:firstLine="588"/>
        <w:rPr>
          <w:rFonts w:hint="eastAsia" w:ascii="楷体_GB2312" w:hAnsi="楷体_GB2312" w:eastAsia="楷体_GB2312" w:cs="楷体_GB2312"/>
          <w:color w:val="000000"/>
          <w:kern w:val="0"/>
          <w:szCs w:val="28"/>
        </w:rPr>
      </w:pPr>
    </w:p>
    <w:p>
      <w:pPr>
        <w:pStyle w:val="2"/>
        <w:rPr>
          <w:rFonts w:hint="eastAsia" w:ascii="楷体_GB2312" w:hAnsi="楷体_GB2312" w:eastAsia="楷体_GB2312" w:cs="楷体_GB2312"/>
        </w:rPr>
      </w:pPr>
      <w:bookmarkStart w:id="1457" w:name="_Toc373998375"/>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ascii="楷体_GB2312" w:hAnsi="楷体_GB2312" w:eastAsia="楷体_GB2312" w:cs="楷体_GB2312"/>
        </w:rPr>
      </w:pPr>
      <w:r>
        <w:rPr>
          <w:rFonts w:hint="eastAsia" w:ascii="楷体_GB2312" w:hAnsi="楷体_GB2312" w:eastAsia="楷体_GB2312" w:cs="楷体_GB2312"/>
        </w:rPr>
        <w:t>2.6 评价标准、依据及其限值</w:t>
      </w:r>
      <w:bookmarkEnd w:id="1457"/>
    </w:p>
    <w:p>
      <w:pPr>
        <w:ind w:firstLine="0" w:firstLineChars="0"/>
        <w:jc w:val="center"/>
        <w:rPr>
          <w:rFonts w:hint="eastAsia" w:ascii="楷体_GB2312" w:hAnsi="楷体_GB2312" w:eastAsia="楷体_GB2312" w:cs="楷体_GB2312"/>
          <w:b/>
          <w:color w:val="FF0000"/>
          <w:szCs w:val="28"/>
        </w:rPr>
      </w:pPr>
      <w:r>
        <w:rPr>
          <w:rFonts w:hint="eastAsia" w:ascii="楷体_GB2312" w:hAnsi="楷体_GB2312" w:eastAsia="楷体_GB2312" w:cs="楷体_GB2312"/>
          <w:b/>
          <w:color w:val="000000"/>
          <w:sz w:val="24"/>
        </w:rPr>
        <w:t>废气有组织排放</w:t>
      </w:r>
      <w:r>
        <w:rPr>
          <w:rFonts w:hint="eastAsia" w:ascii="楷体_GB2312" w:hAnsi="楷体_GB2312" w:eastAsia="楷体_GB2312" w:cs="楷体_GB2312"/>
          <w:b/>
          <w:sz w:val="24"/>
        </w:rPr>
        <w:t>、依据及其限值</w:t>
      </w:r>
    </w:p>
    <w:tbl>
      <w:tblPr>
        <w:tblStyle w:val="2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34"/>
        <w:gridCol w:w="1271"/>
        <w:gridCol w:w="1755"/>
        <w:gridCol w:w="1674"/>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934" w:type="dxa"/>
            <w:vMerge w:val="restart"/>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排放高度</w:t>
            </w:r>
          </w:p>
        </w:tc>
        <w:tc>
          <w:tcPr>
            <w:tcW w:w="1271"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污染物</w:t>
            </w:r>
          </w:p>
        </w:tc>
        <w:tc>
          <w:tcPr>
            <w:tcW w:w="3429" w:type="dxa"/>
            <w:gridSpan w:val="2"/>
            <w:noWrap w:val="0"/>
            <w:vAlign w:val="center"/>
          </w:tcPr>
          <w:p>
            <w:pPr>
              <w:spacing w:line="240" w:lineRule="auto"/>
              <w:ind w:firstLine="0" w:firstLineChars="0"/>
              <w:jc w:val="center"/>
              <w:rPr>
                <w:rFonts w:hint="eastAsia" w:ascii="楷体_GB2312" w:hAnsi="楷体_GB2312" w:eastAsia="楷体_GB2312" w:cs="楷体_GB2312"/>
                <w:color w:val="000000"/>
                <w:sz w:val="24"/>
              </w:rPr>
            </w:pPr>
            <w:r>
              <w:rPr>
                <w:rFonts w:hint="eastAsia" w:ascii="楷体_GB2312" w:hAnsi="楷体_GB2312" w:eastAsia="楷体_GB2312" w:cs="楷体_GB2312"/>
                <w:color w:val="000000"/>
                <w:sz w:val="24"/>
              </w:rPr>
              <w:t>执行/参照标准限值</w:t>
            </w:r>
          </w:p>
        </w:tc>
        <w:tc>
          <w:tcPr>
            <w:tcW w:w="2340"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755"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最高允许排放浓度（mg/m</w:t>
            </w:r>
            <w:r>
              <w:rPr>
                <w:rFonts w:hint="eastAsia" w:ascii="楷体_GB2312" w:hAnsi="楷体_GB2312" w:eastAsia="楷体_GB2312" w:cs="楷体_GB2312"/>
                <w:sz w:val="24"/>
                <w:vertAlign w:val="superscript"/>
              </w:rPr>
              <w:t>3</w:t>
            </w:r>
            <w:r>
              <w:rPr>
                <w:rFonts w:hint="eastAsia" w:ascii="楷体_GB2312" w:hAnsi="楷体_GB2312" w:eastAsia="楷体_GB2312" w:cs="楷体_GB2312"/>
                <w:sz w:val="24"/>
              </w:rPr>
              <w:t>）</w:t>
            </w:r>
          </w:p>
        </w:tc>
        <w:tc>
          <w:tcPr>
            <w:tcW w:w="1674"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最高允许排放速率（kg/h）</w:t>
            </w:r>
          </w:p>
        </w:tc>
        <w:tc>
          <w:tcPr>
            <w:tcW w:w="2340"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494"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1"/>
                <w:szCs w:val="21"/>
              </w:rPr>
              <w:t>水泥回转窑废气</w:t>
            </w:r>
          </w:p>
        </w:tc>
        <w:tc>
          <w:tcPr>
            <w:tcW w:w="934"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110m</w:t>
            </w: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SO2</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150</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restart"/>
            <w:noWrap w:val="0"/>
            <w:vAlign w:val="center"/>
          </w:tcPr>
          <w:p>
            <w:pPr>
              <w:ind w:firstLine="0" w:firstLineChars="0"/>
              <w:rPr>
                <w:rFonts w:hint="eastAsia" w:ascii="楷体_GB2312" w:hAnsi="楷体_GB2312" w:eastAsia="楷体_GB2312" w:cs="楷体_GB2312"/>
                <w:sz w:val="24"/>
              </w:rPr>
            </w:pPr>
            <w:r>
              <w:rPr>
                <w:rFonts w:hint="eastAsia" w:ascii="宋体" w:hAnsi="宋体" w:cs="宋体"/>
                <w:sz w:val="24"/>
              </w:rPr>
              <w:t>排污许可证：</w:t>
            </w:r>
            <w:r>
              <w:rPr>
                <w:rFonts w:hint="eastAsia" w:ascii="楷体_GB2312" w:hAnsi="楷体_GB2312" w:eastAsia="楷体_GB2312" w:cs="楷体_GB2312"/>
                <w:sz w:val="24"/>
              </w:rPr>
              <w:t>91500106203401664G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NOx</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250</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continue"/>
            <w:noWrap w:val="0"/>
            <w:vAlign w:val="center"/>
          </w:tcPr>
          <w:p>
            <w:pPr>
              <w:ind w:firstLine="504"/>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颗粒物</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continue"/>
            <w:noWrap w:val="0"/>
            <w:vAlign w:val="center"/>
          </w:tcPr>
          <w:p>
            <w:pPr>
              <w:ind w:firstLine="504"/>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氟化物（以总F计）</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5</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汞及其化合物</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0.05</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9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93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271"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氨</w:t>
            </w:r>
          </w:p>
        </w:tc>
        <w:tc>
          <w:tcPr>
            <w:tcW w:w="1755"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1674" w:type="dxa"/>
            <w:noWrap w:val="0"/>
            <w:vAlign w:val="center"/>
          </w:tcPr>
          <w:p>
            <w:pPr>
              <w:ind w:firstLine="0" w:firstLineChars="0"/>
              <w:jc w:val="center"/>
              <w:rPr>
                <w:rFonts w:hint="eastAsia" w:ascii="楷体_GB2312" w:hAnsi="楷体_GB2312" w:eastAsia="楷体_GB2312" w:cs="楷体_GB2312"/>
                <w:sz w:val="24"/>
              </w:rPr>
            </w:pPr>
          </w:p>
        </w:tc>
        <w:tc>
          <w:tcPr>
            <w:tcW w:w="2340" w:type="dxa"/>
            <w:vMerge w:val="continue"/>
            <w:noWrap w:val="0"/>
            <w:vAlign w:val="center"/>
          </w:tcPr>
          <w:p>
            <w:pPr>
              <w:ind w:firstLine="0" w:firstLineChars="0"/>
              <w:jc w:val="center"/>
              <w:rPr>
                <w:rFonts w:hint="eastAsia" w:ascii="楷体_GB2312" w:hAnsi="楷体_GB2312" w:eastAsia="楷体_GB2312" w:cs="楷体_GB2312"/>
                <w:sz w:val="24"/>
              </w:rPr>
            </w:pPr>
          </w:p>
        </w:tc>
      </w:tr>
    </w:tbl>
    <w:p>
      <w:pPr>
        <w:ind w:firstLine="588"/>
        <w:jc w:val="center"/>
        <w:rPr>
          <w:rFonts w:hint="eastAsia" w:ascii="楷体_GB2312" w:hAnsi="楷体_GB2312" w:eastAsia="楷体_GB2312" w:cs="楷体_GB2312"/>
          <w:b/>
          <w:color w:val="000000"/>
          <w:szCs w:val="28"/>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0" w:firstLineChars="0"/>
        <w:rPr>
          <w:rFonts w:hint="eastAsia" w:ascii="楷体_GB2312" w:hAnsi="楷体_GB2312" w:eastAsia="楷体_GB2312" w:cs="楷体_GB2312"/>
          <w:b/>
          <w:color w:val="000000"/>
          <w:sz w:val="24"/>
        </w:rPr>
      </w:pPr>
    </w:p>
    <w:p>
      <w:pPr>
        <w:ind w:firstLine="504"/>
        <w:jc w:val="center"/>
        <w:rPr>
          <w:rFonts w:hint="eastAsia" w:ascii="楷体_GB2312" w:hAnsi="楷体_GB2312" w:eastAsia="楷体_GB2312" w:cs="楷体_GB2312"/>
          <w:b/>
          <w:color w:val="000000"/>
          <w:sz w:val="24"/>
        </w:rPr>
      </w:pPr>
      <w:r>
        <w:rPr>
          <w:rFonts w:hint="eastAsia" w:ascii="楷体_GB2312" w:hAnsi="楷体_GB2312" w:eastAsia="楷体_GB2312" w:cs="楷体_GB2312"/>
          <w:b/>
          <w:color w:val="000000"/>
          <w:sz w:val="24"/>
        </w:rPr>
        <w:t>表2-6-4  废水污染物排放标准</w:t>
      </w:r>
      <w:r>
        <w:rPr>
          <w:rFonts w:hint="eastAsia" w:ascii="楷体_GB2312" w:hAnsi="楷体_GB2312" w:eastAsia="楷体_GB2312" w:cs="楷体_GB2312"/>
          <w:b/>
          <w:sz w:val="24"/>
        </w:rPr>
        <w:t>、依据及其限值</w:t>
      </w:r>
    </w:p>
    <w:tbl>
      <w:tblPr>
        <w:tblStyle w:val="20"/>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174"/>
        <w:gridCol w:w="1897"/>
        <w:gridCol w:w="305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385"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污染源</w:t>
            </w:r>
          </w:p>
        </w:tc>
        <w:tc>
          <w:tcPr>
            <w:tcW w:w="1174"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污染物</w:t>
            </w:r>
          </w:p>
        </w:tc>
        <w:tc>
          <w:tcPr>
            <w:tcW w:w="4954" w:type="dxa"/>
            <w:gridSpan w:val="2"/>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执行/参照标准限值</w:t>
            </w:r>
          </w:p>
        </w:tc>
        <w:tc>
          <w:tcPr>
            <w:tcW w:w="2466"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897"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单位</w:t>
            </w:r>
          </w:p>
        </w:tc>
        <w:tc>
          <w:tcPr>
            <w:tcW w:w="3057"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限值</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385"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工业</w:t>
            </w:r>
            <w:r>
              <w:rPr>
                <w:rFonts w:hint="eastAsia" w:ascii="楷体_GB2312" w:hAnsi="楷体_GB2312" w:eastAsia="楷体_GB2312" w:cs="楷体_GB2312"/>
                <w:sz w:val="24"/>
              </w:rPr>
              <w:t>废水</w:t>
            </w:r>
          </w:p>
        </w:tc>
        <w:tc>
          <w:tcPr>
            <w:tcW w:w="1174" w:type="dxa"/>
            <w:noWrap w:val="0"/>
            <w:vAlign w:val="top"/>
          </w:tcPr>
          <w:p>
            <w:pPr>
              <w:ind w:firstLine="0" w:firstLineChars="0"/>
              <w:jc w:val="center"/>
              <w:rPr>
                <w:rFonts w:ascii="宋体" w:hAnsi="宋体"/>
                <w:color w:val="000000"/>
              </w:rPr>
            </w:pPr>
            <w:r>
              <w:rPr>
                <w:rFonts w:ascii="宋体" w:hAnsi="宋体"/>
                <w:color w:val="000000"/>
              </w:rPr>
              <w:t>石油类</w:t>
            </w:r>
          </w:p>
        </w:tc>
        <w:tc>
          <w:tcPr>
            <w:tcW w:w="1897"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2466"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排污许可证：</w:t>
            </w:r>
            <w:r>
              <w:rPr>
                <w:rFonts w:hint="eastAsia" w:ascii="楷体_GB2312" w:hAnsi="楷体_GB2312" w:eastAsia="楷体_GB2312" w:cs="楷体_GB2312"/>
                <w:sz w:val="24"/>
              </w:rPr>
              <w:t xml:space="preserve">91500106203401664G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top"/>
          </w:tcPr>
          <w:p>
            <w:pPr>
              <w:ind w:firstLine="0" w:firstLineChars="0"/>
              <w:jc w:val="center"/>
              <w:rPr>
                <w:rFonts w:ascii="宋体" w:hAnsi="宋体"/>
                <w:color w:val="000000"/>
              </w:rPr>
            </w:pPr>
            <w:r>
              <w:rPr>
                <w:rFonts w:ascii="宋体" w:hAnsi="宋体"/>
                <w:color w:val="000000"/>
              </w:rPr>
              <w:t>氟化物（以F-计）</w:t>
            </w:r>
          </w:p>
        </w:tc>
        <w:tc>
          <w:tcPr>
            <w:tcW w:w="1897" w:type="dxa"/>
            <w:vMerge w:val="continue"/>
            <w:noWrap w:val="0"/>
            <w:vAlign w:val="center"/>
          </w:tcPr>
          <w:p>
            <w:pPr>
              <w:ind w:firstLine="0" w:firstLineChars="0"/>
              <w:jc w:val="center"/>
              <w:rPr>
                <w:rFonts w:hint="eastAsia" w:ascii="楷体_GB2312" w:hAnsi="楷体_GB2312" w:eastAsia="楷体_GB2312" w:cs="楷体_GB2312"/>
                <w:sz w:val="24"/>
              </w:rPr>
            </w:pP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top"/>
          </w:tcPr>
          <w:p>
            <w:pPr>
              <w:ind w:firstLine="0" w:firstLineChars="0"/>
              <w:jc w:val="center"/>
              <w:rPr>
                <w:rFonts w:ascii="宋体" w:hAnsi="宋体"/>
                <w:color w:val="000000"/>
              </w:rPr>
            </w:pPr>
            <w:r>
              <w:rPr>
                <w:rFonts w:ascii="宋体" w:hAnsi="宋体"/>
                <w:color w:val="000000"/>
              </w:rPr>
              <w:t>化学需氧量</w:t>
            </w:r>
          </w:p>
        </w:tc>
        <w:tc>
          <w:tcPr>
            <w:tcW w:w="1897" w:type="dxa"/>
            <w:vMerge w:val="continue"/>
            <w:noWrap w:val="0"/>
            <w:vAlign w:val="center"/>
          </w:tcPr>
          <w:p>
            <w:pPr>
              <w:ind w:firstLine="0" w:firstLineChars="0"/>
              <w:jc w:val="center"/>
              <w:rPr>
                <w:rFonts w:hint="eastAsia" w:ascii="楷体_GB2312" w:hAnsi="楷体_GB2312" w:eastAsia="楷体_GB2312" w:cs="楷体_GB2312"/>
                <w:sz w:val="24"/>
              </w:rPr>
            </w:pP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top"/>
          </w:tcPr>
          <w:p>
            <w:pPr>
              <w:ind w:firstLine="0" w:firstLineChars="0"/>
              <w:jc w:val="center"/>
              <w:rPr>
                <w:rFonts w:ascii="宋体" w:hAnsi="宋体"/>
                <w:color w:val="000000"/>
              </w:rPr>
            </w:pPr>
            <w:r>
              <w:rPr>
                <w:rFonts w:ascii="宋体" w:hAnsi="宋体"/>
                <w:color w:val="000000"/>
              </w:rPr>
              <w:t>悬浮物</w:t>
            </w:r>
          </w:p>
        </w:tc>
        <w:tc>
          <w:tcPr>
            <w:tcW w:w="1897" w:type="dxa"/>
            <w:vMerge w:val="continue"/>
            <w:noWrap w:val="0"/>
            <w:vAlign w:val="center"/>
          </w:tcPr>
          <w:p>
            <w:pPr>
              <w:ind w:firstLine="0" w:firstLineChars="0"/>
              <w:jc w:val="center"/>
              <w:rPr>
                <w:rFonts w:hint="eastAsia" w:ascii="楷体_GB2312" w:hAnsi="楷体_GB2312" w:eastAsia="楷体_GB2312" w:cs="楷体_GB2312"/>
                <w:sz w:val="24"/>
              </w:rPr>
            </w:pP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70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PH</w:t>
            </w:r>
          </w:p>
        </w:tc>
        <w:tc>
          <w:tcPr>
            <w:tcW w:w="189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无纲量</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6-9</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生活废水</w:t>
            </w: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化学需氧量</w:t>
            </w:r>
          </w:p>
        </w:tc>
        <w:tc>
          <w:tcPr>
            <w:tcW w:w="1897"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100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五日生化需氧量</w:t>
            </w:r>
          </w:p>
        </w:tc>
        <w:tc>
          <w:tcPr>
            <w:tcW w:w="1897" w:type="dxa"/>
            <w:vMerge w:val="continue"/>
            <w:noWrap w:val="0"/>
            <w:vAlign w:val="center"/>
          </w:tcPr>
          <w:p>
            <w:pPr>
              <w:ind w:firstLine="0" w:firstLineChars="0"/>
              <w:jc w:val="center"/>
              <w:rPr>
                <w:rFonts w:hint="eastAsia" w:ascii="楷体_GB2312" w:hAnsi="楷体_GB2312" w:eastAsia="楷体_GB2312" w:cs="楷体_GB2312"/>
                <w:sz w:val="24"/>
              </w:rPr>
            </w:pP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30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悬浮物</w:t>
            </w:r>
          </w:p>
        </w:tc>
        <w:tc>
          <w:tcPr>
            <w:tcW w:w="1897" w:type="dxa"/>
            <w:vMerge w:val="continue"/>
            <w:noWrap w:val="0"/>
            <w:vAlign w:val="center"/>
          </w:tcPr>
          <w:p>
            <w:pPr>
              <w:ind w:firstLine="0" w:firstLineChars="0"/>
              <w:jc w:val="center"/>
              <w:rPr>
                <w:rFonts w:hint="eastAsia" w:ascii="楷体_GB2312" w:hAnsi="楷体_GB2312" w:eastAsia="楷体_GB2312" w:cs="楷体_GB2312"/>
                <w:sz w:val="24"/>
              </w:rPr>
            </w:pP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70</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总磷（以P计）</w:t>
            </w:r>
          </w:p>
        </w:tc>
        <w:tc>
          <w:tcPr>
            <w:tcW w:w="1897" w:type="dxa"/>
            <w:noWrap w:val="0"/>
            <w:vAlign w:val="center"/>
          </w:tcPr>
          <w:p>
            <w:pPr>
              <w:ind w:firstLine="0" w:firstLineChars="0"/>
              <w:jc w:val="center"/>
              <w:rPr>
                <w:rFonts w:hint="eastAsia" w:ascii="楷体_GB2312" w:hAnsi="楷体_GB2312" w:eastAsia="楷体_GB2312" w:cs="楷体_GB2312"/>
                <w:sz w:val="24"/>
              </w:rPr>
            </w:pPr>
            <w:r>
              <w:rPr>
                <w:rFonts w:ascii="宋体" w:hAnsi="宋体"/>
                <w:color w:val="000000"/>
                <w:sz w:val="24"/>
              </w:rPr>
              <w:t>以P计</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0.5</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氨氮（NH3-N）</w:t>
            </w:r>
          </w:p>
        </w:tc>
        <w:tc>
          <w:tcPr>
            <w:tcW w:w="189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mg/L</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15</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85"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174" w:type="dxa"/>
            <w:noWrap w:val="0"/>
            <w:vAlign w:val="center"/>
          </w:tcPr>
          <w:p>
            <w:pPr>
              <w:ind w:firstLine="0" w:firstLineChars="0"/>
              <w:jc w:val="center"/>
              <w:rPr>
                <w:rFonts w:ascii="宋体" w:hAnsi="宋体"/>
                <w:color w:val="000000"/>
                <w:sz w:val="24"/>
              </w:rPr>
            </w:pPr>
            <w:r>
              <w:rPr>
                <w:rFonts w:ascii="宋体" w:hAnsi="宋体"/>
                <w:color w:val="000000"/>
                <w:sz w:val="24"/>
              </w:rPr>
              <w:t>pH值</w:t>
            </w:r>
          </w:p>
        </w:tc>
        <w:tc>
          <w:tcPr>
            <w:tcW w:w="1897" w:type="dxa"/>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4"/>
              </w:rPr>
              <w:t>无量纲</w:t>
            </w:r>
          </w:p>
        </w:tc>
        <w:tc>
          <w:tcPr>
            <w:tcW w:w="3057"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6-9</w:t>
            </w:r>
          </w:p>
        </w:tc>
        <w:tc>
          <w:tcPr>
            <w:tcW w:w="2466" w:type="dxa"/>
            <w:vMerge w:val="continue"/>
            <w:noWrap w:val="0"/>
            <w:vAlign w:val="center"/>
          </w:tcPr>
          <w:p>
            <w:pPr>
              <w:ind w:firstLine="0" w:firstLineChars="0"/>
              <w:jc w:val="center"/>
              <w:rPr>
                <w:rFonts w:hint="eastAsia" w:ascii="楷体_GB2312" w:hAnsi="楷体_GB2312" w:eastAsia="楷体_GB2312" w:cs="楷体_GB2312"/>
                <w:sz w:val="24"/>
              </w:rPr>
            </w:pPr>
          </w:p>
        </w:tc>
      </w:tr>
    </w:tbl>
    <w:p>
      <w:pPr>
        <w:tabs>
          <w:tab w:val="left" w:pos="4140"/>
        </w:tabs>
        <w:ind w:firstLine="504"/>
        <w:rPr>
          <w:rFonts w:hint="eastAsia" w:ascii="楷体_GB2312" w:hAnsi="楷体_GB2312" w:eastAsia="楷体_GB2312" w:cs="楷体_GB2312"/>
          <w:sz w:val="24"/>
        </w:rPr>
      </w:pPr>
    </w:p>
    <w:p>
      <w:pPr>
        <w:ind w:firstLine="504"/>
        <w:jc w:val="center"/>
        <w:rPr>
          <w:rFonts w:hint="eastAsia" w:ascii="楷体_GB2312" w:hAnsi="楷体_GB2312" w:eastAsia="楷体_GB2312" w:cs="楷体_GB2312"/>
          <w:b/>
          <w:color w:val="000000"/>
          <w:sz w:val="24"/>
        </w:rPr>
      </w:pPr>
      <w:r>
        <w:rPr>
          <w:rFonts w:hint="eastAsia" w:ascii="楷体_GB2312" w:hAnsi="楷体_GB2312" w:eastAsia="楷体_GB2312" w:cs="楷体_GB2312"/>
          <w:b/>
          <w:color w:val="000000"/>
          <w:sz w:val="24"/>
        </w:rPr>
        <w:t>表2-6-5  噪声标准</w:t>
      </w:r>
      <w:r>
        <w:rPr>
          <w:rFonts w:hint="eastAsia" w:ascii="楷体_GB2312" w:hAnsi="楷体_GB2312" w:eastAsia="楷体_GB2312" w:cs="楷体_GB2312"/>
          <w:b/>
          <w:sz w:val="24"/>
        </w:rPr>
        <w:t>、依据及其限值</w:t>
      </w:r>
    </w:p>
    <w:tbl>
      <w:tblPr>
        <w:tblStyle w:val="2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800"/>
        <w:gridCol w:w="2900"/>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污染因子</w:t>
            </w:r>
          </w:p>
        </w:tc>
        <w:tc>
          <w:tcPr>
            <w:tcW w:w="4700" w:type="dxa"/>
            <w:gridSpan w:val="2"/>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执行/参照标准限值</w:t>
            </w:r>
          </w:p>
        </w:tc>
        <w:tc>
          <w:tcPr>
            <w:tcW w:w="2320" w:type="dxa"/>
            <w:vMerge w:val="restart"/>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vMerge w:val="continue"/>
            <w:noWrap w:val="0"/>
            <w:vAlign w:val="center"/>
          </w:tcPr>
          <w:p>
            <w:pPr>
              <w:ind w:firstLine="0" w:firstLineChars="0"/>
              <w:jc w:val="center"/>
              <w:rPr>
                <w:rFonts w:hint="eastAsia" w:ascii="楷体_GB2312" w:hAnsi="楷体_GB2312" w:eastAsia="楷体_GB2312" w:cs="楷体_GB2312"/>
                <w:sz w:val="24"/>
              </w:rPr>
            </w:pPr>
          </w:p>
        </w:tc>
        <w:tc>
          <w:tcPr>
            <w:tcW w:w="180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单位</w:t>
            </w:r>
          </w:p>
        </w:tc>
        <w:tc>
          <w:tcPr>
            <w:tcW w:w="2900" w:type="dxa"/>
            <w:noWrap w:val="0"/>
            <w:vAlign w:val="center"/>
          </w:tcPr>
          <w:p>
            <w:pPr>
              <w:spacing w:line="240" w:lineRule="auto"/>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限值</w:t>
            </w:r>
          </w:p>
        </w:tc>
        <w:tc>
          <w:tcPr>
            <w:tcW w:w="2320" w:type="dxa"/>
            <w:vMerge w:val="continue"/>
            <w:noWrap w:val="0"/>
            <w:vAlign w:val="center"/>
          </w:tcPr>
          <w:p>
            <w:pPr>
              <w:ind w:firstLine="0" w:firstLineChars="0"/>
              <w:jc w:val="center"/>
              <w:rPr>
                <w:rFonts w:hint="eastAsia" w:ascii="楷体_GB2312" w:hAnsi="楷体_GB2312" w:eastAsia="楷体_GB2312" w:cs="楷体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8"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噪声</w:t>
            </w:r>
          </w:p>
        </w:tc>
        <w:tc>
          <w:tcPr>
            <w:tcW w:w="1800"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dB（A）</w:t>
            </w:r>
          </w:p>
        </w:tc>
        <w:tc>
          <w:tcPr>
            <w:tcW w:w="2900" w:type="dxa"/>
            <w:noWrap w:val="0"/>
            <w:vAlign w:val="center"/>
          </w:tcPr>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昼间：60</w:t>
            </w:r>
          </w:p>
          <w:p>
            <w:pPr>
              <w:ind w:firstLine="0" w:firstLineChars="0"/>
              <w:jc w:val="center"/>
              <w:rPr>
                <w:rFonts w:hint="eastAsia" w:ascii="楷体_GB2312" w:hAnsi="楷体_GB2312" w:eastAsia="楷体_GB2312" w:cs="楷体_GB2312"/>
                <w:sz w:val="24"/>
              </w:rPr>
            </w:pPr>
            <w:r>
              <w:rPr>
                <w:rFonts w:hint="eastAsia" w:ascii="楷体_GB2312" w:hAnsi="楷体_GB2312" w:eastAsia="楷体_GB2312" w:cs="楷体_GB2312"/>
                <w:sz w:val="24"/>
              </w:rPr>
              <w:t>夜间：50</w:t>
            </w:r>
          </w:p>
        </w:tc>
        <w:tc>
          <w:tcPr>
            <w:tcW w:w="2320" w:type="dxa"/>
            <w:noWrap w:val="0"/>
            <w:vAlign w:val="center"/>
          </w:tcPr>
          <w:p>
            <w:pPr>
              <w:pStyle w:val="41"/>
              <w:numPr>
                <w:ilvl w:val="0"/>
                <w:numId w:val="0"/>
              </w:numPr>
              <w:rPr>
                <w:rFonts w:hint="eastAsia" w:ascii="楷体_GB2312" w:hAnsi="楷体_GB2312" w:eastAsia="楷体_GB2312" w:cs="楷体_GB2312"/>
              </w:rPr>
            </w:pPr>
            <w:r>
              <w:rPr>
                <w:rFonts w:hint="eastAsia" w:hAnsi="宋体" w:cs="宋体"/>
                <w:sz w:val="24"/>
              </w:rPr>
              <w:t>排污许可证：</w:t>
            </w:r>
            <w:r>
              <w:rPr>
                <w:rFonts w:hint="eastAsia" w:ascii="楷体_GB2312" w:hAnsi="楷体_GB2312" w:eastAsia="楷体_GB2312" w:cs="楷体_GB2312"/>
                <w:sz w:val="24"/>
              </w:rPr>
              <w:t xml:space="preserve">91500106203401664G </w:t>
            </w:r>
          </w:p>
        </w:tc>
      </w:tr>
    </w:tbl>
    <w:p>
      <w:pPr>
        <w:ind w:firstLine="504"/>
        <w:rPr>
          <w:rFonts w:hint="eastAsia" w:ascii="楷体_GB2312" w:hAnsi="楷体_GB2312" w:eastAsia="楷体_GB2312" w:cs="楷体_GB2312"/>
          <w:sz w:val="24"/>
        </w:rPr>
      </w:pPr>
    </w:p>
    <w:p>
      <w:pPr>
        <w:ind w:firstLine="0" w:firstLineChars="0"/>
        <w:rPr>
          <w:rFonts w:hint="eastAsia" w:ascii="楷体_GB2312" w:hAnsi="楷体_GB2312" w:eastAsia="楷体_GB2312" w:cs="楷体_GB2312"/>
          <w:b/>
          <w:sz w:val="24"/>
        </w:rPr>
      </w:pPr>
      <w:r>
        <w:rPr>
          <w:rFonts w:hint="eastAsia" w:ascii="楷体_GB2312" w:hAnsi="楷体_GB2312" w:eastAsia="楷体_GB2312" w:cs="楷体_GB2312"/>
          <w:b/>
          <w:color w:val="000000"/>
          <w:sz w:val="24"/>
        </w:rPr>
        <w:t>表2-6-6  污染物总量控制指标</w:t>
      </w:r>
      <w:r>
        <w:rPr>
          <w:rFonts w:hint="eastAsia" w:ascii="楷体_GB2312" w:hAnsi="楷体_GB2312" w:eastAsia="楷体_GB2312" w:cs="楷体_GB2312"/>
          <w:b/>
          <w:sz w:val="24"/>
        </w:rPr>
        <w:t>、依据及其限值</w:t>
      </w:r>
    </w:p>
    <w:tbl>
      <w:tblPr>
        <w:tblStyle w:val="20"/>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824"/>
        <w:gridCol w:w="2700"/>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609" w:type="dxa"/>
            <w:gridSpan w:val="2"/>
            <w:noWrap w:val="0"/>
            <w:vAlign w:val="center"/>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项目</w:t>
            </w:r>
          </w:p>
        </w:tc>
        <w:tc>
          <w:tcPr>
            <w:tcW w:w="2700" w:type="dxa"/>
            <w:noWrap w:val="0"/>
            <w:vAlign w:val="center"/>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总量控制指标*（t/a）</w:t>
            </w:r>
          </w:p>
        </w:tc>
        <w:tc>
          <w:tcPr>
            <w:tcW w:w="3116" w:type="dxa"/>
            <w:noWrap w:val="0"/>
            <w:vAlign w:val="top"/>
          </w:tcPr>
          <w:p>
            <w:pPr>
              <w:spacing w:line="240" w:lineRule="auto"/>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指标来源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noWrap w:val="0"/>
            <w:vAlign w:val="center"/>
          </w:tcPr>
          <w:p>
            <w:pPr>
              <w:ind w:firstLine="0" w:firstLineChars="0"/>
              <w:jc w:val="center"/>
              <w:rPr>
                <w:rFonts w:hint="eastAsia" w:ascii="楷体_GB2312" w:hAnsi="楷体_GB2312" w:eastAsia="楷体_GB2312" w:cs="楷体_GB2312"/>
                <w:sz w:val="24"/>
              </w:rPr>
            </w:pPr>
            <w:r>
              <w:rPr>
                <w:rFonts w:hint="eastAsia" w:ascii="宋体" w:hAnsi="宋体" w:cs="宋体"/>
                <w:sz w:val="21"/>
                <w:szCs w:val="21"/>
              </w:rPr>
              <w:t>大气</w:t>
            </w:r>
          </w:p>
        </w:tc>
        <w:tc>
          <w:tcPr>
            <w:tcW w:w="1824"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颗粒物</w:t>
            </w:r>
          </w:p>
        </w:tc>
        <w:tc>
          <w:tcPr>
            <w:tcW w:w="2700"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158.37</w:t>
            </w:r>
          </w:p>
        </w:tc>
        <w:tc>
          <w:tcPr>
            <w:tcW w:w="3116" w:type="dxa"/>
            <w:vMerge w:val="restart"/>
            <w:noWrap w:val="0"/>
            <w:vAlign w:val="center"/>
          </w:tcPr>
          <w:p>
            <w:pPr>
              <w:ind w:firstLine="0" w:firstLineChars="0"/>
              <w:jc w:val="center"/>
              <w:rPr>
                <w:rFonts w:hint="eastAsia" w:ascii="楷体_GB2312" w:hAnsi="楷体_GB2312" w:eastAsia="楷体_GB2312" w:cs="楷体_GB2312"/>
                <w:bCs/>
                <w:color w:val="000000"/>
                <w:sz w:val="21"/>
                <w:szCs w:val="21"/>
              </w:rPr>
            </w:pPr>
            <w:r>
              <w:rPr>
                <w:rFonts w:hint="eastAsia" w:ascii="宋体" w:hAnsi="宋体" w:cs="宋体"/>
                <w:sz w:val="24"/>
              </w:rPr>
              <w:t>排污许可证：</w:t>
            </w:r>
            <w:r>
              <w:rPr>
                <w:rFonts w:hint="eastAsia" w:ascii="楷体_GB2312" w:hAnsi="楷体_GB2312" w:eastAsia="楷体_GB2312" w:cs="楷体_GB2312"/>
                <w:sz w:val="24"/>
              </w:rPr>
              <w:t xml:space="preserve">91500106203401664G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noWrap w:val="0"/>
            <w:vAlign w:val="center"/>
          </w:tcPr>
          <w:p>
            <w:pPr>
              <w:ind w:firstLine="0" w:firstLineChars="0"/>
              <w:jc w:val="center"/>
              <w:rPr>
                <w:rFonts w:hint="eastAsia" w:ascii="楷体_GB2312" w:hAnsi="楷体_GB2312" w:eastAsia="楷体_GB2312" w:cs="楷体_GB2312"/>
                <w:bCs/>
                <w:color w:val="000000"/>
                <w:sz w:val="24"/>
              </w:rPr>
            </w:pPr>
          </w:p>
        </w:tc>
        <w:tc>
          <w:tcPr>
            <w:tcW w:w="1824"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SO</w:t>
            </w:r>
            <w:r>
              <w:rPr>
                <w:rFonts w:hint="eastAsia" w:ascii="楷体_GB2312" w:hAnsi="楷体_GB2312" w:eastAsia="楷体_GB2312" w:cs="楷体_GB2312"/>
                <w:bCs/>
                <w:color w:val="000000"/>
                <w:sz w:val="24"/>
                <w:vertAlign w:val="subscript"/>
              </w:rPr>
              <w:t>2</w:t>
            </w:r>
          </w:p>
        </w:tc>
        <w:tc>
          <w:tcPr>
            <w:tcW w:w="2700"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216.4</w:t>
            </w:r>
          </w:p>
        </w:tc>
        <w:tc>
          <w:tcPr>
            <w:tcW w:w="3116" w:type="dxa"/>
            <w:vMerge w:val="continue"/>
            <w:noWrap w:val="0"/>
            <w:vAlign w:val="center"/>
          </w:tcPr>
          <w:p>
            <w:pPr>
              <w:ind w:firstLine="0" w:firstLineChars="0"/>
              <w:jc w:val="center"/>
              <w:rPr>
                <w:rFonts w:hint="eastAsia" w:ascii="楷体_GB2312" w:hAnsi="楷体_GB2312" w:eastAsia="楷体_GB2312" w:cs="楷体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noWrap w:val="0"/>
            <w:vAlign w:val="center"/>
          </w:tcPr>
          <w:p>
            <w:pPr>
              <w:ind w:firstLine="0" w:firstLineChars="0"/>
              <w:jc w:val="center"/>
              <w:rPr>
                <w:rFonts w:hint="eastAsia" w:ascii="楷体_GB2312" w:hAnsi="楷体_GB2312" w:eastAsia="楷体_GB2312" w:cs="楷体_GB2312"/>
                <w:bCs/>
                <w:color w:val="000000"/>
                <w:sz w:val="24"/>
              </w:rPr>
            </w:pPr>
          </w:p>
        </w:tc>
        <w:tc>
          <w:tcPr>
            <w:tcW w:w="1824"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NOx</w:t>
            </w:r>
          </w:p>
        </w:tc>
        <w:tc>
          <w:tcPr>
            <w:tcW w:w="2700"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562.5</w:t>
            </w:r>
          </w:p>
        </w:tc>
        <w:tc>
          <w:tcPr>
            <w:tcW w:w="3116" w:type="dxa"/>
            <w:vMerge w:val="continue"/>
            <w:noWrap w:val="0"/>
            <w:vAlign w:val="center"/>
          </w:tcPr>
          <w:p>
            <w:pPr>
              <w:ind w:firstLine="0" w:firstLineChars="0"/>
              <w:jc w:val="center"/>
              <w:rPr>
                <w:rFonts w:hint="eastAsia" w:ascii="楷体_GB2312" w:hAnsi="楷体_GB2312" w:eastAsia="楷体_GB2312" w:cs="楷体_GB2312"/>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785" w:type="dxa"/>
            <w:vMerge w:val="restart"/>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生活废水</w:t>
            </w:r>
          </w:p>
        </w:tc>
        <w:tc>
          <w:tcPr>
            <w:tcW w:w="1824"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COD</w:t>
            </w:r>
          </w:p>
        </w:tc>
        <w:tc>
          <w:tcPr>
            <w:tcW w:w="2700"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0.292</w:t>
            </w:r>
          </w:p>
        </w:tc>
        <w:tc>
          <w:tcPr>
            <w:tcW w:w="3116" w:type="dxa"/>
            <w:vMerge w:val="restart"/>
            <w:noWrap w:val="0"/>
            <w:vAlign w:val="center"/>
          </w:tcPr>
          <w:p>
            <w:pPr>
              <w:ind w:firstLine="480"/>
              <w:jc w:val="center"/>
              <w:rPr>
                <w:rFonts w:hint="eastAsia" w:ascii="楷体_GB2312" w:hAnsi="楷体_GB2312" w:eastAsia="楷体_GB2312" w:cs="楷体_GB2312"/>
                <w:bCs/>
                <w:color w:val="000000"/>
                <w:sz w:val="24"/>
              </w:rPr>
            </w:pPr>
            <w:r>
              <w:rPr>
                <w:rFonts w:hint="eastAsia" w:ascii="宋体" w:hAnsi="宋体" w:cs="宋体"/>
                <w:sz w:val="24"/>
              </w:rPr>
              <w:t>排污许可证：</w:t>
            </w:r>
            <w:r>
              <w:rPr>
                <w:rFonts w:hint="eastAsia" w:ascii="楷体_GB2312" w:hAnsi="楷体_GB2312" w:eastAsia="楷体_GB2312" w:cs="楷体_GB2312"/>
                <w:sz w:val="24"/>
              </w:rPr>
              <w:t>91500106203401664G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785" w:type="dxa"/>
            <w:vMerge w:val="continue"/>
            <w:noWrap w:val="0"/>
            <w:vAlign w:val="center"/>
          </w:tcPr>
          <w:p>
            <w:pPr>
              <w:ind w:firstLine="0" w:firstLineChars="0"/>
              <w:jc w:val="center"/>
              <w:rPr>
                <w:rFonts w:hint="eastAsia" w:ascii="楷体_GB2312" w:hAnsi="楷体_GB2312" w:eastAsia="楷体_GB2312" w:cs="楷体_GB2312"/>
                <w:bCs/>
                <w:color w:val="000000"/>
                <w:sz w:val="24"/>
              </w:rPr>
            </w:pPr>
          </w:p>
        </w:tc>
        <w:tc>
          <w:tcPr>
            <w:tcW w:w="1824"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氨氮</w:t>
            </w:r>
          </w:p>
        </w:tc>
        <w:tc>
          <w:tcPr>
            <w:tcW w:w="2700" w:type="dxa"/>
            <w:noWrap w:val="0"/>
            <w:vAlign w:val="center"/>
          </w:tcPr>
          <w:p>
            <w:pPr>
              <w:ind w:firstLine="0" w:firstLineChars="0"/>
              <w:jc w:val="center"/>
              <w:rPr>
                <w:rFonts w:hint="eastAsia" w:ascii="楷体_GB2312" w:hAnsi="楷体_GB2312" w:eastAsia="楷体_GB2312" w:cs="楷体_GB2312"/>
                <w:bCs/>
                <w:color w:val="000000"/>
                <w:sz w:val="24"/>
              </w:rPr>
            </w:pPr>
            <w:r>
              <w:rPr>
                <w:rFonts w:hint="eastAsia" w:ascii="楷体_GB2312" w:hAnsi="楷体_GB2312" w:eastAsia="楷体_GB2312" w:cs="楷体_GB2312"/>
                <w:bCs/>
                <w:color w:val="000000"/>
                <w:sz w:val="24"/>
              </w:rPr>
              <w:t>0.044</w:t>
            </w:r>
          </w:p>
        </w:tc>
        <w:tc>
          <w:tcPr>
            <w:tcW w:w="3116" w:type="dxa"/>
            <w:vMerge w:val="continue"/>
            <w:noWrap w:val="0"/>
            <w:vAlign w:val="center"/>
          </w:tcPr>
          <w:p>
            <w:pPr>
              <w:ind w:firstLine="0" w:firstLineChars="0"/>
              <w:jc w:val="center"/>
              <w:rPr>
                <w:rFonts w:hint="eastAsia" w:ascii="楷体_GB2312" w:hAnsi="楷体_GB2312" w:eastAsia="楷体_GB2312" w:cs="楷体_GB2312"/>
                <w:sz w:val="21"/>
                <w:szCs w:val="21"/>
              </w:rPr>
            </w:pPr>
          </w:p>
        </w:tc>
      </w:tr>
    </w:tbl>
    <w:p>
      <w:pPr>
        <w:ind w:firstLine="504"/>
        <w:jc w:val="left"/>
        <w:rPr>
          <w:rFonts w:hint="eastAsia" w:ascii="楷体_GB2312" w:hAnsi="楷体_GB2312" w:eastAsia="楷体_GB2312" w:cs="楷体_GB2312"/>
          <w:bCs/>
          <w:color w:val="000000"/>
          <w:szCs w:val="21"/>
        </w:rPr>
      </w:pPr>
      <w:r>
        <w:rPr>
          <w:rFonts w:hint="eastAsia" w:ascii="楷体_GB2312" w:hAnsi="楷体_GB2312" w:eastAsia="楷体_GB2312" w:cs="楷体_GB2312"/>
          <w:bCs/>
          <w:color w:val="000000"/>
          <w:sz w:val="24"/>
        </w:rPr>
        <w:t>注：*以该项目环境影响评价及其批复、或环境管理限值要求为依据</w:t>
      </w:r>
    </w:p>
    <w:p>
      <w:pPr>
        <w:pStyle w:val="3"/>
        <w:rPr>
          <w:rFonts w:hint="eastAsia" w:ascii="楷体_GB2312" w:hAnsi="楷体_GB2312" w:eastAsia="楷体_GB2312" w:cs="楷体_GB2312"/>
        </w:rPr>
      </w:pPr>
      <w:bookmarkStart w:id="1458" w:name="_Toc373998378"/>
      <w:r>
        <w:rPr>
          <w:rFonts w:hint="eastAsia" w:ascii="楷体_GB2312" w:hAnsi="楷体_GB2312" w:eastAsia="楷体_GB2312" w:cs="楷体_GB2312"/>
        </w:rPr>
        <w:t>三、监测点位及厂区平面图</w:t>
      </w:r>
      <w:bookmarkEnd w:id="1458"/>
    </w:p>
    <w:p>
      <w:pPr>
        <w:ind w:firstLine="588"/>
        <w:rPr>
          <w:rFonts w:hint="eastAsia" w:ascii="楷体_GB2312" w:hAnsi="楷体_GB2312" w:eastAsia="楷体_GB2312" w:cs="楷体_GB2312"/>
        </w:rPr>
      </w:pPr>
      <w:r>
        <w:rPr>
          <w:rFonts w:hint="eastAsia" w:ascii="楷体_GB2312" w:hAnsi="楷体_GB2312" w:eastAsia="楷体_GB2312" w:cs="楷体_GB2312"/>
        </w:rPr>
        <w:t>主要的产排污环节、环境敏感点和监测点位及厂区平面示意图。</w:t>
      </w:r>
    </w:p>
    <w:p>
      <w:pPr>
        <w:ind w:firstLine="441"/>
        <w:rPr>
          <w:rFonts w:hint="eastAsia" w:ascii="楷体_GB2312" w:hAnsi="楷体_GB2312" w:eastAsia="楷体_GB2312" w:cs="楷体_GB2312"/>
          <w:b/>
          <w:sz w:val="21"/>
          <w:szCs w:val="21"/>
        </w:rPr>
      </w:pPr>
      <w:r>
        <w:rPr>
          <w:rFonts w:hint="eastAsia" w:ascii="楷体_GB2312" w:hAnsi="楷体_GB2312" w:eastAsia="楷体_GB2312" w:cs="楷体_GB2312"/>
          <w:b/>
          <w:sz w:val="21"/>
          <w:szCs w:val="21"/>
        </w:rPr>
        <w:t>（监测布点图中应统一标识符。空气和废气：环境空气●，有组织废气◎，无组织废气○；水和废水：环境水质☆，废水 ★；噪声： 敏感点噪声△，其他噪声 ▲；固体物质和固体废物：固体物质□，固体废物■。）</w:t>
      </w:r>
    </w:p>
    <w:p>
      <w:pPr>
        <w:ind w:firstLine="0" w:firstLineChars="0"/>
        <w:rPr>
          <w:rFonts w:hint="eastAsia" w:ascii="楷体_GB2312" w:hAnsi="楷体_GB2312" w:eastAsia="楷体_GB2312" w:cs="楷体_GB2312"/>
        </w:rPr>
        <w:sectPr>
          <w:headerReference r:id="rId25" w:type="first"/>
          <w:footerReference r:id="rId28" w:type="first"/>
          <w:headerReference r:id="rId23" w:type="default"/>
          <w:footerReference r:id="rId26" w:type="default"/>
          <w:headerReference r:id="rId24" w:type="even"/>
          <w:footerReference r:id="rId27" w:type="even"/>
          <w:pgSz w:w="12240" w:h="15840"/>
          <w:pgMar w:top="1440" w:right="1800" w:bottom="1440" w:left="1800" w:header="720" w:footer="720" w:gutter="0"/>
          <w:lnNumType w:countBy="0" w:distance="360"/>
          <w:pgNumType w:fmt="numberInDash"/>
          <w:cols w:space="720" w:num="1"/>
          <w:docGrid w:type="lines" w:linePitch="312" w:charSpace="0"/>
        </w:sectPr>
      </w:pPr>
    </w:p>
    <w:p>
      <w:pPr>
        <w:ind w:firstLine="0" w:firstLineChars="0"/>
        <w:rPr>
          <w:rFonts w:hint="eastAsia" w:ascii="楷体_GB2312" w:hAnsi="楷体_GB2312" w:eastAsia="楷体_GB2312" w:cs="楷体_GB2312"/>
        </w:rPr>
      </w:pPr>
      <w:r>
        <w:object>
          <v:shape id="_x0000_i1036" o:spt="75" type="#_x0000_t75" style="height:193.3pt;width:482.65pt;" o:ole="t" filled="f" o:preferrelative="t" stroked="f" coordsize="21600,21600">
            <v:path/>
            <v:fill on="f" focussize="0,0"/>
            <v:stroke on="f"/>
            <v:imagedata r:id="rId31" o:title=""/>
            <o:lock v:ext="edit" aspectratio="t"/>
            <w10:wrap type="none"/>
            <w10:anchorlock/>
          </v:shape>
          <o:OLEObject Type="Embed" ProgID="Visio.Drawing.11" ShapeID="_x0000_i1036" DrawAspect="Content" ObjectID="_1468075737" r:id="rId68">
            <o:LockedField>false</o:LockedField>
          </o:OLEObject>
        </w:object>
      </w:r>
    </w:p>
    <w:p>
      <w:pPr>
        <w:ind w:firstLine="0" w:firstLineChars="0"/>
        <w:rPr>
          <w:rFonts w:hint="eastAsia" w:ascii="楷体_GB2312" w:hAnsi="楷体_GB2312" w:eastAsia="楷体_GB2312" w:cs="楷体_GB2312"/>
          <w:b/>
          <w:bCs/>
          <w:sz w:val="24"/>
          <w:szCs w:val="22"/>
        </w:rPr>
      </w:pPr>
      <w:r>
        <w:rPr>
          <w:rFonts w:hint="eastAsia" w:ascii="楷体_GB2312" w:hAnsi="楷体_GB2312" w:eastAsia="楷体_GB2312" w:cs="楷体_GB2312"/>
          <w:b/>
          <w:bCs/>
          <w:sz w:val="24"/>
          <w:szCs w:val="22"/>
        </w:rPr>
        <w:t xml:space="preserve">     图3-1 监测点位及厂区平面图</w:t>
      </w:r>
    </w:p>
    <w:p>
      <w:pPr>
        <w:ind w:firstLine="588"/>
        <w:rPr>
          <w:rFonts w:hint="eastAsia" w:ascii="楷体_GB2312" w:hAnsi="楷体_GB2312" w:eastAsia="楷体_GB2312" w:cs="楷体_GB2312"/>
        </w:rPr>
      </w:pPr>
      <w:r>
        <w:rPr>
          <w:rFonts w:hint="eastAsia" w:ascii="楷体_GB2312" w:hAnsi="楷体_GB2312" w:eastAsia="楷体_GB2312" w:cs="楷体_GB2312"/>
        </w:rPr>
        <w:t>注：4、5、6#排口是属于配料系统除尘随工艺的更替启停除尘器；7、8#为一用一备；32-35#为水泥磨尾后排，随水泥磨工段启停；42-53#随水泥库存放水泥时段启停。</w:t>
      </w:r>
    </w:p>
    <w:p>
      <w:pPr>
        <w:ind w:firstLine="588"/>
        <w:rPr>
          <w:rFonts w:hint="eastAsia" w:ascii="楷体_GB2312" w:hAnsi="楷体_GB2312" w:eastAsia="楷体_GB2312" w:cs="楷体_GB2312"/>
        </w:rPr>
      </w:pPr>
    </w:p>
    <w:p>
      <w:pPr>
        <w:pStyle w:val="3"/>
        <w:rPr>
          <w:rFonts w:hint="eastAsia" w:ascii="楷体_GB2312" w:hAnsi="楷体_GB2312" w:eastAsia="楷体_GB2312" w:cs="楷体_GB2312"/>
        </w:rPr>
      </w:pPr>
      <w:bookmarkStart w:id="1459" w:name="_Toc373998379"/>
      <w:r>
        <w:rPr>
          <w:rFonts w:hint="eastAsia" w:ascii="楷体_GB2312" w:hAnsi="楷体_GB2312" w:eastAsia="楷体_GB2312" w:cs="楷体_GB2312"/>
        </w:rPr>
        <w:t>四、监测结果公开时限</w:t>
      </w:r>
      <w:bookmarkEnd w:id="1459"/>
    </w:p>
    <w:bookmarkEnd w:id="1449"/>
    <w:p>
      <w:pPr>
        <w:pStyle w:val="2"/>
        <w:rPr>
          <w:rFonts w:hint="eastAsia" w:ascii="楷体_GB2312" w:hAnsi="楷体_GB2312" w:eastAsia="楷体_GB2312" w:cs="楷体_GB2312"/>
        </w:rPr>
      </w:pPr>
      <w:bookmarkStart w:id="1460" w:name="_Toc373998380"/>
      <w:r>
        <w:rPr>
          <w:rFonts w:hint="eastAsia" w:ascii="楷体_GB2312" w:hAnsi="楷体_GB2312" w:eastAsia="楷体_GB2312" w:cs="楷体_GB2312"/>
        </w:rPr>
        <w:t>4.1手工监测结果公开时限</w:t>
      </w:r>
      <w:bookmarkEnd w:id="1460"/>
    </w:p>
    <w:p>
      <w:pPr>
        <w:ind w:firstLine="588"/>
        <w:rPr>
          <w:rFonts w:hint="eastAsia" w:ascii="楷体_GB2312" w:hAnsi="楷体_GB2312" w:eastAsia="楷体_GB2312" w:cs="楷体_GB2312"/>
        </w:rPr>
      </w:pPr>
      <w:r>
        <w:rPr>
          <w:rFonts w:hint="eastAsia" w:ascii="楷体_GB2312" w:hAnsi="楷体_GB2312" w:eastAsia="楷体_GB2312" w:cs="楷体_GB2312"/>
        </w:rPr>
        <w:t>手工监测数据监测结果每次监测完成后的次日公布;全指标于每月25日前完成。</w:t>
      </w:r>
    </w:p>
    <w:p>
      <w:pPr>
        <w:pStyle w:val="2"/>
        <w:rPr>
          <w:rFonts w:hint="eastAsia" w:ascii="楷体_GB2312" w:hAnsi="楷体_GB2312" w:eastAsia="楷体_GB2312" w:cs="楷体_GB2312"/>
        </w:rPr>
      </w:pPr>
      <w:bookmarkStart w:id="1461" w:name="_Toc373998381"/>
      <w:r>
        <w:rPr>
          <w:rFonts w:hint="eastAsia" w:ascii="楷体_GB2312" w:hAnsi="楷体_GB2312" w:eastAsia="楷体_GB2312" w:cs="楷体_GB2312"/>
        </w:rPr>
        <w:t>4.2 自动监测结果公开时限</w:t>
      </w:r>
      <w:bookmarkEnd w:id="1461"/>
    </w:p>
    <w:p>
      <w:pPr>
        <w:ind w:firstLine="588"/>
        <w:rPr>
          <w:rFonts w:hint="eastAsia" w:ascii="楷体_GB2312" w:hAnsi="楷体_GB2312" w:eastAsia="楷体_GB2312" w:cs="楷体_GB2312"/>
        </w:rPr>
      </w:pPr>
      <w:r>
        <w:rPr>
          <w:rFonts w:hint="eastAsia" w:ascii="楷体_GB2312" w:hAnsi="楷体_GB2312" w:eastAsia="楷体_GB2312" w:cs="楷体_GB2312"/>
        </w:rPr>
        <w:t>自动监测数据应实时公布监测结果，废气自动监测设备为每1小时均值。</w:t>
      </w:r>
    </w:p>
    <w:p>
      <w:pPr>
        <w:ind w:firstLine="588"/>
        <w:rPr>
          <w:rFonts w:hint="eastAsia" w:ascii="楷体_GB2312" w:hAnsi="楷体_GB2312" w:eastAsia="楷体_GB2312" w:cs="楷体_GB2312"/>
        </w:rPr>
      </w:pPr>
    </w:p>
    <w:p>
      <w:pPr>
        <w:ind w:firstLine="588"/>
        <w:rPr>
          <w:rFonts w:hint="eastAsia" w:ascii="楷体_GB2312" w:hAnsi="楷体_GB2312" w:eastAsia="楷体_GB2312" w:cs="楷体_GB2312"/>
        </w:rPr>
      </w:pPr>
    </w:p>
    <w:p>
      <w:pPr>
        <w:ind w:firstLine="588"/>
        <w:rPr>
          <w:rFonts w:hint="eastAsia" w:ascii="楷体_GB2312" w:hAnsi="楷体_GB2312" w:eastAsia="楷体_GB2312" w:cs="楷体_GB2312"/>
          <w:highlight w:val="yellow"/>
          <w:u w:val="single"/>
        </w:rPr>
      </w:pPr>
    </w:p>
    <w:p>
      <w:pPr>
        <w:numPr>
          <w:ilvl w:val="0"/>
          <w:numId w:val="0"/>
        </w:numPr>
        <w:rPr>
          <w:rFonts w:hint="default" w:asciiTheme="minorEastAsia" w:hAnsiTheme="minorEastAsia" w:cstheme="minorEastAsia"/>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Bookshelf Symbol 7">
    <w:panose1 w:val="05010101010101010101"/>
    <w:charset w:val="02"/>
    <w:family w:val="auto"/>
    <w:pitch w:val="default"/>
    <w:sig w:usb0="00000000" w:usb1="00000000" w:usb2="00000000" w:usb3="00000000" w:csb0="80000000" w:csb1="00000000"/>
  </w:font>
  <w:font w:name="Tunga">
    <w:altName w:val="Segoe Print"/>
    <w:panose1 w:val="000004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Malgun Gothic Semilight">
    <w:panose1 w:val="020B0502040204020203"/>
    <w:charset w:val="86"/>
    <w:family w:val="swiss"/>
    <w:pitch w:val="default"/>
    <w:sig w:usb0="900002AF" w:usb1="01D77CFB" w:usb2="00000012" w:usb3="00000000" w:csb0="203E01BD" w:csb1="D7FF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III</w:t>
    </w:r>
    <w:r>
      <w:rPr>
        <w:rStyle w:val="24"/>
      </w:rPr>
      <w:fldChar w:fldCharType="end"/>
    </w:r>
  </w:p>
  <w:p>
    <w:pPr>
      <w:pStyle w:val="1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137</w:t>
    </w:r>
    <w:r>
      <w:rPr>
        <w:rStyle w:val="24"/>
      </w:rPr>
      <w:fldChar w:fldCharType="end"/>
    </w:r>
  </w:p>
  <w:p>
    <w:pPr>
      <w:pStyle w:val="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136</w:t>
    </w:r>
    <w:r>
      <w:rPr>
        <w:rStyle w:val="24"/>
      </w:rPr>
      <w:fldChar w:fldCharType="end"/>
    </w:r>
  </w:p>
  <w:p>
    <w:pPr>
      <w:pStyle w:val="1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2062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ind w:firstLine="36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2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AITcXAgAAGQQAAA4AAABkcnMvZTJvRG9jLnhtbK1TzY7TMBC+I/EO&#10;lu80aRGrUj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k0AhNxcCAAAZBAAADgAAAAAA&#10;AAABACAAAAAfAQAAZHJzL2Uyb0RvYy54bWxQSwUGAAAAAAYABgBZAQAAqAUAAAAA&#10;">
              <v:fill on="f" focussize="0,0"/>
              <v:stroke on="f" weight="0.5pt"/>
              <v:imagedata o:title=""/>
              <o:lock v:ext="edit" aspectratio="f"/>
              <v:textbox inset="0mm,0mm,0mm,0mm" style="mso-fit-shape-to-text:t;">
                <w:txbxContent>
                  <w:p>
                    <w:pPr>
                      <w:pStyle w:val="14"/>
                      <w:ind w:firstLine="360"/>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rPr>
        <w:rFonts w:hint="eastAsi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0" w:firstLineChars="0"/>
      <w:rPr>
        <w:rFonts w:hint="eastAsi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II</w:t>
    </w:r>
    <w:r>
      <w:rPr>
        <w:rStyle w:val="24"/>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65</w:t>
    </w:r>
    <w:r>
      <w:rPr>
        <w:rStyle w:val="24"/>
      </w:rP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64</w:t>
    </w:r>
    <w:r>
      <w:rPr>
        <w:rStyle w:val="24"/>
      </w:rPr>
      <w:fldChar w:fldCharType="end"/>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67</w:t>
    </w:r>
    <w:r>
      <w:rPr>
        <w:rStyle w:val="24"/>
      </w:rPr>
      <w:fldChar w:fldCharType="end"/>
    </w:r>
  </w:p>
  <w:p>
    <w:pPr>
      <w:pStyle w:val="1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66</w:t>
    </w:r>
    <w:r>
      <w:rPr>
        <w:rStyle w:val="24"/>
      </w:rPr>
      <w:fldChar w:fldCharType="end"/>
    </w:r>
  </w:p>
  <w:p>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69</w:t>
    </w:r>
    <w:r>
      <w:rPr>
        <w:rStyle w:val="24"/>
      </w:rPr>
      <w:fldChar w:fldCharType="end"/>
    </w:r>
  </w:p>
  <w:p>
    <w:pPr>
      <w:pStyle w:val="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separate"/>
    </w:r>
    <w:r>
      <w:rPr>
        <w:rStyle w:val="24"/>
      </w:rPr>
      <w:t>68</w:t>
    </w:r>
    <w:r>
      <w:rPr>
        <w:rStyle w:val="24"/>
      </w:rP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6" w:space="0"/>
      </w:pBdr>
      <w:ind w:firstLine="360"/>
      <w:rPr>
        <w:rFonts w:hint="eastAsia"/>
      </w:rPr>
    </w:pPr>
    <w:r>
      <w:rPr>
        <w:rFonts w:hint="eastAsia"/>
      </w:rPr>
      <w:t>重庆永荣</w:t>
    </w:r>
    <w:r>
      <w:rPr>
        <w:rFonts w:hint="eastAsia"/>
        <w:color w:val="000000"/>
      </w:rPr>
      <w:t>青鹏水泥</w:t>
    </w:r>
    <w:r>
      <w:rPr>
        <w:rFonts w:hint="eastAsia"/>
      </w:rPr>
      <w:t>有限公司突发环境事件应急预案（2019修订版）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rPr>
        <w:rFonts w:hint="eastAsia"/>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rPr>
        <w:rFonts w:hint="eastAsia"/>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FA958D"/>
    <w:multiLevelType w:val="singleLevel"/>
    <w:tmpl w:val="DDFA958D"/>
    <w:lvl w:ilvl="0" w:tentative="0">
      <w:start w:val="5"/>
      <w:numFmt w:val="chineseCounting"/>
      <w:suff w:val="nothing"/>
      <w:lvlText w:val="%1、"/>
      <w:lvlJc w:val="left"/>
      <w:rPr>
        <w:rFonts w:hint="eastAsia"/>
      </w:rPr>
    </w:lvl>
  </w:abstractNum>
  <w:abstractNum w:abstractNumId="1">
    <w:nsid w:val="02AC884F"/>
    <w:multiLevelType w:val="singleLevel"/>
    <w:tmpl w:val="02AC884F"/>
    <w:lvl w:ilvl="0" w:tentative="0">
      <w:start w:val="1"/>
      <w:numFmt w:val="chineseCounting"/>
      <w:suff w:val="nothing"/>
      <w:lvlText w:val="%1、"/>
      <w:lvlJc w:val="left"/>
      <w:rPr>
        <w:rFonts w:hint="eastAsia"/>
      </w:rPr>
    </w:lvl>
  </w:abstractNum>
  <w:abstractNum w:abstractNumId="2">
    <w:nsid w:val="1C790678"/>
    <w:multiLevelType w:val="multilevel"/>
    <w:tmpl w:val="1C790678"/>
    <w:lvl w:ilvl="0" w:tentative="0">
      <w:start w:val="0"/>
      <w:numFmt w:val="bullet"/>
      <w:lvlText w:val="※"/>
      <w:lvlJc w:val="left"/>
      <w:pPr>
        <w:tabs>
          <w:tab w:val="left" w:pos="420"/>
        </w:tabs>
        <w:ind w:left="420" w:hanging="42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Bookshelf Symbol 7" w:hAnsi="Bookshelf Symbol 7"/>
      </w:rPr>
    </w:lvl>
    <w:lvl w:ilvl="2" w:tentative="0">
      <w:start w:val="1"/>
      <w:numFmt w:val="bullet"/>
      <w:lvlText w:val=""/>
      <w:lvlJc w:val="left"/>
      <w:pPr>
        <w:tabs>
          <w:tab w:val="left" w:pos="1260"/>
        </w:tabs>
        <w:ind w:left="1260" w:hanging="420"/>
      </w:pPr>
      <w:rPr>
        <w:rFonts w:hint="default" w:ascii="Bookshelf Symbol 7" w:hAnsi="Bookshelf Symbol 7"/>
      </w:rPr>
    </w:lvl>
    <w:lvl w:ilvl="3" w:tentative="0">
      <w:start w:val="1"/>
      <w:numFmt w:val="bullet"/>
      <w:lvlText w:val=""/>
      <w:lvlJc w:val="left"/>
      <w:pPr>
        <w:tabs>
          <w:tab w:val="left" w:pos="1680"/>
        </w:tabs>
        <w:ind w:left="1680" w:hanging="420"/>
      </w:pPr>
      <w:rPr>
        <w:rFonts w:hint="default" w:ascii="Bookshelf Symbol 7" w:hAnsi="Bookshelf Symbol 7"/>
      </w:rPr>
    </w:lvl>
    <w:lvl w:ilvl="4" w:tentative="0">
      <w:start w:val="1"/>
      <w:numFmt w:val="bullet"/>
      <w:lvlText w:val=""/>
      <w:lvlJc w:val="left"/>
      <w:pPr>
        <w:tabs>
          <w:tab w:val="left" w:pos="2100"/>
        </w:tabs>
        <w:ind w:left="2100" w:hanging="420"/>
      </w:pPr>
      <w:rPr>
        <w:rFonts w:hint="default" w:ascii="Bookshelf Symbol 7" w:hAnsi="Bookshelf Symbol 7"/>
      </w:rPr>
    </w:lvl>
    <w:lvl w:ilvl="5" w:tentative="0">
      <w:start w:val="1"/>
      <w:numFmt w:val="bullet"/>
      <w:lvlText w:val=""/>
      <w:lvlJc w:val="left"/>
      <w:pPr>
        <w:tabs>
          <w:tab w:val="left" w:pos="2520"/>
        </w:tabs>
        <w:ind w:left="2520" w:hanging="420"/>
      </w:pPr>
      <w:rPr>
        <w:rFonts w:hint="default" w:ascii="Bookshelf Symbol 7" w:hAnsi="Bookshelf Symbol 7"/>
      </w:rPr>
    </w:lvl>
    <w:lvl w:ilvl="6" w:tentative="0">
      <w:start w:val="1"/>
      <w:numFmt w:val="bullet"/>
      <w:lvlText w:val=""/>
      <w:lvlJc w:val="left"/>
      <w:pPr>
        <w:tabs>
          <w:tab w:val="left" w:pos="2940"/>
        </w:tabs>
        <w:ind w:left="2940" w:hanging="420"/>
      </w:pPr>
      <w:rPr>
        <w:rFonts w:hint="default" w:ascii="Bookshelf Symbol 7" w:hAnsi="Bookshelf Symbol 7"/>
      </w:rPr>
    </w:lvl>
    <w:lvl w:ilvl="7" w:tentative="0">
      <w:start w:val="1"/>
      <w:numFmt w:val="bullet"/>
      <w:lvlText w:val=""/>
      <w:lvlJc w:val="left"/>
      <w:pPr>
        <w:tabs>
          <w:tab w:val="left" w:pos="3360"/>
        </w:tabs>
        <w:ind w:left="3360" w:hanging="420"/>
      </w:pPr>
      <w:rPr>
        <w:rFonts w:hint="default" w:ascii="Bookshelf Symbol 7" w:hAnsi="Bookshelf Symbol 7"/>
      </w:rPr>
    </w:lvl>
    <w:lvl w:ilvl="8" w:tentative="0">
      <w:start w:val="1"/>
      <w:numFmt w:val="bullet"/>
      <w:lvlText w:val=""/>
      <w:lvlJc w:val="left"/>
      <w:pPr>
        <w:tabs>
          <w:tab w:val="left" w:pos="3780"/>
        </w:tabs>
        <w:ind w:left="3780" w:hanging="420"/>
      </w:pPr>
      <w:rPr>
        <w:rFonts w:hint="default" w:ascii="Bookshelf Symbol 7" w:hAnsi="Bookshelf Symbol 7"/>
      </w:rPr>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3"/>
      <w:suff w:val="nothing"/>
      <w:lvlText w:val="%1.%2　"/>
      <w:lvlJc w:val="left"/>
      <w:pPr>
        <w:ind w:left="0" w:firstLine="0"/>
      </w:pPr>
      <w:rPr>
        <w:rFonts w:hint="eastAsia" w:ascii="黑体" w:hAnsi="Times New Roman" w:eastAsia="黑体" w:cs="Times New Roman"/>
        <w:b/>
        <w:bCs w:val="0"/>
        <w:i w:val="0"/>
        <w:iCs w:val="0"/>
        <w:caps w:val="0"/>
        <w:strike w:val="0"/>
        <w:dstrike w:val="0"/>
        <w:vanish w:val="0"/>
        <w:spacing w:val="0"/>
        <w:kern w:val="0"/>
        <w:position w:val="0"/>
        <w:sz w:val="21"/>
        <w:szCs w:val="21"/>
        <w:u w:val="none"/>
        <w:vertAlign w:val="baseline"/>
      </w:rPr>
    </w:lvl>
    <w:lvl w:ilvl="2" w:tentative="0">
      <w:start w:val="1"/>
      <w:numFmt w:val="decimal"/>
      <w:pStyle w:val="42"/>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245F9086"/>
    <w:multiLevelType w:val="singleLevel"/>
    <w:tmpl w:val="245F9086"/>
    <w:lvl w:ilvl="0" w:tentative="0">
      <w:start w:val="6"/>
      <w:numFmt w:val="chineseCounting"/>
      <w:suff w:val="nothing"/>
      <w:lvlText w:val="%1、"/>
      <w:lvlJc w:val="left"/>
      <w:rPr>
        <w:rFonts w:hint="eastAsia"/>
      </w:rPr>
    </w:lvl>
  </w:abstractNum>
  <w:abstractNum w:abstractNumId="5">
    <w:nsid w:val="52B65BA5"/>
    <w:multiLevelType w:val="multilevel"/>
    <w:tmpl w:val="52B65BA5"/>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5A03A161"/>
    <w:multiLevelType w:val="singleLevel"/>
    <w:tmpl w:val="5A03A161"/>
    <w:lvl w:ilvl="0" w:tentative="0">
      <w:start w:val="1"/>
      <w:numFmt w:val="chineseCounting"/>
      <w:suff w:val="nothing"/>
      <w:lvlText w:val="%1、"/>
      <w:lvlJc w:val="left"/>
    </w:lvl>
  </w:abstractNum>
  <w:abstractNum w:abstractNumId="7">
    <w:nsid w:val="5D013185"/>
    <w:multiLevelType w:val="multilevel"/>
    <w:tmpl w:val="5D013185"/>
    <w:lvl w:ilvl="0" w:tentative="0">
      <w:start w:val="1"/>
      <w:numFmt w:val="bullet"/>
      <w:lvlText w:val="◆"/>
      <w:lvlJc w:val="left"/>
      <w:pPr>
        <w:tabs>
          <w:tab w:val="left" w:pos="840"/>
        </w:tabs>
        <w:ind w:left="840" w:hanging="360"/>
      </w:pPr>
      <w:rPr>
        <w:rFonts w:hint="eastAsia" w:ascii="宋体" w:hAnsi="宋体" w:eastAsia="宋体" w:cs="Times New Roman"/>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60D7694C"/>
    <w:multiLevelType w:val="multilevel"/>
    <w:tmpl w:val="60D7694C"/>
    <w:lvl w:ilvl="0" w:tentative="0">
      <w:start w:val="1"/>
      <w:numFmt w:val="decimalEnclosedCircle"/>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5"/>
  </w:num>
  <w:num w:numId="2">
    <w:abstractNumId w:val="3"/>
  </w:num>
  <w:num w:numId="3">
    <w:abstractNumId w:val="1"/>
  </w:num>
  <w:num w:numId="4">
    <w:abstractNumId w:val="2"/>
  </w:num>
  <w:num w:numId="5">
    <w:abstractNumId w:val="7"/>
  </w:num>
  <w:num w:numId="6">
    <w:abstractNumId w:val="8"/>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B96EFF"/>
    <w:rsid w:val="061E09D1"/>
    <w:rsid w:val="10EC0385"/>
    <w:rsid w:val="15EC69CB"/>
    <w:rsid w:val="21DC1B3D"/>
    <w:rsid w:val="25430EF6"/>
    <w:rsid w:val="45714C7C"/>
    <w:rsid w:val="45DE5842"/>
    <w:rsid w:val="4F8E6A54"/>
    <w:rsid w:val="56105339"/>
    <w:rsid w:val="5EB1060B"/>
    <w:rsid w:val="63667B72"/>
    <w:rsid w:val="6E812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45"/>
    <w:qFormat/>
    <w:uiPriority w:val="0"/>
    <w:pPr>
      <w:keepNext/>
      <w:keepLines/>
      <w:spacing w:line="360" w:lineRule="auto"/>
      <w:outlineLvl w:val="0"/>
    </w:pPr>
    <w:rPr>
      <w:b/>
      <w:bCs/>
      <w:kern w:val="44"/>
      <w:sz w:val="32"/>
      <w:szCs w:val="44"/>
    </w:rPr>
  </w:style>
  <w:style w:type="paragraph" w:styleId="2">
    <w:name w:val="heading 2"/>
    <w:basedOn w:val="1"/>
    <w:next w:val="1"/>
    <w:qFormat/>
    <w:uiPriority w:val="0"/>
    <w:pPr>
      <w:keepNext/>
      <w:keepLines/>
      <w:spacing w:line="360" w:lineRule="auto"/>
      <w:outlineLvl w:val="1"/>
    </w:pPr>
    <w:rPr>
      <w:b/>
      <w:bCs/>
      <w:sz w:val="28"/>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7"/>
    <w:qFormat/>
    <w:uiPriority w:val="0"/>
    <w:pPr>
      <w:keepNext/>
      <w:keepLines/>
      <w:adjustRightInd w:val="0"/>
      <w:snapToGrid w:val="0"/>
      <w:spacing w:before="20" w:after="100" w:afterLines="100" w:line="240" w:lineRule="auto"/>
      <w:ind w:firstLine="510"/>
      <w:jc w:val="left"/>
      <w:outlineLvl w:val="3"/>
    </w:pPr>
    <w:rPr>
      <w:rFonts w:ascii="Arial" w:hAnsi="Arial" w:eastAsia="黑体"/>
      <w:b/>
      <w:szCs w:val="20"/>
    </w:rPr>
  </w:style>
  <w:style w:type="character" w:default="1" w:styleId="23">
    <w:name w:val="Default Paragraph Font"/>
    <w:semiHidden/>
    <w:uiPriority w:val="0"/>
  </w:style>
  <w:style w:type="table" w:default="1" w:styleId="20">
    <w:name w:val="Normal Table"/>
    <w:semiHidden/>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 w:val="21"/>
      <w:szCs w:val="20"/>
    </w:rPr>
  </w:style>
  <w:style w:type="paragraph" w:styleId="7">
    <w:name w:val="Body Text 3"/>
    <w:basedOn w:val="1"/>
    <w:qFormat/>
    <w:uiPriority w:val="0"/>
    <w:pPr>
      <w:spacing w:line="240" w:lineRule="exact"/>
    </w:pPr>
    <w:rPr>
      <w:sz w:val="28"/>
    </w:rPr>
  </w:style>
  <w:style w:type="paragraph" w:styleId="8">
    <w:name w:val="Body Text"/>
    <w:basedOn w:val="1"/>
    <w:qFormat/>
    <w:uiPriority w:val="0"/>
    <w:pPr>
      <w:spacing w:line="440" w:lineRule="exact"/>
    </w:pPr>
    <w:rPr>
      <w:rFonts w:ascii="宋体"/>
    </w:rPr>
  </w:style>
  <w:style w:type="paragraph" w:styleId="9">
    <w:name w:val="Body Text Indent"/>
    <w:basedOn w:val="1"/>
    <w:qFormat/>
    <w:uiPriority w:val="0"/>
    <w:pPr>
      <w:spacing w:line="360" w:lineRule="auto"/>
      <w:ind w:firstLine="538" w:firstLineChars="192"/>
    </w:pPr>
    <w:rPr>
      <w:sz w:val="28"/>
    </w:rPr>
  </w:style>
  <w:style w:type="paragraph" w:styleId="10">
    <w:name w:val="toc 3"/>
    <w:basedOn w:val="1"/>
    <w:next w:val="1"/>
    <w:qFormat/>
    <w:uiPriority w:val="39"/>
    <w:pPr>
      <w:ind w:left="420"/>
      <w:jc w:val="left"/>
    </w:pPr>
    <w:rPr>
      <w:rFonts w:ascii="Calibri" w:hAnsi="Calibri"/>
      <w:i/>
      <w:iCs/>
      <w:sz w:val="20"/>
      <w:szCs w:val="20"/>
    </w:rPr>
  </w:style>
  <w:style w:type="paragraph" w:styleId="11">
    <w:name w:val="Plain Text"/>
    <w:basedOn w:val="1"/>
    <w:qFormat/>
    <w:uiPriority w:val="0"/>
    <w:rPr>
      <w:rFonts w:ascii="宋体" w:hAnsi="Courier New"/>
      <w:sz w:val="28"/>
      <w:szCs w:val="20"/>
    </w:rPr>
  </w:style>
  <w:style w:type="paragraph" w:styleId="12">
    <w:name w:val="Date"/>
    <w:basedOn w:val="1"/>
    <w:next w:val="1"/>
    <w:qFormat/>
    <w:uiPriority w:val="0"/>
    <w:pPr>
      <w:ind w:left="100" w:leftChars="2500"/>
    </w:pPr>
  </w:style>
  <w:style w:type="paragraph" w:styleId="13">
    <w:name w:val="Body Text Indent 2"/>
    <w:basedOn w:val="1"/>
    <w:qFormat/>
    <w:uiPriority w:val="0"/>
    <w:pPr>
      <w:spacing w:line="360" w:lineRule="auto"/>
      <w:ind w:left="540" w:firstLine="720" w:firstLineChars="257"/>
    </w:pPr>
    <w:rPr>
      <w:sz w:val="2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iPriority w:val="0"/>
    <w:pPr>
      <w:tabs>
        <w:tab w:val="right" w:leader="dot" w:pos="9344"/>
      </w:tabs>
      <w:spacing w:before="120" w:after="120" w:line="400" w:lineRule="exact"/>
      <w:jc w:val="left"/>
    </w:pPr>
    <w:rPr>
      <w:b/>
      <w:bCs/>
      <w:caps/>
    </w:rPr>
  </w:style>
  <w:style w:type="paragraph" w:styleId="17">
    <w:name w:val="toc 2"/>
    <w:basedOn w:val="1"/>
    <w:next w:val="1"/>
    <w:semiHidden/>
    <w:uiPriority w:val="0"/>
    <w:pPr>
      <w:ind w:left="420" w:leftChars="200"/>
    </w:pPr>
  </w:style>
  <w:style w:type="paragraph" w:styleId="18">
    <w:name w:val="Body Text 2"/>
    <w:basedOn w:val="1"/>
    <w:qFormat/>
    <w:uiPriority w:val="0"/>
    <w:pPr>
      <w:spacing w:line="440" w:lineRule="exact"/>
      <w:jc w:val="left"/>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1"/>
      <w:szCs w:val="21"/>
    </w:rPr>
  </w:style>
  <w:style w:type="table" w:styleId="21">
    <w:name w:val="Table Grid"/>
    <w:basedOn w:val="2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Table Grid 5"/>
    <w:basedOn w:val="20"/>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24">
    <w:name w:val="page number"/>
    <w:basedOn w:val="23"/>
    <w:uiPriority w:val="0"/>
  </w:style>
  <w:style w:type="character" w:styleId="25">
    <w:name w:val="Hyperlink"/>
    <w:basedOn w:val="23"/>
    <w:qFormat/>
    <w:uiPriority w:val="0"/>
    <w:rPr>
      <w:color w:val="0000FF"/>
      <w:u w:val="single"/>
    </w:rPr>
  </w:style>
  <w:style w:type="paragraph" w:customStyle="1" w:styleId="26">
    <w:name w:val="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rPr>
  </w:style>
  <w:style w:type="paragraph" w:customStyle="1" w:styleId="27">
    <w:name w:val="xl25"/>
    <w:basedOn w:val="1"/>
    <w:qFormat/>
    <w:uiPriority w:val="0"/>
    <w:pPr>
      <w:widowControl/>
      <w:spacing w:before="100" w:beforeAutospacing="1" w:after="100" w:afterAutospacing="1"/>
      <w:jc w:val="center"/>
    </w:pPr>
    <w:rPr>
      <w:rFonts w:hint="eastAsia" w:ascii="宋体" w:hAnsi="宋体"/>
      <w:kern w:val="0"/>
    </w:rPr>
  </w:style>
  <w:style w:type="paragraph" w:customStyle="1" w:styleId="28">
    <w:name w:val="正文(首行缩进)"/>
    <w:basedOn w:val="1"/>
    <w:qFormat/>
    <w:uiPriority w:val="0"/>
    <w:pPr>
      <w:spacing w:line="360" w:lineRule="auto"/>
    </w:pPr>
    <w:rPr>
      <w:snapToGrid w:val="0"/>
      <w:kern w:val="0"/>
    </w:rPr>
  </w:style>
  <w:style w:type="paragraph" w:customStyle="1" w:styleId="29">
    <w:name w:val="表头1"/>
    <w:basedOn w:val="1"/>
    <w:next w:val="1"/>
    <w:qFormat/>
    <w:uiPriority w:val="0"/>
    <w:pPr>
      <w:tabs>
        <w:tab w:val="left" w:pos="605"/>
      </w:tabs>
      <w:adjustRightInd w:val="0"/>
      <w:snapToGrid w:val="0"/>
      <w:jc w:val="center"/>
    </w:pPr>
    <w:rPr>
      <w:rFonts w:eastAsia="黑体"/>
      <w:kern w:val="0"/>
      <w:sz w:val="21"/>
      <w:szCs w:val="28"/>
    </w:rPr>
  </w:style>
  <w:style w:type="paragraph" w:customStyle="1" w:styleId="30">
    <w:name w:val="PSPSPSPS"/>
    <w:basedOn w:val="1"/>
    <w:qFormat/>
    <w:uiPriority w:val="0"/>
    <w:pPr>
      <w:adjustRightInd w:val="0"/>
      <w:spacing w:line="600" w:lineRule="atLeast"/>
      <w:textAlignment w:val="baseline"/>
    </w:pPr>
    <w:rPr>
      <w:kern w:val="0"/>
      <w:sz w:val="28"/>
      <w:szCs w:val="20"/>
    </w:rPr>
  </w:style>
  <w:style w:type="paragraph" w:customStyle="1" w:styleId="31">
    <w:name w:val="5"/>
    <w:basedOn w:val="1"/>
    <w:next w:val="13"/>
    <w:qFormat/>
    <w:uiPriority w:val="0"/>
    <w:pPr>
      <w:snapToGrid w:val="0"/>
      <w:spacing w:line="440" w:lineRule="exact"/>
      <w:ind w:firstLine="480" w:firstLineChars="200"/>
    </w:pPr>
    <w:rPr>
      <w:rFonts w:ascii="宋体"/>
      <w:color w:val="000000"/>
      <w:szCs w:val="22"/>
    </w:rPr>
  </w:style>
  <w:style w:type="paragraph" w:customStyle="1" w:styleId="32">
    <w:name w:val="二级标题"/>
    <w:basedOn w:val="1"/>
    <w:next w:val="1"/>
    <w:qFormat/>
    <w:uiPriority w:val="0"/>
    <w:pPr>
      <w:keepNext/>
      <w:adjustRightInd w:val="0"/>
      <w:spacing w:before="240" w:after="240" w:line="312" w:lineRule="atLeast"/>
      <w:jc w:val="center"/>
    </w:pPr>
    <w:rPr>
      <w:kern w:val="0"/>
      <w:sz w:val="28"/>
      <w:szCs w:val="20"/>
    </w:rPr>
  </w:style>
  <w:style w:type="paragraph" w:customStyle="1" w:styleId="33">
    <w:name w:val="表格"/>
    <w:basedOn w:val="1"/>
    <w:qFormat/>
    <w:uiPriority w:val="0"/>
    <w:pPr>
      <w:suppressLineNumbers/>
      <w:tabs>
        <w:tab w:val="left" w:pos="3120"/>
        <w:tab w:val="center" w:pos="4156"/>
      </w:tabs>
      <w:suppressAutoHyphens/>
      <w:ind w:left="-2" w:leftChars="-1" w:right="-107" w:rightChars="-51"/>
      <w:jc w:val="center"/>
    </w:pPr>
    <w:rPr>
      <w:rFonts w:ascii="宋体" w:hAnsi="宋体" w:cs="宋体"/>
      <w:color w:val="000000"/>
      <w:sz w:val="21"/>
      <w:szCs w:val="21"/>
    </w:rPr>
  </w:style>
  <w:style w:type="paragraph" w:customStyle="1" w:styleId="34">
    <w:name w:val="表、图名"/>
    <w:basedOn w:val="1"/>
    <w:semiHidden/>
    <w:qFormat/>
    <w:uiPriority w:val="0"/>
    <w:pPr>
      <w:adjustRightInd w:val="0"/>
      <w:snapToGrid w:val="0"/>
      <w:spacing w:before="120" w:line="400" w:lineRule="exact"/>
      <w:jc w:val="center"/>
    </w:pPr>
    <w:rPr>
      <w:rFonts w:ascii="宋体" w:hAnsi="宋体"/>
      <w:b/>
      <w:kern w:val="0"/>
    </w:rPr>
  </w:style>
  <w:style w:type="paragraph" w:customStyle="1" w:styleId="35">
    <w:name w:val="表体"/>
    <w:basedOn w:val="1"/>
    <w:qFormat/>
    <w:uiPriority w:val="0"/>
    <w:pPr>
      <w:suppressAutoHyphens/>
      <w:spacing w:line="300" w:lineRule="exact"/>
      <w:jc w:val="center"/>
    </w:pPr>
    <w:rPr>
      <w:rFonts w:ascii="宋体" w:hAnsi="宋体" w:cs="宋体"/>
      <w:snapToGrid w:val="0"/>
      <w:color w:val="000000"/>
      <w:kern w:val="0"/>
      <w:sz w:val="18"/>
      <w:szCs w:val="18"/>
    </w:rPr>
  </w:style>
  <w:style w:type="paragraph" w:customStyle="1" w:styleId="36">
    <w:name w:val="_Style 9"/>
    <w:basedOn w:val="3"/>
    <w:next w:val="1"/>
    <w:qFormat/>
    <w:uiPriority w:val="39"/>
    <w:pPr>
      <w:widowControl/>
      <w:spacing w:before="480" w:beforeLines="0" w:after="0" w:afterLines="0" w:line="276" w:lineRule="auto"/>
      <w:jc w:val="left"/>
      <w:outlineLvl w:val="9"/>
    </w:pPr>
    <w:rPr>
      <w:rFonts w:ascii="Cambria" w:hAnsi="Cambria" w:eastAsia="宋体" w:cs="Times New Roman"/>
      <w:color w:val="365F91"/>
      <w:kern w:val="0"/>
      <w:sz w:val="28"/>
      <w:szCs w:val="28"/>
    </w:rPr>
  </w:style>
  <w:style w:type="paragraph" w:customStyle="1" w:styleId="37">
    <w:name w:val="样式3"/>
    <w:basedOn w:val="1"/>
    <w:qFormat/>
    <w:uiPriority w:val="0"/>
    <w:pPr>
      <w:adjustRightInd w:val="0"/>
      <w:snapToGrid w:val="0"/>
      <w:spacing w:line="460" w:lineRule="exact"/>
      <w:ind w:firstLine="480" w:firstLineChars="200"/>
    </w:pPr>
    <w:rPr>
      <w:rFonts w:ascii="Arial" w:hAnsi="Arial" w:cs="Arial"/>
      <w:snapToGrid w:val="0"/>
      <w:kern w:val="0"/>
      <w:sz w:val="24"/>
      <w:szCs w:val="24"/>
    </w:rPr>
  </w:style>
  <w:style w:type="paragraph" w:customStyle="1" w:styleId="38">
    <w:name w:val="列出段落1"/>
    <w:basedOn w:val="1"/>
    <w:qFormat/>
    <w:uiPriority w:val="34"/>
    <w:pPr>
      <w:spacing w:line="360" w:lineRule="auto"/>
      <w:ind w:firstLine="420" w:firstLineChars="200"/>
    </w:pPr>
    <w:rPr>
      <w:rFonts w:ascii="Times New Roman" w:hAnsi="Times New Roman" w:eastAsia="楷体" w:cs="黑体"/>
      <w:sz w:val="24"/>
    </w:rPr>
  </w:style>
  <w:style w:type="paragraph" w:customStyle="1" w:styleId="39">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4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41">
    <w:name w:val="二级无"/>
    <w:basedOn w:val="42"/>
    <w:uiPriority w:val="0"/>
    <w:pPr>
      <w:spacing w:before="0" w:beforeLines="0" w:after="0" w:afterLines="0"/>
    </w:pPr>
    <w:rPr>
      <w:rFonts w:ascii="宋体" w:eastAsia="宋体"/>
    </w:rPr>
  </w:style>
  <w:style w:type="paragraph" w:customStyle="1" w:styleId="42">
    <w:name w:val="二级条标题"/>
    <w:basedOn w:val="43"/>
    <w:next w:val="1"/>
    <w:uiPriority w:val="0"/>
    <w:pPr>
      <w:numPr>
        <w:ilvl w:val="2"/>
        <w:numId w:val="2"/>
      </w:numPr>
      <w:spacing w:before="50" w:after="50"/>
      <w:outlineLvl w:val="3"/>
    </w:pPr>
  </w:style>
  <w:style w:type="paragraph" w:customStyle="1" w:styleId="43">
    <w:name w:val="一级条标题"/>
    <w:next w:val="1"/>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44">
    <w:name w:val="正文文本 + 23 pt"/>
    <w:qFormat/>
    <w:uiPriority w:val="0"/>
    <w:rPr>
      <w:rFonts w:ascii="宋体" w:hAnsi="宋体" w:eastAsia="宋体" w:cs="宋体"/>
      <w:color w:val="000000"/>
      <w:spacing w:val="0"/>
      <w:w w:val="100"/>
      <w:position w:val="0"/>
      <w:sz w:val="46"/>
      <w:szCs w:val="46"/>
      <w:u w:val="none"/>
      <w:shd w:val="clear" w:color="auto" w:fill="FFFFFF"/>
      <w:lang w:val="zh-TW"/>
    </w:rPr>
  </w:style>
  <w:style w:type="character" w:customStyle="1" w:styleId="45">
    <w:name w:val="标题 1 Char"/>
    <w:link w:val="3"/>
    <w:qFormat/>
    <w:uiPriority w:val="0"/>
    <w:rPr>
      <w:b/>
      <w:bCs/>
      <w:kern w:val="44"/>
      <w:sz w:val="32"/>
      <w:szCs w:val="44"/>
    </w:rPr>
  </w:style>
  <w:style w:type="paragraph" w:customStyle="1" w:styleId="46">
    <w:name w:val="表中文字"/>
    <w:basedOn w:val="1"/>
    <w:qFormat/>
    <w:uiPriority w:val="0"/>
    <w:pPr>
      <w:spacing w:line="400" w:lineRule="exact"/>
      <w:ind w:firstLine="0" w:firstLineChars="0"/>
      <w:jc w:val="center"/>
    </w:pPr>
    <w:rPr>
      <w:rFonts w:ascii="Calibri" w:hAnsi="Calibri"/>
      <w:sz w:val="21"/>
      <w:szCs w:val="20"/>
    </w:rPr>
  </w:style>
  <w:style w:type="character" w:customStyle="1" w:styleId="47">
    <w:name w:val="标题 4 Char"/>
    <w:link w:val="5"/>
    <w:qFormat/>
    <w:uiPriority w:val="0"/>
    <w:rPr>
      <w:rFonts w:ascii="Arial" w:hAnsi="Arial" w:eastAsia="黑体"/>
      <w:b/>
      <w:szCs w:val="20"/>
    </w:rPr>
  </w:style>
  <w:style w:type="paragraph" w:customStyle="1" w:styleId="48">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49">
    <w:name w:val="表格文字-hao-居中"/>
    <w:next w:val="1"/>
    <w:qFormat/>
    <w:uiPriority w:val="0"/>
    <w:pPr>
      <w:widowControl w:val="0"/>
      <w:adjustRightInd w:val="0"/>
      <w:snapToGrid w:val="0"/>
      <w:spacing w:line="348" w:lineRule="auto"/>
      <w:jc w:val="center"/>
      <w:textAlignment w:val="center"/>
    </w:pPr>
    <w:rPr>
      <w:rFonts w:ascii="Times New Roman" w:hAnsi="Times New Roman" w:eastAsia="宋体" w:cs="Times New Roman"/>
      <w:bCs/>
      <w:snapToGrid w:val="0"/>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numbering" Target="numbering.xml"/><Relationship Id="rId7" Type="http://schemas.openxmlformats.org/officeDocument/2006/relationships/footer" Target="footer2.xml"/><Relationship Id="rId69" Type="http://schemas.openxmlformats.org/officeDocument/2006/relationships/customXml" Target="../customXml/item1.xml"/><Relationship Id="rId68" Type="http://schemas.openxmlformats.org/officeDocument/2006/relationships/oleObject" Target="embeddings/oleObject13.bin"/><Relationship Id="rId67" Type="http://schemas.openxmlformats.org/officeDocument/2006/relationships/image" Target="media/image26.jpeg"/><Relationship Id="rId66" Type="http://schemas.openxmlformats.org/officeDocument/2006/relationships/image" Target="media/image25.png"/><Relationship Id="rId65" Type="http://schemas.openxmlformats.org/officeDocument/2006/relationships/image" Target="media/image24.png"/><Relationship Id="rId64" Type="http://schemas.openxmlformats.org/officeDocument/2006/relationships/image" Target="media/image23.jpeg"/><Relationship Id="rId63" Type="http://schemas.openxmlformats.org/officeDocument/2006/relationships/image" Target="media/image22.jpeg"/><Relationship Id="rId62" Type="http://schemas.openxmlformats.org/officeDocument/2006/relationships/image" Target="media/image21.jpeg"/><Relationship Id="rId61" Type="http://schemas.openxmlformats.org/officeDocument/2006/relationships/image" Target="media/image20.jpeg"/><Relationship Id="rId60" Type="http://schemas.openxmlformats.org/officeDocument/2006/relationships/image" Target="media/image19.wmf"/><Relationship Id="rId6" Type="http://schemas.openxmlformats.org/officeDocument/2006/relationships/footer" Target="footer1.xml"/><Relationship Id="rId59" Type="http://schemas.openxmlformats.org/officeDocument/2006/relationships/oleObject" Target="embeddings/oleObject12.bin"/><Relationship Id="rId58" Type="http://schemas.openxmlformats.org/officeDocument/2006/relationships/image" Target="media/image18.wmf"/><Relationship Id="rId57" Type="http://schemas.openxmlformats.org/officeDocument/2006/relationships/oleObject" Target="embeddings/oleObject11.bin"/><Relationship Id="rId56" Type="http://schemas.openxmlformats.org/officeDocument/2006/relationships/image" Target="media/image17.wmf"/><Relationship Id="rId55" Type="http://schemas.openxmlformats.org/officeDocument/2006/relationships/oleObject" Target="embeddings/oleObject10.bin"/><Relationship Id="rId54" Type="http://schemas.openxmlformats.org/officeDocument/2006/relationships/image" Target="media/image16.wmf"/><Relationship Id="rId53" Type="http://schemas.openxmlformats.org/officeDocument/2006/relationships/oleObject" Target="embeddings/oleObject9.bin"/><Relationship Id="rId52" Type="http://schemas.openxmlformats.org/officeDocument/2006/relationships/image" Target="media/image15.wmf"/><Relationship Id="rId51" Type="http://schemas.openxmlformats.org/officeDocument/2006/relationships/oleObject" Target="embeddings/oleObject8.bin"/><Relationship Id="rId50" Type="http://schemas.openxmlformats.org/officeDocument/2006/relationships/image" Target="media/image14.emf"/><Relationship Id="rId5" Type="http://schemas.openxmlformats.org/officeDocument/2006/relationships/header" Target="header3.xml"/><Relationship Id="rId49" Type="http://schemas.openxmlformats.org/officeDocument/2006/relationships/image" Target="media/image13.emf"/><Relationship Id="rId48" Type="http://schemas.openxmlformats.org/officeDocument/2006/relationships/image" Target="media/image12.emf"/><Relationship Id="rId47" Type="http://schemas.openxmlformats.org/officeDocument/2006/relationships/image" Target="media/image11.jpeg"/><Relationship Id="rId46" Type="http://schemas.openxmlformats.org/officeDocument/2006/relationships/image" Target="media/image10.wmf"/><Relationship Id="rId45" Type="http://schemas.openxmlformats.org/officeDocument/2006/relationships/oleObject" Target="embeddings/oleObject7.bin"/><Relationship Id="rId44" Type="http://schemas.openxmlformats.org/officeDocument/2006/relationships/image" Target="media/image9.wmf"/><Relationship Id="rId43" Type="http://schemas.openxmlformats.org/officeDocument/2006/relationships/oleObject" Target="embeddings/oleObject6.bin"/><Relationship Id="rId42" Type="http://schemas.openxmlformats.org/officeDocument/2006/relationships/image" Target="media/image8.wmf"/><Relationship Id="rId41" Type="http://schemas.openxmlformats.org/officeDocument/2006/relationships/oleObject" Target="embeddings/oleObject5.bin"/><Relationship Id="rId40" Type="http://schemas.openxmlformats.org/officeDocument/2006/relationships/image" Target="media/image7.wmf"/><Relationship Id="rId4" Type="http://schemas.openxmlformats.org/officeDocument/2006/relationships/header" Target="header2.xml"/><Relationship Id="rId39" Type="http://schemas.openxmlformats.org/officeDocument/2006/relationships/oleObject" Target="embeddings/oleObject4.bin"/><Relationship Id="rId38" Type="http://schemas.openxmlformats.org/officeDocument/2006/relationships/image" Target="media/image6.wmf"/><Relationship Id="rId37" Type="http://schemas.openxmlformats.org/officeDocument/2006/relationships/oleObject" Target="embeddings/oleObject3.bin"/><Relationship Id="rId36" Type="http://schemas.openxmlformats.org/officeDocument/2006/relationships/image" Target="media/image5.wmf"/><Relationship Id="rId35" Type="http://schemas.openxmlformats.org/officeDocument/2006/relationships/oleObject" Target="embeddings/oleObject2.bin"/><Relationship Id="rId34" Type="http://schemas.openxmlformats.org/officeDocument/2006/relationships/image" Target="media/image4.jpeg"/><Relationship Id="rId33" Type="http://schemas.openxmlformats.org/officeDocument/2006/relationships/image" Target="media/image3.jpeg"/><Relationship Id="rId32" Type="http://schemas.openxmlformats.org/officeDocument/2006/relationships/image" Target="media/image2.jpeg"/><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header" Target="header9.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廖建军</cp:lastModifiedBy>
  <dcterms:modified xsi:type="dcterms:W3CDTF">2020-07-13T03:23:41Z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